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7C9" w:rsidRDefault="00FE77C9" w:rsidP="00FE77C9">
      <w:pPr>
        <w:jc w:val="center"/>
        <w:rPr>
          <w:rFonts w:ascii="Verdana" w:hAnsi="Verdana"/>
          <w:b/>
          <w:bCs/>
          <w:color w:val="0070C0"/>
          <w:sz w:val="24"/>
        </w:rPr>
      </w:pPr>
      <w:r w:rsidRPr="00FE77C9">
        <w:rPr>
          <w:rFonts w:ascii="Verdana" w:hAnsi="Verdana"/>
          <w:b/>
          <w:bCs/>
          <w:color w:val="0070C0"/>
          <w:sz w:val="24"/>
        </w:rPr>
        <w:t>Anexo 30 de la Resolución Miscelánea Fiscal para 2020, publi</w:t>
      </w:r>
      <w:r>
        <w:rPr>
          <w:rFonts w:ascii="Verdana" w:hAnsi="Verdana"/>
          <w:b/>
          <w:bCs/>
          <w:color w:val="0070C0"/>
          <w:sz w:val="24"/>
        </w:rPr>
        <w:t>cada el 28 de diciembre de 2019</w:t>
      </w:r>
    </w:p>
    <w:p w:rsidR="00FE77C9" w:rsidRDefault="00FE77C9" w:rsidP="00FE77C9">
      <w:pPr>
        <w:jc w:val="center"/>
        <w:rPr>
          <w:rFonts w:ascii="Verdana" w:hAnsi="Verdana"/>
          <w:b/>
          <w:bCs/>
          <w:color w:val="0070C0"/>
          <w:sz w:val="24"/>
        </w:rPr>
      </w:pPr>
      <w:r>
        <w:rPr>
          <w:rFonts w:ascii="Verdana" w:hAnsi="Verdana"/>
          <w:b/>
          <w:bCs/>
          <w:color w:val="0070C0"/>
          <w:sz w:val="24"/>
        </w:rPr>
        <w:t>(DOF del 20 de enero de 2020)</w:t>
      </w:r>
    </w:p>
    <w:p w:rsidR="00FE77C9" w:rsidRPr="00FE77C9" w:rsidRDefault="00FE77C9" w:rsidP="00FE77C9">
      <w:pPr>
        <w:jc w:val="both"/>
        <w:rPr>
          <w:rFonts w:ascii="Verdana" w:hAnsi="Verdana"/>
          <w:b/>
          <w:bCs/>
          <w:sz w:val="20"/>
        </w:rPr>
      </w:pPr>
      <w:r w:rsidRPr="00FE77C9">
        <w:rPr>
          <w:rFonts w:ascii="Verdana" w:hAnsi="Verdana"/>
          <w:b/>
          <w:bCs/>
          <w:sz w:val="20"/>
        </w:rPr>
        <w:t>Al margen un sello con el Escudo Nacional, que dice: Estados Unidos Mexicanos.- HACIENDA.- Secretaría de Hacienda y Crédito Público.- Servicio de Administración Tributaria.</w:t>
      </w:r>
    </w:p>
    <w:p w:rsidR="00FE77C9" w:rsidRPr="00FE77C9" w:rsidRDefault="00FE77C9" w:rsidP="00FE77C9">
      <w:pPr>
        <w:jc w:val="both"/>
        <w:rPr>
          <w:rFonts w:ascii="Verdana" w:hAnsi="Verdana"/>
          <w:b/>
          <w:bCs/>
          <w:sz w:val="20"/>
        </w:rPr>
      </w:pPr>
      <w:r w:rsidRPr="00FE77C9">
        <w:rPr>
          <w:rFonts w:ascii="Verdana" w:hAnsi="Verdana"/>
          <w:b/>
          <w:bCs/>
          <w:sz w:val="20"/>
        </w:rPr>
        <w:t>Anexo 30 de la Resolución Miscelánea Fiscal para 2020</w:t>
      </w:r>
    </w:p>
    <w:p w:rsidR="00FE77C9" w:rsidRPr="00FE77C9" w:rsidRDefault="00FE77C9" w:rsidP="00FE77C9">
      <w:pPr>
        <w:jc w:val="both"/>
        <w:rPr>
          <w:rFonts w:ascii="Verdana" w:hAnsi="Verdana"/>
          <w:bCs/>
          <w:sz w:val="20"/>
        </w:rPr>
      </w:pPr>
      <w:r w:rsidRPr="00FE77C9">
        <w:rPr>
          <w:rFonts w:ascii="Verdana" w:hAnsi="Verdana"/>
          <w:b/>
          <w:bCs/>
          <w:sz w:val="20"/>
        </w:rPr>
        <w:t>"Especificaciones técnicas de funcionalidad y seguridad de los equipos y programas informáticos</w:t>
      </w:r>
      <w:r w:rsidRPr="00FE77C9">
        <w:rPr>
          <w:rFonts w:ascii="Verdana" w:hAnsi="Verdana"/>
          <w:bCs/>
          <w:sz w:val="20"/>
        </w:rPr>
        <w:br/>
      </w:r>
      <w:r w:rsidRPr="00FE77C9">
        <w:rPr>
          <w:rFonts w:ascii="Verdana" w:hAnsi="Verdana"/>
          <w:b/>
          <w:bCs/>
          <w:sz w:val="20"/>
        </w:rPr>
        <w:t>para llevar controles volumétricos de hidrocarburos y petrolíferos"</w:t>
      </w:r>
    </w:p>
    <w:p w:rsidR="00FE77C9" w:rsidRPr="00FE77C9" w:rsidRDefault="00FE77C9" w:rsidP="00FE77C9">
      <w:pPr>
        <w:jc w:val="both"/>
        <w:rPr>
          <w:rFonts w:ascii="Verdana" w:hAnsi="Verdana"/>
          <w:bCs/>
          <w:sz w:val="20"/>
        </w:rPr>
      </w:pPr>
      <w:r w:rsidRPr="00FE77C9">
        <w:rPr>
          <w:rFonts w:ascii="Verdana" w:hAnsi="Verdana"/>
          <w:b/>
          <w:bCs/>
          <w:sz w:val="20"/>
        </w:rPr>
        <w:t>30.1.</w:t>
      </w:r>
      <w:r w:rsidRPr="00FE77C9">
        <w:rPr>
          <w:rFonts w:ascii="Verdana" w:hAnsi="Verdana"/>
          <w:bCs/>
          <w:sz w:val="20"/>
        </w:rPr>
        <w:t>      </w:t>
      </w:r>
      <w:r w:rsidRPr="00FE77C9">
        <w:rPr>
          <w:rFonts w:ascii="Verdana" w:hAnsi="Verdana"/>
          <w:b/>
          <w:bCs/>
          <w:sz w:val="20"/>
        </w:rPr>
        <w:t>Equipos y programas informáticos para llevar controles volumétricos de Hidrocarburos y Petrolíferos.</w:t>
      </w:r>
    </w:p>
    <w:p w:rsidR="00FE77C9" w:rsidRPr="00FE77C9" w:rsidRDefault="00FE77C9" w:rsidP="00FE77C9">
      <w:pPr>
        <w:jc w:val="both"/>
        <w:rPr>
          <w:rFonts w:ascii="Verdana" w:hAnsi="Verdana"/>
          <w:bCs/>
          <w:sz w:val="20"/>
        </w:rPr>
      </w:pPr>
      <w:r w:rsidRPr="00FE77C9">
        <w:rPr>
          <w:rFonts w:ascii="Verdana" w:hAnsi="Verdana"/>
          <w:bCs/>
          <w:sz w:val="20"/>
        </w:rPr>
        <w:t>De conformidad con el artículo 28, fracción I, apartado B, primero, segundo, tercero, cuarto y sexto párrafos del CFF y el Capítulo 2.6. "De los controles volumétricos, de los certificados y de los dictámenes de laboratorio aplicables a hidrocarburos y petrolíferos" de la RMF, las especificaciones técnicas de funcionalidad y seguridad de los equipos y programas informáticos para llevar controles volumétricos de Hidrocarburos o Petrolíferos, son las establecidas en el presente Anexo.</w:t>
      </w:r>
    </w:p>
    <w:p w:rsidR="00FE77C9" w:rsidRPr="00FE77C9" w:rsidRDefault="00FE77C9" w:rsidP="00FE77C9">
      <w:pPr>
        <w:jc w:val="both"/>
        <w:rPr>
          <w:rFonts w:ascii="Verdana" w:hAnsi="Verdana"/>
          <w:bCs/>
          <w:sz w:val="20"/>
        </w:rPr>
      </w:pPr>
      <w:r w:rsidRPr="00FE77C9">
        <w:rPr>
          <w:rFonts w:ascii="Verdana" w:hAnsi="Verdana"/>
          <w:bCs/>
          <w:sz w:val="20"/>
        </w:rPr>
        <w:t>Los equipos y programas informáticos para llevar controles volumétricos de Hidrocarburos o Petrolíferos deben cumplir las siguientes funcionalidades:</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xml:space="preserve">     Permitir la generación de los registros de volumen a través de sistemas de medición, de conformidad con el apartado 30.5. </w:t>
      </w:r>
      <w:proofErr w:type="gramStart"/>
      <w:r w:rsidRPr="00FE77C9">
        <w:rPr>
          <w:rFonts w:ascii="Verdana" w:hAnsi="Verdana"/>
          <w:bCs/>
          <w:sz w:val="20"/>
        </w:rPr>
        <w:t>de</w:t>
      </w:r>
      <w:proofErr w:type="gramEnd"/>
      <w:r w:rsidRPr="00FE77C9">
        <w:rPr>
          <w:rFonts w:ascii="Verdana" w:hAnsi="Verdana"/>
          <w:bCs/>
          <w:sz w:val="20"/>
        </w:rPr>
        <w:t xml:space="preserve"> este Anexo;</w:t>
      </w:r>
    </w:p>
    <w:p w:rsidR="00FE77C9" w:rsidRPr="00FE77C9" w:rsidRDefault="00FE77C9" w:rsidP="00FE77C9">
      <w:pPr>
        <w:jc w:val="both"/>
        <w:rPr>
          <w:rFonts w:ascii="Verdana" w:hAnsi="Verdana"/>
          <w:bCs/>
          <w:sz w:val="20"/>
        </w:rPr>
      </w:pPr>
      <w:r w:rsidRPr="00FE77C9">
        <w:rPr>
          <w:rFonts w:ascii="Verdana" w:hAnsi="Verdana"/>
          <w:b/>
          <w:bCs/>
          <w:sz w:val="20"/>
        </w:rPr>
        <w:t>II.</w:t>
      </w:r>
      <w:r w:rsidRPr="00FE77C9">
        <w:rPr>
          <w:rFonts w:ascii="Verdana" w:hAnsi="Verdana"/>
          <w:bCs/>
          <w:sz w:val="20"/>
        </w:rPr>
        <w:t xml:space="preserve">     Permitir la recopilación y almacenamiento de la siguiente información, a través de un programa informático, de conformidad con el apartado 30.6. </w:t>
      </w:r>
      <w:proofErr w:type="gramStart"/>
      <w:r w:rsidRPr="00FE77C9">
        <w:rPr>
          <w:rFonts w:ascii="Verdana" w:hAnsi="Verdana"/>
          <w:bCs/>
          <w:sz w:val="20"/>
        </w:rPr>
        <w:t>de</w:t>
      </w:r>
      <w:proofErr w:type="gramEnd"/>
      <w:r w:rsidRPr="00FE77C9">
        <w:rPr>
          <w:rFonts w:ascii="Verdana" w:hAnsi="Verdana"/>
          <w:bCs/>
          <w:sz w:val="20"/>
        </w:rPr>
        <w:t xml:space="preserve"> este Anexo:</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Los registros del volumen a que se refiere la fracción anterior;</w:t>
      </w:r>
    </w:p>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La información contenida en los dictámenes que determinen el tipo de Hidrocarburo o Petrolífero a que se refiere el Anexo 32;</w:t>
      </w:r>
    </w:p>
    <w:p w:rsidR="00FE77C9" w:rsidRPr="00FE77C9" w:rsidRDefault="00FE77C9" w:rsidP="00FE77C9">
      <w:pPr>
        <w:jc w:val="both"/>
        <w:rPr>
          <w:rFonts w:ascii="Verdana" w:hAnsi="Verdana"/>
          <w:bCs/>
          <w:sz w:val="20"/>
        </w:rPr>
      </w:pPr>
      <w:r w:rsidRPr="00FE77C9">
        <w:rPr>
          <w:rFonts w:ascii="Verdana" w:hAnsi="Verdana"/>
          <w:b/>
          <w:bCs/>
          <w:sz w:val="20"/>
        </w:rPr>
        <w:t>c)</w:t>
      </w:r>
      <w:r w:rsidRPr="00FE77C9">
        <w:rPr>
          <w:rFonts w:ascii="Verdana" w:hAnsi="Verdana"/>
          <w:bCs/>
          <w:sz w:val="20"/>
        </w:rPr>
        <w:t>   La información de los CFDI asociados a la adquisición y enajenación de dichos bienes o, en su caso, a los servicios que tuvieron por objeto tales bienes.</w:t>
      </w:r>
    </w:p>
    <w:p w:rsidR="00FE77C9" w:rsidRPr="00FE77C9" w:rsidRDefault="00FE77C9" w:rsidP="00FE77C9">
      <w:pPr>
        <w:jc w:val="both"/>
        <w:rPr>
          <w:rFonts w:ascii="Verdana" w:hAnsi="Verdana"/>
          <w:bCs/>
          <w:sz w:val="20"/>
        </w:rPr>
      </w:pPr>
      <w:r w:rsidRPr="00FE77C9">
        <w:rPr>
          <w:rFonts w:ascii="Verdana" w:hAnsi="Verdana"/>
          <w:b/>
          <w:bCs/>
          <w:sz w:val="20"/>
        </w:rPr>
        <w:t>III.</w:t>
      </w:r>
      <w:r w:rsidRPr="00FE77C9">
        <w:rPr>
          <w:rFonts w:ascii="Verdana" w:hAnsi="Verdana"/>
          <w:bCs/>
          <w:sz w:val="20"/>
        </w:rPr>
        <w:t xml:space="preserve">    Permitir que la información a que se refiere la fracción anterior sea procesada a fin generar reportes de información diarios y mensuales, de conformidad con el apartado 30.6. </w:t>
      </w:r>
      <w:proofErr w:type="gramStart"/>
      <w:r w:rsidRPr="00FE77C9">
        <w:rPr>
          <w:rFonts w:ascii="Verdana" w:hAnsi="Verdana"/>
          <w:bCs/>
          <w:sz w:val="20"/>
        </w:rPr>
        <w:t>de</w:t>
      </w:r>
      <w:proofErr w:type="gramEnd"/>
      <w:r w:rsidRPr="00FE77C9">
        <w:rPr>
          <w:rFonts w:ascii="Verdana" w:hAnsi="Verdana"/>
          <w:bCs/>
          <w:sz w:val="20"/>
        </w:rPr>
        <w:t xml:space="preserve"> este Anexo.</w:t>
      </w:r>
    </w:p>
    <w:p w:rsidR="00FE77C9" w:rsidRPr="00FE77C9" w:rsidRDefault="00FE77C9" w:rsidP="00FE77C9">
      <w:pPr>
        <w:jc w:val="both"/>
        <w:rPr>
          <w:rFonts w:ascii="Verdana" w:hAnsi="Verdana"/>
          <w:bCs/>
          <w:sz w:val="20"/>
        </w:rPr>
      </w:pPr>
      <w:r w:rsidRPr="00FE77C9">
        <w:rPr>
          <w:rFonts w:ascii="Verdana" w:hAnsi="Verdana"/>
          <w:bCs/>
          <w:sz w:val="20"/>
        </w:rPr>
        <w:t xml:space="preserve">Los reportes mensuales a que se refiere la fracción III del presente apartado, deberán ser enviados por los contribuyentes indicados en la regla 2.6.1.2. </w:t>
      </w:r>
      <w:proofErr w:type="gramStart"/>
      <w:r w:rsidRPr="00FE77C9">
        <w:rPr>
          <w:rFonts w:ascii="Verdana" w:hAnsi="Verdana"/>
          <w:bCs/>
          <w:sz w:val="20"/>
        </w:rPr>
        <w:t>al</w:t>
      </w:r>
      <w:proofErr w:type="gramEnd"/>
      <w:r w:rsidRPr="00FE77C9">
        <w:rPr>
          <w:rFonts w:ascii="Verdana" w:hAnsi="Verdana"/>
          <w:bCs/>
          <w:sz w:val="20"/>
        </w:rPr>
        <w:t xml:space="preserve"> SAT, en la periodicidad establecida en la regla 2.8.1.7., fracción III.</w:t>
      </w:r>
    </w:p>
    <w:p w:rsidR="00FE77C9" w:rsidRPr="00FE77C9" w:rsidRDefault="00FE77C9" w:rsidP="00FE77C9">
      <w:pPr>
        <w:jc w:val="both"/>
        <w:rPr>
          <w:rFonts w:ascii="Verdana" w:hAnsi="Verdana"/>
          <w:bCs/>
          <w:sz w:val="20"/>
        </w:rPr>
      </w:pPr>
      <w:r w:rsidRPr="00FE77C9">
        <w:rPr>
          <w:rFonts w:ascii="Verdana" w:hAnsi="Verdana"/>
          <w:b/>
          <w:bCs/>
          <w:sz w:val="20"/>
        </w:rPr>
        <w:lastRenderedPageBreak/>
        <w:t>30.2.</w:t>
      </w:r>
      <w:r w:rsidRPr="00FE77C9">
        <w:rPr>
          <w:rFonts w:ascii="Verdana" w:hAnsi="Verdana"/>
          <w:bCs/>
          <w:sz w:val="20"/>
        </w:rPr>
        <w:t>      </w:t>
      </w:r>
      <w:r w:rsidRPr="00FE77C9">
        <w:rPr>
          <w:rFonts w:ascii="Verdana" w:hAnsi="Verdana"/>
          <w:b/>
          <w:bCs/>
          <w:sz w:val="20"/>
        </w:rPr>
        <w:t>Definiciones, siglas y acrónimos.</w:t>
      </w:r>
    </w:p>
    <w:p w:rsidR="00FE77C9" w:rsidRPr="00FE77C9" w:rsidRDefault="00FE77C9" w:rsidP="00FE77C9">
      <w:pPr>
        <w:jc w:val="both"/>
        <w:rPr>
          <w:rFonts w:ascii="Verdana" w:hAnsi="Verdana"/>
          <w:bCs/>
          <w:sz w:val="20"/>
        </w:rPr>
      </w:pPr>
      <w:r w:rsidRPr="00FE77C9">
        <w:rPr>
          <w:rFonts w:ascii="Verdana" w:hAnsi="Verdana"/>
          <w:b/>
          <w:bCs/>
          <w:sz w:val="20"/>
        </w:rPr>
        <w:t>30.2.1.</w:t>
      </w:r>
      <w:r w:rsidRPr="00FE77C9">
        <w:rPr>
          <w:rFonts w:ascii="Verdana" w:hAnsi="Verdana"/>
          <w:bCs/>
          <w:sz w:val="20"/>
        </w:rPr>
        <w:t>    </w:t>
      </w:r>
      <w:r w:rsidRPr="00FE77C9">
        <w:rPr>
          <w:rFonts w:ascii="Verdana" w:hAnsi="Verdana"/>
          <w:b/>
          <w:bCs/>
          <w:sz w:val="20"/>
        </w:rPr>
        <w:t>Definiciones.</w:t>
      </w:r>
    </w:p>
    <w:p w:rsidR="00FE77C9" w:rsidRPr="00FE77C9" w:rsidRDefault="00FE77C9" w:rsidP="00FE77C9">
      <w:pPr>
        <w:jc w:val="both"/>
        <w:rPr>
          <w:rFonts w:ascii="Verdana" w:hAnsi="Verdana"/>
          <w:bCs/>
          <w:sz w:val="20"/>
        </w:rPr>
      </w:pPr>
      <w:r w:rsidRPr="00FE77C9">
        <w:rPr>
          <w:rFonts w:ascii="Verdana" w:hAnsi="Verdana"/>
          <w:bCs/>
          <w:sz w:val="20"/>
        </w:rPr>
        <w:t>Calibración. Operación que establece, en una primera etapa, una relación entre los valores y sus incertidumbres de medida asociadas, obtenidas a partir de los patrones de medida, y las correspondientes indicaciones con sus incertidumbres asociadas y, en una segunda etapa, utiliza esta información para establecer una relación que permita obtener un resultado de medida a partir de una indicación.</w:t>
      </w:r>
    </w:p>
    <w:p w:rsidR="00FE77C9" w:rsidRPr="00FE77C9" w:rsidRDefault="00FE77C9" w:rsidP="00FE77C9">
      <w:pPr>
        <w:jc w:val="both"/>
        <w:rPr>
          <w:rFonts w:ascii="Verdana" w:hAnsi="Verdana"/>
          <w:bCs/>
          <w:sz w:val="20"/>
        </w:rPr>
      </w:pPr>
      <w:r w:rsidRPr="00FE77C9">
        <w:rPr>
          <w:rFonts w:ascii="Verdana" w:hAnsi="Verdana"/>
          <w:bCs/>
          <w:sz w:val="20"/>
        </w:rPr>
        <w:t>Confirmación metrológica.</w:t>
      </w:r>
      <w:r w:rsidRPr="00FE77C9">
        <w:rPr>
          <w:rFonts w:ascii="Verdana" w:hAnsi="Verdana"/>
          <w:b/>
          <w:bCs/>
          <w:sz w:val="20"/>
        </w:rPr>
        <w:t> </w:t>
      </w:r>
      <w:r w:rsidRPr="00FE77C9">
        <w:rPr>
          <w:rFonts w:ascii="Verdana" w:hAnsi="Verdana"/>
          <w:bCs/>
          <w:sz w:val="20"/>
        </w:rPr>
        <w:t>Conjunto de operaciones requeridas para asegurarse de que el equipo de medición está conforme a los requisitos correspondientes a su uso previsto.</w:t>
      </w:r>
    </w:p>
    <w:p w:rsidR="00FE77C9" w:rsidRPr="00FE77C9" w:rsidRDefault="00FE77C9" w:rsidP="00FE77C9">
      <w:pPr>
        <w:jc w:val="both"/>
        <w:rPr>
          <w:rFonts w:ascii="Verdana" w:hAnsi="Verdana"/>
          <w:bCs/>
          <w:sz w:val="20"/>
        </w:rPr>
      </w:pPr>
      <w:r w:rsidRPr="00FE77C9">
        <w:rPr>
          <w:rFonts w:ascii="Verdana" w:hAnsi="Verdana"/>
          <w:bCs/>
          <w:sz w:val="20"/>
        </w:rPr>
        <w:t>Elemento primario. Elemento de medición en contacto con el medio físico, por medio del cual se obtiene una señal proporcional a la magnitud que se desea medir.</w:t>
      </w:r>
    </w:p>
    <w:p w:rsidR="00FE77C9" w:rsidRPr="00FE77C9" w:rsidRDefault="00FE77C9" w:rsidP="00FE77C9">
      <w:pPr>
        <w:jc w:val="both"/>
        <w:rPr>
          <w:rFonts w:ascii="Verdana" w:hAnsi="Verdana"/>
          <w:bCs/>
          <w:sz w:val="20"/>
        </w:rPr>
      </w:pPr>
      <w:r w:rsidRPr="00FE77C9">
        <w:rPr>
          <w:rFonts w:ascii="Verdana" w:hAnsi="Verdana"/>
          <w:bCs/>
          <w:sz w:val="20"/>
        </w:rPr>
        <w:t>Elementos secundarios.</w:t>
      </w:r>
      <w:r w:rsidRPr="00FE77C9">
        <w:rPr>
          <w:rFonts w:ascii="Verdana" w:hAnsi="Verdana"/>
          <w:b/>
          <w:bCs/>
          <w:sz w:val="20"/>
        </w:rPr>
        <w:t> </w:t>
      </w:r>
      <w:r w:rsidRPr="00FE77C9">
        <w:rPr>
          <w:rFonts w:ascii="Verdana" w:hAnsi="Verdana"/>
          <w:bCs/>
          <w:sz w:val="20"/>
        </w:rPr>
        <w:t>Instrumentos para medir las variables de influencia, con fines de compensación y ajuste.</w:t>
      </w:r>
    </w:p>
    <w:p w:rsidR="00FE77C9" w:rsidRPr="00FE77C9" w:rsidRDefault="00FE77C9" w:rsidP="00FE77C9">
      <w:pPr>
        <w:jc w:val="both"/>
        <w:rPr>
          <w:rFonts w:ascii="Verdana" w:hAnsi="Verdana"/>
          <w:bCs/>
          <w:sz w:val="20"/>
        </w:rPr>
      </w:pPr>
      <w:r w:rsidRPr="00FE77C9">
        <w:rPr>
          <w:rFonts w:ascii="Verdana" w:hAnsi="Verdana"/>
          <w:bCs/>
          <w:sz w:val="20"/>
        </w:rPr>
        <w:t>Elemento terciario.</w:t>
      </w:r>
      <w:r w:rsidRPr="00FE77C9">
        <w:rPr>
          <w:rFonts w:ascii="Verdana" w:hAnsi="Verdana"/>
          <w:b/>
          <w:bCs/>
          <w:sz w:val="20"/>
        </w:rPr>
        <w:t> </w:t>
      </w:r>
      <w:r w:rsidRPr="00FE77C9">
        <w:rPr>
          <w:rFonts w:ascii="Verdana" w:hAnsi="Verdana"/>
          <w:bCs/>
          <w:sz w:val="20"/>
        </w:rPr>
        <w:t>Equipo que recopila la información del Elemento primario y de los Elementos secundarios, así como la información del tipo de Hidrocarburo o Petrolífero de los dispositivos en línea o de pruebas o ensayos a muestras del producto medido; realiza el cálculo del volumen y la compensación y ajuste a condiciones de referencia, y envía la información del volumen medido para su registro y almacenamiento en la UCC.</w:t>
      </w:r>
    </w:p>
    <w:p w:rsidR="00FE77C9" w:rsidRPr="00FE77C9" w:rsidRDefault="00FE77C9" w:rsidP="00FE77C9">
      <w:pPr>
        <w:jc w:val="both"/>
        <w:rPr>
          <w:rFonts w:ascii="Verdana" w:hAnsi="Verdana"/>
          <w:bCs/>
          <w:sz w:val="20"/>
        </w:rPr>
      </w:pPr>
      <w:r w:rsidRPr="00FE77C9">
        <w:rPr>
          <w:rFonts w:ascii="Verdana" w:hAnsi="Verdana"/>
          <w:bCs/>
          <w:sz w:val="20"/>
        </w:rPr>
        <w:t>Especificaciones metrológicas. Valores límite de una o más características de un instrumento o de un sistema de medición que pueden influir en los resultados de la medición.</w:t>
      </w:r>
    </w:p>
    <w:p w:rsidR="00FE77C9" w:rsidRPr="00FE77C9" w:rsidRDefault="00FE77C9" w:rsidP="00FE77C9">
      <w:pPr>
        <w:jc w:val="both"/>
        <w:rPr>
          <w:rFonts w:ascii="Verdana" w:hAnsi="Verdana"/>
          <w:bCs/>
          <w:sz w:val="20"/>
        </w:rPr>
      </w:pPr>
      <w:r w:rsidRPr="00FE77C9">
        <w:rPr>
          <w:rFonts w:ascii="Verdana" w:hAnsi="Verdana"/>
          <w:bCs/>
          <w:sz w:val="20"/>
        </w:rPr>
        <w:t>Hidrocarburos. Los bienes a que se refiere la regla 2.6.1.1., fracción I.</w:t>
      </w:r>
    </w:p>
    <w:p w:rsidR="00FE77C9" w:rsidRPr="00FE77C9" w:rsidRDefault="00FE77C9" w:rsidP="00FE77C9">
      <w:pPr>
        <w:jc w:val="both"/>
        <w:rPr>
          <w:rFonts w:ascii="Verdana" w:hAnsi="Verdana"/>
          <w:bCs/>
          <w:sz w:val="20"/>
        </w:rPr>
      </w:pPr>
      <w:r w:rsidRPr="00FE77C9">
        <w:rPr>
          <w:rFonts w:ascii="Verdana" w:hAnsi="Verdana"/>
          <w:bCs/>
          <w:sz w:val="20"/>
        </w:rPr>
        <w:t> </w:t>
      </w:r>
    </w:p>
    <w:p w:rsidR="00FE77C9" w:rsidRPr="00FE77C9" w:rsidRDefault="00FE77C9" w:rsidP="00FE77C9">
      <w:pPr>
        <w:jc w:val="both"/>
        <w:rPr>
          <w:rFonts w:ascii="Verdana" w:hAnsi="Verdana"/>
          <w:bCs/>
          <w:sz w:val="20"/>
        </w:rPr>
      </w:pPr>
      <w:r w:rsidRPr="00FE77C9">
        <w:rPr>
          <w:rFonts w:ascii="Verdana" w:hAnsi="Verdana"/>
          <w:bCs/>
          <w:sz w:val="20"/>
        </w:rPr>
        <w:t>Incertidumbre. Parámetro no negativo que caracteriza la dispersión de los valores atribuidos a un mensurando a partir de la información que se utiliza.</w:t>
      </w:r>
    </w:p>
    <w:p w:rsidR="00FE77C9" w:rsidRPr="00FE77C9" w:rsidRDefault="00FE77C9" w:rsidP="00FE77C9">
      <w:pPr>
        <w:jc w:val="both"/>
        <w:rPr>
          <w:rFonts w:ascii="Verdana" w:hAnsi="Verdana"/>
          <w:bCs/>
          <w:sz w:val="20"/>
        </w:rPr>
      </w:pPr>
      <w:r w:rsidRPr="00FE77C9">
        <w:rPr>
          <w:rFonts w:ascii="Verdana" w:hAnsi="Verdana"/>
          <w:bCs/>
          <w:sz w:val="20"/>
        </w:rPr>
        <w:t>Medición dinámica. Proceso que consiste en medir la cantidad de fluido mientras éste se encuentra en movimiento a través de un ducto o tubería.</w:t>
      </w:r>
    </w:p>
    <w:p w:rsidR="00FE77C9" w:rsidRPr="00FE77C9" w:rsidRDefault="00FE77C9" w:rsidP="00FE77C9">
      <w:pPr>
        <w:jc w:val="both"/>
        <w:rPr>
          <w:rFonts w:ascii="Verdana" w:hAnsi="Verdana"/>
          <w:bCs/>
          <w:sz w:val="20"/>
        </w:rPr>
      </w:pPr>
      <w:r w:rsidRPr="00FE77C9">
        <w:rPr>
          <w:rFonts w:ascii="Verdana" w:hAnsi="Verdana"/>
          <w:bCs/>
          <w:sz w:val="20"/>
        </w:rPr>
        <w:t>Medición estática.</w:t>
      </w:r>
      <w:r w:rsidRPr="00FE77C9">
        <w:rPr>
          <w:rFonts w:ascii="Verdana" w:hAnsi="Verdana"/>
          <w:b/>
          <w:bCs/>
          <w:sz w:val="20"/>
        </w:rPr>
        <w:t> </w:t>
      </w:r>
      <w:r w:rsidRPr="00FE77C9">
        <w:rPr>
          <w:rFonts w:ascii="Verdana" w:hAnsi="Verdana"/>
          <w:bCs/>
          <w:sz w:val="20"/>
        </w:rPr>
        <w:t>Proceso que consiste en cuantificar la cantidad de fluido que se encuentra en reposo en un medio de almacenamiento, el volumen se determina tomando en consideración la Calibración del medio de almacenamiento.</w:t>
      </w:r>
    </w:p>
    <w:p w:rsidR="00FE77C9" w:rsidRPr="00FE77C9" w:rsidRDefault="00FE77C9" w:rsidP="00FE77C9">
      <w:pPr>
        <w:jc w:val="both"/>
        <w:rPr>
          <w:rFonts w:ascii="Verdana" w:hAnsi="Verdana"/>
          <w:bCs/>
          <w:sz w:val="20"/>
        </w:rPr>
      </w:pPr>
      <w:r w:rsidRPr="00FE77C9">
        <w:rPr>
          <w:rFonts w:ascii="Verdana" w:hAnsi="Verdana"/>
          <w:bCs/>
          <w:sz w:val="20"/>
        </w:rPr>
        <w:t>Petrolíferos. Los bienes a que se refiere la regla 2.6.1.1., fracción II.</w:t>
      </w:r>
    </w:p>
    <w:p w:rsidR="00FE77C9" w:rsidRPr="00FE77C9" w:rsidRDefault="00FE77C9" w:rsidP="00FE77C9">
      <w:pPr>
        <w:jc w:val="both"/>
        <w:rPr>
          <w:rFonts w:ascii="Verdana" w:hAnsi="Verdana"/>
          <w:bCs/>
          <w:sz w:val="20"/>
        </w:rPr>
      </w:pPr>
      <w:r w:rsidRPr="00FE77C9">
        <w:rPr>
          <w:rFonts w:ascii="Verdana" w:hAnsi="Verdana"/>
          <w:bCs/>
          <w:sz w:val="20"/>
        </w:rPr>
        <w:t xml:space="preserve">Unidad Central de Control. Solución local o remota que permita integrar todos los componentes requeridos, en cantidad, velocidad de acceso y tamaño, para permitir las funcionalidades del programa informático para llevar controles volumétricos y la </w:t>
      </w:r>
      <w:r w:rsidRPr="00FE77C9">
        <w:rPr>
          <w:rFonts w:ascii="Verdana" w:hAnsi="Verdana"/>
          <w:bCs/>
          <w:sz w:val="20"/>
        </w:rPr>
        <w:lastRenderedPageBreak/>
        <w:t>comunicación con los sistemas de medición asociados e impresoras para imprimir consultas e informes; siendo éstos, de manera enunciativa más no limitativa: unidad central de procesamiento, memoria principal, monitor, teclado, lectores de código, dispositivos de almacenamiento de estado sólido, magnético u óptico, e interfaces de comunicación.</w:t>
      </w:r>
    </w:p>
    <w:p w:rsidR="00FE77C9" w:rsidRPr="00FE77C9" w:rsidRDefault="00FE77C9" w:rsidP="00FE77C9">
      <w:pPr>
        <w:jc w:val="both"/>
        <w:rPr>
          <w:rFonts w:ascii="Verdana" w:hAnsi="Verdana"/>
          <w:bCs/>
          <w:sz w:val="20"/>
        </w:rPr>
      </w:pPr>
      <w:r w:rsidRPr="00FE77C9">
        <w:rPr>
          <w:rFonts w:ascii="Verdana" w:hAnsi="Verdana"/>
          <w:b/>
          <w:bCs/>
          <w:sz w:val="20"/>
        </w:rPr>
        <w:t>30.2.2.</w:t>
      </w:r>
      <w:r w:rsidRPr="00FE77C9">
        <w:rPr>
          <w:rFonts w:ascii="Verdana" w:hAnsi="Verdana"/>
          <w:bCs/>
          <w:sz w:val="20"/>
        </w:rPr>
        <w:t>    </w:t>
      </w:r>
      <w:r w:rsidRPr="00FE77C9">
        <w:rPr>
          <w:rFonts w:ascii="Verdana" w:hAnsi="Verdana"/>
          <w:b/>
          <w:bCs/>
          <w:sz w:val="20"/>
        </w:rPr>
        <w:t>Siglas y acrónimos.</w:t>
      </w:r>
    </w:p>
    <w:p w:rsidR="00FE77C9" w:rsidRPr="00FE77C9" w:rsidRDefault="00FE77C9" w:rsidP="00FE77C9">
      <w:pPr>
        <w:jc w:val="both"/>
        <w:rPr>
          <w:rFonts w:ascii="Verdana" w:hAnsi="Verdana"/>
          <w:bCs/>
          <w:sz w:val="20"/>
        </w:rPr>
      </w:pPr>
      <w:r w:rsidRPr="00FE77C9">
        <w:rPr>
          <w:rFonts w:ascii="Verdana" w:hAnsi="Verdana"/>
          <w:bCs/>
          <w:sz w:val="20"/>
        </w:rPr>
        <w:t>AGA.         Asociación Americana del Gas (por sus siglas en inglés </w:t>
      </w:r>
      <w:r w:rsidRPr="00FE77C9">
        <w:rPr>
          <w:rFonts w:ascii="Verdana" w:hAnsi="Verdana"/>
          <w:bCs/>
          <w:i/>
          <w:iCs/>
          <w:sz w:val="20"/>
        </w:rPr>
        <w:t>American Gas Association</w:t>
      </w:r>
      <w:r w:rsidRPr="00FE77C9">
        <w:rPr>
          <w:rFonts w:ascii="Verdana" w:hAnsi="Verdana"/>
          <w:bCs/>
          <w:sz w:val="20"/>
        </w:rPr>
        <w:t>).</w:t>
      </w:r>
    </w:p>
    <w:p w:rsidR="00FE77C9" w:rsidRPr="00FE77C9" w:rsidRDefault="00FE77C9" w:rsidP="00FE77C9">
      <w:pPr>
        <w:jc w:val="both"/>
        <w:rPr>
          <w:rFonts w:ascii="Verdana" w:hAnsi="Verdana"/>
          <w:bCs/>
          <w:sz w:val="20"/>
        </w:rPr>
      </w:pPr>
      <w:r w:rsidRPr="00FE77C9">
        <w:rPr>
          <w:rFonts w:ascii="Verdana" w:hAnsi="Verdana"/>
          <w:bCs/>
          <w:sz w:val="20"/>
        </w:rPr>
        <w:t>API.          Instituto Americano del Petróleo (por sus siglas en inglés </w:t>
      </w:r>
      <w:r w:rsidRPr="00FE77C9">
        <w:rPr>
          <w:rFonts w:ascii="Verdana" w:hAnsi="Verdana"/>
          <w:bCs/>
          <w:i/>
          <w:iCs/>
          <w:sz w:val="20"/>
        </w:rPr>
        <w:t>American Petroleum Institute</w:t>
      </w:r>
      <w:r w:rsidRPr="00FE77C9">
        <w:rPr>
          <w:rFonts w:ascii="Verdana" w:hAnsi="Verdana"/>
          <w:bCs/>
          <w:sz w:val="20"/>
        </w:rPr>
        <w:t>).</w:t>
      </w:r>
    </w:p>
    <w:p w:rsidR="00FE77C9" w:rsidRPr="00FE77C9" w:rsidRDefault="00FE77C9" w:rsidP="00FE77C9">
      <w:pPr>
        <w:jc w:val="both"/>
        <w:rPr>
          <w:rFonts w:ascii="Verdana" w:hAnsi="Verdana"/>
          <w:bCs/>
          <w:sz w:val="20"/>
        </w:rPr>
      </w:pPr>
      <w:r w:rsidRPr="00FE77C9">
        <w:rPr>
          <w:rFonts w:ascii="Verdana" w:hAnsi="Verdana"/>
          <w:bCs/>
          <w:sz w:val="20"/>
        </w:rPr>
        <w:t>ARM.        Acuerdo de reconocimiento mutuo.</w:t>
      </w:r>
    </w:p>
    <w:p w:rsidR="00FE77C9" w:rsidRPr="00FE77C9" w:rsidRDefault="00FE77C9" w:rsidP="00FE77C9">
      <w:pPr>
        <w:jc w:val="both"/>
        <w:rPr>
          <w:rFonts w:ascii="Verdana" w:hAnsi="Verdana"/>
          <w:bCs/>
          <w:sz w:val="20"/>
        </w:rPr>
      </w:pPr>
      <w:r w:rsidRPr="00FE77C9">
        <w:rPr>
          <w:rFonts w:ascii="Verdana" w:hAnsi="Verdana"/>
          <w:bCs/>
          <w:sz w:val="20"/>
        </w:rPr>
        <w:t>ASTM.       Sociedad Americana para Pruebas y Materiales (por sus siglas en inglés </w:t>
      </w:r>
      <w:r w:rsidRPr="00FE77C9">
        <w:rPr>
          <w:rFonts w:ascii="Verdana" w:hAnsi="Verdana"/>
          <w:bCs/>
          <w:i/>
          <w:iCs/>
          <w:sz w:val="20"/>
        </w:rPr>
        <w:t>American Society for Testing and Materials</w:t>
      </w:r>
      <w:r w:rsidRPr="00FE77C9">
        <w:rPr>
          <w:rFonts w:ascii="Verdana" w:hAnsi="Verdana"/>
          <w:bCs/>
          <w:sz w:val="20"/>
        </w:rPr>
        <w:t>).</w:t>
      </w:r>
    </w:p>
    <w:p w:rsidR="00FE77C9" w:rsidRPr="00FE77C9" w:rsidRDefault="00FE77C9" w:rsidP="00FE77C9">
      <w:pPr>
        <w:jc w:val="both"/>
        <w:rPr>
          <w:rFonts w:ascii="Verdana" w:hAnsi="Verdana"/>
          <w:bCs/>
          <w:sz w:val="20"/>
        </w:rPr>
      </w:pPr>
      <w:r w:rsidRPr="00FE77C9">
        <w:rPr>
          <w:rFonts w:ascii="Verdana" w:hAnsi="Verdana"/>
          <w:bCs/>
          <w:sz w:val="20"/>
        </w:rPr>
        <w:t>CNH.         Comisión Nacional de Hidrocarburos.</w:t>
      </w:r>
    </w:p>
    <w:p w:rsidR="00FE77C9" w:rsidRPr="00FE77C9" w:rsidRDefault="00FE77C9" w:rsidP="00FE77C9">
      <w:pPr>
        <w:jc w:val="both"/>
        <w:rPr>
          <w:rFonts w:ascii="Verdana" w:hAnsi="Verdana"/>
          <w:bCs/>
          <w:sz w:val="20"/>
        </w:rPr>
      </w:pPr>
      <w:r w:rsidRPr="00FE77C9">
        <w:rPr>
          <w:rFonts w:ascii="Verdana" w:hAnsi="Verdana"/>
          <w:bCs/>
          <w:sz w:val="20"/>
        </w:rPr>
        <w:t>CRE.         Comisión Reguladora de Energía.</w:t>
      </w:r>
    </w:p>
    <w:p w:rsidR="00FE77C9" w:rsidRPr="00FE77C9" w:rsidRDefault="00FE77C9" w:rsidP="00FE77C9">
      <w:pPr>
        <w:jc w:val="both"/>
        <w:rPr>
          <w:rFonts w:ascii="Verdana" w:hAnsi="Verdana"/>
          <w:bCs/>
          <w:sz w:val="20"/>
        </w:rPr>
      </w:pPr>
      <w:r w:rsidRPr="00FE77C9">
        <w:rPr>
          <w:rFonts w:ascii="Verdana" w:hAnsi="Verdana"/>
          <w:bCs/>
          <w:sz w:val="20"/>
        </w:rPr>
        <w:t>EMA.         Entidad Mexicana de Acreditación.</w:t>
      </w:r>
    </w:p>
    <w:p w:rsidR="00FE77C9" w:rsidRPr="00FE77C9" w:rsidRDefault="00FE77C9" w:rsidP="00FE77C9">
      <w:pPr>
        <w:jc w:val="both"/>
        <w:rPr>
          <w:rFonts w:ascii="Verdana" w:hAnsi="Verdana"/>
          <w:bCs/>
          <w:sz w:val="20"/>
        </w:rPr>
      </w:pPr>
      <w:r w:rsidRPr="00FE77C9">
        <w:rPr>
          <w:rFonts w:ascii="Verdana" w:hAnsi="Verdana"/>
          <w:bCs/>
          <w:sz w:val="20"/>
        </w:rPr>
        <w:t>ISO.          Organización Internacional de Estándares (por sus siglas en inglés </w:t>
      </w:r>
      <w:r w:rsidRPr="00FE77C9">
        <w:rPr>
          <w:rFonts w:ascii="Verdana" w:hAnsi="Verdana"/>
          <w:bCs/>
          <w:i/>
          <w:iCs/>
          <w:sz w:val="20"/>
        </w:rPr>
        <w:t>International Organization for Standardization</w:t>
      </w:r>
      <w:r w:rsidRPr="00FE77C9">
        <w:rPr>
          <w:rFonts w:ascii="Verdana" w:hAnsi="Verdana"/>
          <w:bCs/>
          <w:sz w:val="20"/>
        </w:rPr>
        <w:t>).</w:t>
      </w:r>
    </w:p>
    <w:p w:rsidR="00FE77C9" w:rsidRPr="00FE77C9" w:rsidRDefault="00FE77C9" w:rsidP="00FE77C9">
      <w:pPr>
        <w:jc w:val="both"/>
        <w:rPr>
          <w:rFonts w:ascii="Verdana" w:hAnsi="Verdana"/>
          <w:bCs/>
          <w:sz w:val="20"/>
        </w:rPr>
      </w:pPr>
      <w:r w:rsidRPr="00FE77C9">
        <w:rPr>
          <w:rFonts w:ascii="Verdana" w:hAnsi="Verdana"/>
          <w:bCs/>
          <w:sz w:val="20"/>
        </w:rPr>
        <w:t>LFMN.       Ley Federal sobre Metrología y Normalización.</w:t>
      </w:r>
    </w:p>
    <w:p w:rsidR="00FE77C9" w:rsidRPr="00FE77C9" w:rsidRDefault="00FE77C9" w:rsidP="00FE77C9">
      <w:pPr>
        <w:jc w:val="both"/>
        <w:rPr>
          <w:rFonts w:ascii="Verdana" w:hAnsi="Verdana"/>
          <w:bCs/>
          <w:sz w:val="20"/>
        </w:rPr>
      </w:pPr>
      <w:r w:rsidRPr="00FE77C9">
        <w:rPr>
          <w:rFonts w:ascii="Verdana" w:hAnsi="Verdana"/>
          <w:bCs/>
          <w:sz w:val="20"/>
        </w:rPr>
        <w:t>MPMS.      Manual de Estándares de Medición del Petróleo (por sus siglas en inglés </w:t>
      </w:r>
      <w:r w:rsidRPr="00FE77C9">
        <w:rPr>
          <w:rFonts w:ascii="Verdana" w:hAnsi="Verdana"/>
          <w:bCs/>
          <w:i/>
          <w:iCs/>
          <w:sz w:val="20"/>
        </w:rPr>
        <w:t>Manual of Petroleum Measurement Standards</w:t>
      </w:r>
      <w:r w:rsidRPr="00FE77C9">
        <w:rPr>
          <w:rFonts w:ascii="Verdana" w:hAnsi="Verdana"/>
          <w:bCs/>
          <w:sz w:val="20"/>
        </w:rPr>
        <w:t>).</w:t>
      </w:r>
    </w:p>
    <w:p w:rsidR="00FE77C9" w:rsidRPr="00FE77C9" w:rsidRDefault="00FE77C9" w:rsidP="00FE77C9">
      <w:pPr>
        <w:jc w:val="both"/>
        <w:rPr>
          <w:rFonts w:ascii="Verdana" w:hAnsi="Verdana"/>
          <w:bCs/>
          <w:sz w:val="20"/>
        </w:rPr>
      </w:pPr>
      <w:r w:rsidRPr="00FE77C9">
        <w:rPr>
          <w:rFonts w:ascii="Verdana" w:hAnsi="Verdana"/>
          <w:bCs/>
          <w:sz w:val="20"/>
        </w:rPr>
        <w:t>NMX.        Norma Mexicana.</w:t>
      </w:r>
    </w:p>
    <w:p w:rsidR="00FE77C9" w:rsidRPr="00FE77C9" w:rsidRDefault="00FE77C9" w:rsidP="00FE77C9">
      <w:pPr>
        <w:jc w:val="both"/>
        <w:rPr>
          <w:rFonts w:ascii="Verdana" w:hAnsi="Verdana"/>
          <w:bCs/>
          <w:sz w:val="20"/>
        </w:rPr>
      </w:pPr>
      <w:r w:rsidRPr="00FE77C9">
        <w:rPr>
          <w:rFonts w:ascii="Verdana" w:hAnsi="Verdana"/>
          <w:bCs/>
          <w:sz w:val="20"/>
        </w:rPr>
        <w:t>NOM.        Norma Oficial Mexicana.</w:t>
      </w:r>
    </w:p>
    <w:p w:rsidR="00FE77C9" w:rsidRPr="00FE77C9" w:rsidRDefault="00FE77C9" w:rsidP="00FE77C9">
      <w:pPr>
        <w:jc w:val="both"/>
        <w:rPr>
          <w:rFonts w:ascii="Verdana" w:hAnsi="Verdana"/>
          <w:bCs/>
          <w:sz w:val="20"/>
        </w:rPr>
      </w:pPr>
      <w:r w:rsidRPr="00FE77C9">
        <w:rPr>
          <w:rFonts w:ascii="Verdana" w:hAnsi="Verdana"/>
          <w:bCs/>
          <w:sz w:val="20"/>
        </w:rPr>
        <w:t>OIML.        Organización Internacional de Metrología Legal.</w:t>
      </w:r>
    </w:p>
    <w:p w:rsidR="00FE77C9" w:rsidRPr="00FE77C9" w:rsidRDefault="00FE77C9" w:rsidP="00FE77C9">
      <w:pPr>
        <w:jc w:val="both"/>
        <w:rPr>
          <w:rFonts w:ascii="Verdana" w:hAnsi="Verdana"/>
          <w:bCs/>
          <w:sz w:val="20"/>
        </w:rPr>
      </w:pPr>
      <w:r w:rsidRPr="00FE77C9">
        <w:rPr>
          <w:rFonts w:ascii="Verdana" w:hAnsi="Verdana"/>
          <w:bCs/>
          <w:sz w:val="20"/>
        </w:rPr>
        <w:t>SGM.        Sistema de Gestión de las Mediciones.</w:t>
      </w:r>
    </w:p>
    <w:p w:rsidR="00FE77C9" w:rsidRPr="00FE77C9" w:rsidRDefault="00FE77C9" w:rsidP="00FE77C9">
      <w:pPr>
        <w:jc w:val="both"/>
        <w:rPr>
          <w:rFonts w:ascii="Verdana" w:hAnsi="Verdana"/>
          <w:bCs/>
          <w:sz w:val="20"/>
        </w:rPr>
      </w:pPr>
      <w:r w:rsidRPr="00FE77C9">
        <w:rPr>
          <w:rFonts w:ascii="Verdana" w:hAnsi="Verdana"/>
          <w:bCs/>
          <w:sz w:val="20"/>
        </w:rPr>
        <w:t>UCC.         Unidad Central de Control.</w:t>
      </w:r>
    </w:p>
    <w:p w:rsidR="00FE77C9" w:rsidRPr="00FE77C9" w:rsidRDefault="00FE77C9" w:rsidP="00FE77C9">
      <w:pPr>
        <w:jc w:val="both"/>
        <w:rPr>
          <w:rFonts w:ascii="Verdana" w:hAnsi="Verdana"/>
          <w:bCs/>
          <w:sz w:val="20"/>
        </w:rPr>
      </w:pPr>
      <w:r w:rsidRPr="00FE77C9">
        <w:rPr>
          <w:rFonts w:ascii="Verdana" w:hAnsi="Verdana"/>
          <w:b/>
          <w:bCs/>
          <w:sz w:val="20"/>
        </w:rPr>
        <w:t>30.3.</w:t>
      </w:r>
      <w:r w:rsidRPr="00FE77C9">
        <w:rPr>
          <w:rFonts w:ascii="Verdana" w:hAnsi="Verdana"/>
          <w:bCs/>
          <w:sz w:val="20"/>
        </w:rPr>
        <w:t>      </w:t>
      </w:r>
      <w:r w:rsidRPr="00FE77C9">
        <w:rPr>
          <w:rFonts w:ascii="Verdana" w:hAnsi="Verdana"/>
          <w:b/>
          <w:bCs/>
          <w:sz w:val="20"/>
        </w:rPr>
        <w:t>Ámbito de aplicación.</w:t>
      </w:r>
    </w:p>
    <w:p w:rsidR="00FE77C9" w:rsidRPr="00FE77C9" w:rsidRDefault="00FE77C9" w:rsidP="00FE77C9">
      <w:pPr>
        <w:jc w:val="both"/>
        <w:rPr>
          <w:rFonts w:ascii="Verdana" w:hAnsi="Verdana"/>
          <w:bCs/>
          <w:sz w:val="20"/>
        </w:rPr>
      </w:pPr>
      <w:r w:rsidRPr="00FE77C9">
        <w:rPr>
          <w:rFonts w:ascii="Verdana" w:hAnsi="Verdana"/>
          <w:bCs/>
          <w:sz w:val="20"/>
        </w:rPr>
        <w:t>Lo dispuesto en el presente Anexo es aplicable:</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A los contribuyentes a que se refiere la regla 2.6.1.2., respecto a las especificaciones técnicas de funcionalidad y seguridad de los equipos y programas informáticos para llevar controles volumétricos que adquieran.</w:t>
      </w:r>
    </w:p>
    <w:p w:rsidR="00FE77C9" w:rsidRPr="00FE77C9" w:rsidRDefault="00FE77C9" w:rsidP="00FE77C9">
      <w:pPr>
        <w:jc w:val="both"/>
        <w:rPr>
          <w:rFonts w:ascii="Verdana" w:hAnsi="Verdana"/>
          <w:bCs/>
          <w:sz w:val="20"/>
        </w:rPr>
      </w:pPr>
      <w:r w:rsidRPr="00FE77C9">
        <w:rPr>
          <w:rFonts w:ascii="Verdana" w:hAnsi="Verdana"/>
          <w:b/>
          <w:bCs/>
          <w:sz w:val="20"/>
        </w:rPr>
        <w:lastRenderedPageBreak/>
        <w:t>II.</w:t>
      </w:r>
      <w:r w:rsidRPr="00FE77C9">
        <w:rPr>
          <w:rFonts w:ascii="Verdana" w:hAnsi="Verdana"/>
          <w:bCs/>
          <w:sz w:val="20"/>
        </w:rPr>
        <w:t>     A los proveedores autorizados a que se refiere la regla 2.6.2.1., fracción I, respecto a las especificaciones técnicas de funcionalidad y seguridad de los equipos y programas informáticos para llevar controles volumétricos que enajenen e instalen.</w:t>
      </w:r>
    </w:p>
    <w:p w:rsidR="00FE77C9" w:rsidRPr="00FE77C9" w:rsidRDefault="00FE77C9" w:rsidP="00FE77C9">
      <w:pPr>
        <w:jc w:val="both"/>
        <w:rPr>
          <w:rFonts w:ascii="Verdana" w:hAnsi="Verdana"/>
          <w:bCs/>
          <w:sz w:val="20"/>
        </w:rPr>
      </w:pPr>
      <w:r w:rsidRPr="00FE77C9">
        <w:rPr>
          <w:rFonts w:ascii="Verdana" w:hAnsi="Verdana"/>
          <w:b/>
          <w:bCs/>
          <w:sz w:val="20"/>
        </w:rPr>
        <w:t>III.</w:t>
      </w:r>
      <w:r w:rsidRPr="00FE77C9">
        <w:rPr>
          <w:rFonts w:ascii="Verdana" w:hAnsi="Verdana"/>
          <w:bCs/>
          <w:sz w:val="20"/>
        </w:rPr>
        <w:t>    A los proveedores autorizados a que se refiere la regla 2.6.2.1., fracción II, respecto a las especificaciones técnicas de funcionalidad y seguridad de los equipos y programas informáticos para llevar controles volumétricos que sean objeto de sus servicios de verificación.</w:t>
      </w:r>
    </w:p>
    <w:p w:rsidR="00FE77C9" w:rsidRPr="00FE77C9" w:rsidRDefault="00FE77C9" w:rsidP="00FE77C9">
      <w:pPr>
        <w:jc w:val="both"/>
        <w:rPr>
          <w:rFonts w:ascii="Verdana" w:hAnsi="Verdana"/>
          <w:bCs/>
          <w:sz w:val="20"/>
        </w:rPr>
      </w:pPr>
      <w:r w:rsidRPr="00FE77C9">
        <w:rPr>
          <w:rFonts w:ascii="Verdana" w:hAnsi="Verdana"/>
          <w:b/>
          <w:bCs/>
          <w:sz w:val="20"/>
        </w:rPr>
        <w:t>30.4.</w:t>
      </w:r>
      <w:r w:rsidRPr="00FE77C9">
        <w:rPr>
          <w:rFonts w:ascii="Verdana" w:hAnsi="Verdana"/>
          <w:bCs/>
          <w:sz w:val="20"/>
        </w:rPr>
        <w:t>      </w:t>
      </w:r>
      <w:r w:rsidRPr="00FE77C9">
        <w:rPr>
          <w:rFonts w:ascii="Verdana" w:hAnsi="Verdana"/>
          <w:b/>
          <w:bCs/>
          <w:sz w:val="20"/>
        </w:rPr>
        <w:t>Fuentes de la información.</w:t>
      </w:r>
    </w:p>
    <w:p w:rsidR="00FE77C9" w:rsidRPr="00FE77C9" w:rsidRDefault="00FE77C9" w:rsidP="00FE77C9">
      <w:pPr>
        <w:jc w:val="both"/>
        <w:rPr>
          <w:rFonts w:ascii="Verdana" w:hAnsi="Verdana"/>
          <w:bCs/>
          <w:sz w:val="20"/>
        </w:rPr>
      </w:pPr>
      <w:r w:rsidRPr="00FE77C9">
        <w:rPr>
          <w:rFonts w:ascii="Verdana" w:hAnsi="Verdana"/>
          <w:bCs/>
          <w:sz w:val="20"/>
        </w:rPr>
        <w:t> </w:t>
      </w:r>
    </w:p>
    <w:p w:rsidR="00FE77C9" w:rsidRPr="00FE77C9" w:rsidRDefault="00FE77C9" w:rsidP="00FE77C9">
      <w:pPr>
        <w:jc w:val="both"/>
        <w:rPr>
          <w:rFonts w:ascii="Verdana" w:hAnsi="Verdana"/>
          <w:bCs/>
          <w:sz w:val="20"/>
        </w:rPr>
      </w:pPr>
      <w:r w:rsidRPr="00FE77C9">
        <w:rPr>
          <w:rFonts w:ascii="Verdana" w:hAnsi="Verdana"/>
          <w:bCs/>
          <w:sz w:val="20"/>
        </w:rPr>
        <w:t xml:space="preserve">La información a que se refiere el apartado 30.1. </w:t>
      </w:r>
      <w:proofErr w:type="gramStart"/>
      <w:r w:rsidRPr="00FE77C9">
        <w:rPr>
          <w:rFonts w:ascii="Verdana" w:hAnsi="Verdana"/>
          <w:bCs/>
          <w:sz w:val="20"/>
        </w:rPr>
        <w:t>del</w:t>
      </w:r>
      <w:proofErr w:type="gramEnd"/>
      <w:r w:rsidRPr="00FE77C9">
        <w:rPr>
          <w:rFonts w:ascii="Verdana" w:hAnsi="Verdana"/>
          <w:bCs/>
          <w:sz w:val="20"/>
        </w:rPr>
        <w:t xml:space="preserve"> presente Anexo debe obtenerse de conformidad con lo siguiente:</w:t>
      </w:r>
    </w:p>
    <w:p w:rsidR="00FE77C9" w:rsidRPr="00FE77C9" w:rsidRDefault="00FE77C9" w:rsidP="00FE77C9">
      <w:pPr>
        <w:jc w:val="both"/>
        <w:rPr>
          <w:rFonts w:ascii="Verdana" w:hAnsi="Verdana"/>
          <w:bCs/>
          <w:sz w:val="20"/>
        </w:rPr>
      </w:pPr>
      <w:r w:rsidRPr="00FE77C9">
        <w:rPr>
          <w:rFonts w:ascii="Verdana" w:hAnsi="Verdana"/>
          <w:b/>
          <w:bCs/>
          <w:sz w:val="20"/>
        </w:rPr>
        <w:t>30.4.1.</w:t>
      </w:r>
      <w:r w:rsidRPr="00FE77C9">
        <w:rPr>
          <w:rFonts w:ascii="Verdana" w:hAnsi="Verdana"/>
          <w:bCs/>
          <w:sz w:val="20"/>
        </w:rPr>
        <w:t>    </w:t>
      </w:r>
      <w:r w:rsidRPr="00FE77C9">
        <w:rPr>
          <w:rFonts w:ascii="Verdana" w:hAnsi="Verdana"/>
          <w:b/>
          <w:bCs/>
          <w:sz w:val="20"/>
        </w:rPr>
        <w:t>Información sobre los registros del volumen de los Hidrocarburos y Petrolíferos.</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xml:space="preserve">     La información del volumen de las operaciones de recepción, entrega y control de existencias de Hidrocarburos y Petrolíferos, debe obtenerse de los sistemas de medición indicados en el apartado 30.5. </w:t>
      </w:r>
      <w:proofErr w:type="gramStart"/>
      <w:r w:rsidRPr="00FE77C9">
        <w:rPr>
          <w:rFonts w:ascii="Verdana" w:hAnsi="Verdana"/>
          <w:bCs/>
          <w:sz w:val="20"/>
        </w:rPr>
        <w:t>de</w:t>
      </w:r>
      <w:proofErr w:type="gramEnd"/>
      <w:r w:rsidRPr="00FE77C9">
        <w:rPr>
          <w:rFonts w:ascii="Verdana" w:hAnsi="Verdana"/>
          <w:bCs/>
          <w:sz w:val="20"/>
        </w:rPr>
        <w:t xml:space="preserve"> este Anexo y cumplir las siguientes características:</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El volumen de cada tipo de Hidrocarburo o Petrolífero de las operaciones de recepción, entrega y control de existencias, se debe cuantificar por medio de sistemas de medición que cumplan con los requisitos metrológicos para el uso requerido.</w:t>
      </w:r>
    </w:p>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Los registros del volumen se deben enviar para su recopilación y almacenamiento a la UCC de forma encriptada y a través de medios de transmisión que garanticen la correcta recepción e integridad de dicha información.</w:t>
      </w:r>
    </w:p>
    <w:p w:rsidR="00FE77C9" w:rsidRPr="00FE77C9" w:rsidRDefault="00FE77C9" w:rsidP="00FE77C9">
      <w:pPr>
        <w:jc w:val="both"/>
        <w:rPr>
          <w:rFonts w:ascii="Verdana" w:hAnsi="Verdana"/>
          <w:bCs/>
          <w:sz w:val="20"/>
        </w:rPr>
      </w:pPr>
      <w:r w:rsidRPr="00FE77C9">
        <w:rPr>
          <w:rFonts w:ascii="Verdana" w:hAnsi="Verdana"/>
          <w:b/>
          <w:bCs/>
          <w:sz w:val="20"/>
        </w:rPr>
        <w:t>c)</w:t>
      </w:r>
      <w:r w:rsidRPr="00FE77C9">
        <w:rPr>
          <w:rFonts w:ascii="Verdana" w:hAnsi="Verdana"/>
          <w:bCs/>
          <w:sz w:val="20"/>
        </w:rPr>
        <w:t>   La información del volumen de Hidrocarburos o Petrolíferos que pasan a través de un ducto de transporte o distribución, o de una manguera para el caso de las estaciones de servicio, se debe obtener por medio de un sistema de medición dinámico y en el caso de la manguera del dispensario de las estaciones de servicio, del totalizador.</w:t>
      </w:r>
    </w:p>
    <w:p w:rsidR="00FE77C9" w:rsidRPr="00FE77C9" w:rsidRDefault="00FE77C9" w:rsidP="00FE77C9">
      <w:pPr>
        <w:jc w:val="both"/>
        <w:rPr>
          <w:rFonts w:ascii="Verdana" w:hAnsi="Verdana"/>
          <w:bCs/>
          <w:sz w:val="20"/>
        </w:rPr>
      </w:pPr>
      <w:r w:rsidRPr="00FE77C9">
        <w:rPr>
          <w:rFonts w:ascii="Verdana" w:hAnsi="Verdana"/>
          <w:b/>
          <w:bCs/>
          <w:sz w:val="20"/>
        </w:rPr>
        <w:t>d)</w:t>
      </w:r>
      <w:r w:rsidRPr="00FE77C9">
        <w:rPr>
          <w:rFonts w:ascii="Verdana" w:hAnsi="Verdana"/>
          <w:bCs/>
          <w:sz w:val="20"/>
        </w:rPr>
        <w:t>   La información del volumen de Hidrocarburos o Petrolíferos, en un medio de almacenamiento, que puede ser un tanque o una caverna salina o, en un medio de transporte o distribución, se debe obtener a través de:</w:t>
      </w:r>
    </w:p>
    <w:p w:rsidR="00FE77C9" w:rsidRPr="00FE77C9" w:rsidRDefault="00FE77C9" w:rsidP="00FE77C9">
      <w:pPr>
        <w:jc w:val="both"/>
        <w:rPr>
          <w:rFonts w:ascii="Verdana" w:hAnsi="Verdana"/>
          <w:bCs/>
          <w:sz w:val="20"/>
        </w:rPr>
      </w:pPr>
      <w:r w:rsidRPr="00FE77C9">
        <w:rPr>
          <w:rFonts w:ascii="Verdana" w:hAnsi="Verdana"/>
          <w:b/>
          <w:bCs/>
          <w:sz w:val="20"/>
        </w:rPr>
        <w:t>1.</w:t>
      </w:r>
      <w:r w:rsidRPr="00FE77C9">
        <w:rPr>
          <w:rFonts w:ascii="Verdana" w:hAnsi="Verdana"/>
          <w:bCs/>
          <w:sz w:val="20"/>
        </w:rPr>
        <w:t>     Un sistema de medición estática que cuantifique el volumen; o,</w:t>
      </w:r>
    </w:p>
    <w:p w:rsidR="00FE77C9" w:rsidRPr="00FE77C9" w:rsidRDefault="00FE77C9" w:rsidP="00FE77C9">
      <w:pPr>
        <w:jc w:val="both"/>
        <w:rPr>
          <w:rFonts w:ascii="Verdana" w:hAnsi="Verdana"/>
          <w:bCs/>
          <w:sz w:val="20"/>
        </w:rPr>
      </w:pPr>
      <w:r w:rsidRPr="00FE77C9">
        <w:rPr>
          <w:rFonts w:ascii="Verdana" w:hAnsi="Verdana"/>
          <w:b/>
          <w:bCs/>
          <w:sz w:val="20"/>
        </w:rPr>
        <w:t>2.</w:t>
      </w:r>
      <w:r w:rsidRPr="00FE77C9">
        <w:rPr>
          <w:rFonts w:ascii="Verdana" w:hAnsi="Verdana"/>
          <w:bCs/>
          <w:sz w:val="20"/>
        </w:rPr>
        <w:t>     Sistemas de medición dinámica para medir las cargas y descargas al medio de almacenamiento y, por diferencias, calcular el volumen, tomando en consideración las existencias.</w:t>
      </w:r>
    </w:p>
    <w:p w:rsidR="00FE77C9" w:rsidRPr="00FE77C9" w:rsidRDefault="00FE77C9" w:rsidP="00FE77C9">
      <w:pPr>
        <w:jc w:val="both"/>
        <w:rPr>
          <w:rFonts w:ascii="Verdana" w:hAnsi="Verdana"/>
          <w:bCs/>
          <w:sz w:val="20"/>
        </w:rPr>
      </w:pPr>
      <w:r w:rsidRPr="00FE77C9">
        <w:rPr>
          <w:rFonts w:ascii="Verdana" w:hAnsi="Verdana"/>
          <w:b/>
          <w:bCs/>
          <w:sz w:val="20"/>
        </w:rPr>
        <w:t>e)</w:t>
      </w:r>
      <w:r w:rsidRPr="00FE77C9">
        <w:rPr>
          <w:rFonts w:ascii="Verdana" w:hAnsi="Verdana"/>
          <w:bCs/>
          <w:sz w:val="20"/>
        </w:rPr>
        <w:t xml:space="preserve">   En los medios de transporte y distribución distintos a ducto, cuando el volumen del medio de almacenamiento se calcule como se indica en el inciso d), numeral 2 de </w:t>
      </w:r>
      <w:r w:rsidRPr="00FE77C9">
        <w:rPr>
          <w:rFonts w:ascii="Verdana" w:hAnsi="Verdana"/>
          <w:bCs/>
          <w:sz w:val="20"/>
        </w:rPr>
        <w:lastRenderedPageBreak/>
        <w:t>esta fracción, se podrá utilizar un solo sistema de medición acoplado a un juego de válvulas que permita medir tanto las cargas como las descargas.</w:t>
      </w:r>
    </w:p>
    <w:p w:rsidR="00FE77C9" w:rsidRPr="00FE77C9" w:rsidRDefault="00FE77C9" w:rsidP="00FE77C9">
      <w:pPr>
        <w:jc w:val="both"/>
        <w:rPr>
          <w:rFonts w:ascii="Verdana" w:hAnsi="Verdana"/>
          <w:bCs/>
          <w:sz w:val="20"/>
        </w:rPr>
      </w:pPr>
      <w:r w:rsidRPr="00FE77C9">
        <w:rPr>
          <w:rFonts w:ascii="Verdana" w:hAnsi="Verdana"/>
          <w:bCs/>
          <w:sz w:val="20"/>
        </w:rPr>
        <w:t>       Los comercializadores que enajenen gas natural o Petrolíferos a que se refiere la regla 2.6.1.1., en los términos del artículo 19, fracción I del Reglamento de las actividades a que se refiere el Título Tercero de la Ley de Hidrocarburos, deberán obtener la información del volumen a que se refiere esta fracción, de los registros que les proporcionen los contribuyentes a que se refiere la regla 2.6.1.2., fracciones III, IV, V y VII que les presten servicios.</w:t>
      </w:r>
    </w:p>
    <w:p w:rsidR="00FE77C9" w:rsidRPr="00FE77C9" w:rsidRDefault="00FE77C9" w:rsidP="00FE77C9">
      <w:pPr>
        <w:jc w:val="both"/>
        <w:rPr>
          <w:rFonts w:ascii="Verdana" w:hAnsi="Verdana"/>
          <w:bCs/>
          <w:sz w:val="20"/>
        </w:rPr>
      </w:pPr>
      <w:r w:rsidRPr="00FE77C9">
        <w:rPr>
          <w:rFonts w:ascii="Verdana" w:hAnsi="Verdana"/>
          <w:b/>
          <w:bCs/>
          <w:sz w:val="20"/>
        </w:rPr>
        <w:t>II.</w:t>
      </w:r>
      <w:r w:rsidRPr="00FE77C9">
        <w:rPr>
          <w:rFonts w:ascii="Verdana" w:hAnsi="Verdana"/>
          <w:bCs/>
          <w:sz w:val="20"/>
        </w:rPr>
        <w:t>     Toda la información del volumen de los Hidrocarburos o Petrolíferos debe registrarse y almacenarse en la UCC.</w:t>
      </w:r>
    </w:p>
    <w:p w:rsidR="00FE77C9" w:rsidRPr="00FE77C9" w:rsidRDefault="00FE77C9" w:rsidP="00FE77C9">
      <w:pPr>
        <w:jc w:val="both"/>
        <w:rPr>
          <w:rFonts w:ascii="Verdana" w:hAnsi="Verdana"/>
          <w:bCs/>
          <w:sz w:val="20"/>
        </w:rPr>
      </w:pPr>
      <w:r w:rsidRPr="00FE77C9">
        <w:rPr>
          <w:rFonts w:ascii="Verdana" w:hAnsi="Verdana"/>
          <w:b/>
          <w:bCs/>
          <w:sz w:val="20"/>
        </w:rPr>
        <w:t>30.4.2.</w:t>
      </w:r>
      <w:r w:rsidRPr="00FE77C9">
        <w:rPr>
          <w:rFonts w:ascii="Verdana" w:hAnsi="Verdana"/>
          <w:bCs/>
          <w:sz w:val="20"/>
        </w:rPr>
        <w:t>    </w:t>
      </w:r>
      <w:r w:rsidRPr="00FE77C9">
        <w:rPr>
          <w:rFonts w:ascii="Verdana" w:hAnsi="Verdana"/>
          <w:b/>
          <w:bCs/>
          <w:sz w:val="20"/>
        </w:rPr>
        <w:t>Información sobre el tipo de los Hidrocarburos y Petrolíferos.</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La información del tipo de los Hidrocarburos o Petrolíferos correspondiente a cada operación de recepción, entrega o control de existencias, debe obtenerse de:</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xml:space="preserve">   Dictámenes que emitan proveedores autorizados por el SAT, en la periodicidad a que se refiere el apartado 32.3. </w:t>
      </w:r>
      <w:proofErr w:type="gramStart"/>
      <w:r w:rsidRPr="00FE77C9">
        <w:rPr>
          <w:rFonts w:ascii="Verdana" w:hAnsi="Verdana"/>
          <w:bCs/>
          <w:sz w:val="20"/>
        </w:rPr>
        <w:t>del</w:t>
      </w:r>
      <w:proofErr w:type="gramEnd"/>
      <w:r w:rsidRPr="00FE77C9">
        <w:rPr>
          <w:rFonts w:ascii="Verdana" w:hAnsi="Verdana"/>
          <w:bCs/>
          <w:sz w:val="20"/>
        </w:rPr>
        <w:t xml:space="preserve"> Anexo 32, e.</w:t>
      </w:r>
    </w:p>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Instrumentos instalados en línea para cromatografía o densidad, verificados por proveedores autorizados por el SAT.</w:t>
      </w:r>
    </w:p>
    <w:p w:rsidR="00FE77C9" w:rsidRPr="00FE77C9" w:rsidRDefault="00FE77C9" w:rsidP="00FE77C9">
      <w:pPr>
        <w:jc w:val="both"/>
        <w:rPr>
          <w:rFonts w:ascii="Verdana" w:hAnsi="Verdana"/>
          <w:bCs/>
          <w:sz w:val="20"/>
        </w:rPr>
      </w:pPr>
      <w:r w:rsidRPr="00FE77C9">
        <w:rPr>
          <w:rFonts w:ascii="Verdana" w:hAnsi="Verdana"/>
          <w:b/>
          <w:bCs/>
          <w:sz w:val="20"/>
        </w:rPr>
        <w:t>II.</w:t>
      </w:r>
      <w:r w:rsidRPr="00FE77C9">
        <w:rPr>
          <w:rFonts w:ascii="Verdana" w:hAnsi="Verdana"/>
          <w:bCs/>
          <w:sz w:val="20"/>
        </w:rPr>
        <w:t xml:space="preserve">     La información del tipo de los Hidrocarburos o Petrolíferos que debe registrarse y almacenarse en la UCC es la establecida en el apartado 32.4. </w:t>
      </w:r>
      <w:proofErr w:type="gramStart"/>
      <w:r w:rsidRPr="00FE77C9">
        <w:rPr>
          <w:rFonts w:ascii="Verdana" w:hAnsi="Verdana"/>
          <w:bCs/>
          <w:sz w:val="20"/>
        </w:rPr>
        <w:t>del</w:t>
      </w:r>
      <w:proofErr w:type="gramEnd"/>
      <w:r w:rsidRPr="00FE77C9">
        <w:rPr>
          <w:rFonts w:ascii="Verdana" w:hAnsi="Verdana"/>
          <w:bCs/>
          <w:sz w:val="20"/>
        </w:rPr>
        <w:t xml:space="preserve"> Anexo 32.</w:t>
      </w:r>
    </w:p>
    <w:p w:rsidR="00FE77C9" w:rsidRPr="00FE77C9" w:rsidRDefault="00FE77C9" w:rsidP="00FE77C9">
      <w:pPr>
        <w:jc w:val="both"/>
        <w:rPr>
          <w:rFonts w:ascii="Verdana" w:hAnsi="Verdana"/>
          <w:bCs/>
          <w:sz w:val="20"/>
        </w:rPr>
      </w:pPr>
      <w:r w:rsidRPr="00FE77C9">
        <w:rPr>
          <w:rFonts w:ascii="Verdana" w:hAnsi="Verdana"/>
          <w:b/>
          <w:bCs/>
          <w:sz w:val="20"/>
        </w:rPr>
        <w:t>III.</w:t>
      </w:r>
      <w:r w:rsidRPr="00FE77C9">
        <w:rPr>
          <w:rFonts w:ascii="Verdana" w:hAnsi="Verdana"/>
          <w:bCs/>
          <w:sz w:val="20"/>
        </w:rPr>
        <w:t>    El contribuyente es responsable de que la captura de la información del tipo de los Hidrocarburos o Petrolíferos se realice correctamente.</w:t>
      </w:r>
    </w:p>
    <w:p w:rsidR="00FE77C9" w:rsidRPr="00FE77C9" w:rsidRDefault="00FE77C9" w:rsidP="00FE77C9">
      <w:pPr>
        <w:jc w:val="both"/>
        <w:rPr>
          <w:rFonts w:ascii="Verdana" w:hAnsi="Verdana"/>
          <w:bCs/>
          <w:sz w:val="20"/>
        </w:rPr>
      </w:pPr>
      <w:r w:rsidRPr="00FE77C9">
        <w:rPr>
          <w:rFonts w:ascii="Verdana" w:hAnsi="Verdana"/>
          <w:bCs/>
          <w:sz w:val="20"/>
        </w:rPr>
        <w:t>       Los contribuyentes a que se refiere la regla 2.6.1.2., fracciones III, IV y V, deberán obtener la información del tipo de los Hidrocarburos o Petrolíferos, de los dictámenes que les proporcionen los contribuyentes a los que les presten servicios a que se refiere la regla 2.6.1.2., fracciones I, II, VI, VII y VIII, que estos últimos obtengan conforme al Anexo 32.</w:t>
      </w:r>
    </w:p>
    <w:p w:rsidR="00FE77C9" w:rsidRPr="00FE77C9" w:rsidRDefault="00FE77C9" w:rsidP="00FE77C9">
      <w:pPr>
        <w:jc w:val="both"/>
        <w:rPr>
          <w:rFonts w:ascii="Verdana" w:hAnsi="Verdana"/>
          <w:bCs/>
          <w:sz w:val="20"/>
        </w:rPr>
      </w:pPr>
      <w:r w:rsidRPr="00FE77C9">
        <w:rPr>
          <w:rFonts w:ascii="Verdana" w:hAnsi="Verdana"/>
          <w:b/>
          <w:bCs/>
          <w:sz w:val="20"/>
        </w:rPr>
        <w:t>30.4.3.</w:t>
      </w:r>
      <w:r w:rsidRPr="00FE77C9">
        <w:rPr>
          <w:rFonts w:ascii="Verdana" w:hAnsi="Verdana"/>
          <w:bCs/>
          <w:sz w:val="20"/>
        </w:rPr>
        <w:t>    </w:t>
      </w:r>
      <w:r w:rsidRPr="00FE77C9">
        <w:rPr>
          <w:rFonts w:ascii="Verdana" w:hAnsi="Verdana"/>
          <w:b/>
          <w:bCs/>
          <w:sz w:val="20"/>
        </w:rPr>
        <w:t>Información fiscal de los Hidrocarburos y Petrolíferos.</w:t>
      </w:r>
    </w:p>
    <w:p w:rsidR="00FE77C9" w:rsidRPr="00FE77C9" w:rsidRDefault="00FE77C9" w:rsidP="00FE77C9">
      <w:pPr>
        <w:jc w:val="both"/>
        <w:rPr>
          <w:rFonts w:ascii="Verdana" w:hAnsi="Verdana"/>
          <w:bCs/>
          <w:sz w:val="20"/>
        </w:rPr>
      </w:pPr>
      <w:r w:rsidRPr="00FE77C9">
        <w:rPr>
          <w:rFonts w:ascii="Verdana" w:hAnsi="Verdana"/>
          <w:bCs/>
          <w:sz w:val="20"/>
        </w:rPr>
        <w:t> </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Se consideran CFDI asociados a la adquisición y enajenación de Hidrocarburos o Petrolíferos o, en su caso, a los servicios que tuvieron por objeto tales bienes, a los siguientes:</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Tratándose de los contribuyentes a que se refiere la regla 2.6.1.2., fracción I, los CFDI que amparen la enajenación de los Hidrocarburos.</w:t>
      </w:r>
    </w:p>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Tratándose de los contribuyentes a que se refiere la regla 2.6.1.2., fracción II, los CFDI que amparen la adquisición de los Hidrocarburos y la enajenación de los Hidrocarburos o Petrolíferos.</w:t>
      </w:r>
    </w:p>
    <w:p w:rsidR="00FE77C9" w:rsidRPr="00FE77C9" w:rsidRDefault="00FE77C9" w:rsidP="00FE77C9">
      <w:pPr>
        <w:jc w:val="both"/>
        <w:rPr>
          <w:rFonts w:ascii="Verdana" w:hAnsi="Verdana"/>
          <w:bCs/>
          <w:sz w:val="20"/>
        </w:rPr>
      </w:pPr>
      <w:r w:rsidRPr="00FE77C9">
        <w:rPr>
          <w:rFonts w:ascii="Verdana" w:hAnsi="Verdana"/>
          <w:b/>
          <w:bCs/>
          <w:sz w:val="20"/>
        </w:rPr>
        <w:lastRenderedPageBreak/>
        <w:t>c)</w:t>
      </w:r>
      <w:r w:rsidRPr="00FE77C9">
        <w:rPr>
          <w:rFonts w:ascii="Verdana" w:hAnsi="Verdana"/>
          <w:bCs/>
          <w:sz w:val="20"/>
        </w:rPr>
        <w:t>   Tratándose de los contribuyentes a que se refiere la regla 2.6.1.2., fracciones III, IV, V y VII los CFDI que amparen la prestación del servicio correspondiente.</w:t>
      </w:r>
    </w:p>
    <w:p w:rsidR="00FE77C9" w:rsidRPr="00FE77C9" w:rsidRDefault="00FE77C9" w:rsidP="00FE77C9">
      <w:pPr>
        <w:jc w:val="both"/>
        <w:rPr>
          <w:rFonts w:ascii="Verdana" w:hAnsi="Verdana"/>
          <w:bCs/>
          <w:sz w:val="20"/>
        </w:rPr>
      </w:pPr>
      <w:r w:rsidRPr="00FE77C9">
        <w:rPr>
          <w:rFonts w:ascii="Verdana" w:hAnsi="Verdana"/>
          <w:b/>
          <w:bCs/>
          <w:sz w:val="20"/>
        </w:rPr>
        <w:t>d)</w:t>
      </w:r>
      <w:r w:rsidRPr="00FE77C9">
        <w:rPr>
          <w:rFonts w:ascii="Verdana" w:hAnsi="Verdana"/>
          <w:bCs/>
          <w:sz w:val="20"/>
        </w:rPr>
        <w:t>   Tratándose de los contribuyentes a que se refiere la regla 2.6.1.2., fracción VI, los CFDI que amparen la adquisición de gas natural o Petrolíferos.</w:t>
      </w:r>
    </w:p>
    <w:p w:rsidR="00FE77C9" w:rsidRPr="00FE77C9" w:rsidRDefault="00FE77C9" w:rsidP="00FE77C9">
      <w:pPr>
        <w:jc w:val="both"/>
        <w:rPr>
          <w:rFonts w:ascii="Verdana" w:hAnsi="Verdana"/>
          <w:bCs/>
          <w:sz w:val="20"/>
        </w:rPr>
      </w:pPr>
      <w:r w:rsidRPr="00FE77C9">
        <w:rPr>
          <w:rFonts w:ascii="Verdana" w:hAnsi="Verdana"/>
          <w:b/>
          <w:bCs/>
          <w:sz w:val="20"/>
        </w:rPr>
        <w:t>e)</w:t>
      </w:r>
      <w:r w:rsidRPr="00FE77C9">
        <w:rPr>
          <w:rFonts w:ascii="Verdana" w:hAnsi="Verdana"/>
          <w:bCs/>
          <w:sz w:val="20"/>
        </w:rPr>
        <w:t>   Tratándose de los contribuyentes a que se refiere la regla 2.6.1.2., fracciones VII y VIII, que enajenen gas natural o Petrolíferos en los términos del artículo 4, fracción XIII de la Ley de Hidrocarburos, los CFDI que amparen la adquisición de gas natural o Petrolíferos, así como los que amparen la enajenación de los mismos.</w:t>
      </w:r>
    </w:p>
    <w:p w:rsidR="00FE77C9" w:rsidRPr="00FE77C9" w:rsidRDefault="00FE77C9" w:rsidP="00FE77C9">
      <w:pPr>
        <w:jc w:val="both"/>
        <w:rPr>
          <w:rFonts w:ascii="Verdana" w:hAnsi="Verdana"/>
          <w:bCs/>
          <w:sz w:val="20"/>
        </w:rPr>
      </w:pPr>
      <w:r w:rsidRPr="00FE77C9">
        <w:rPr>
          <w:rFonts w:ascii="Verdana" w:hAnsi="Verdana"/>
          <w:b/>
          <w:bCs/>
          <w:sz w:val="20"/>
        </w:rPr>
        <w:t>f)</w:t>
      </w:r>
      <w:r w:rsidRPr="00FE77C9">
        <w:rPr>
          <w:rFonts w:ascii="Verdana" w:hAnsi="Verdana"/>
          <w:bCs/>
          <w:sz w:val="20"/>
        </w:rPr>
        <w:t>    Tratándose de los contribuyentes a que se refiere la regla 2.6.1.2., fracción VIII, que enajenen gas natural o Petrolíferos en los términos del artículo 19, fracción I del Reglamento de las actividades a que se refiere el Título Tercero de la Ley de Hidrocarburos, los CFDI que amparen la adquisición de gas natural o Petrolíferos, los que amparen la enajenación de los mismos; así como, en su caso, los CFDI de los servicios que les presten los contribuyentes a que se refiere la regla 2.6.1.2., fracciones III, IV, V y VII.</w:t>
      </w:r>
    </w:p>
    <w:p w:rsidR="00FE77C9" w:rsidRPr="00FE77C9" w:rsidRDefault="00FE77C9" w:rsidP="00FE77C9">
      <w:pPr>
        <w:jc w:val="both"/>
        <w:rPr>
          <w:rFonts w:ascii="Verdana" w:hAnsi="Verdana"/>
          <w:bCs/>
          <w:sz w:val="20"/>
        </w:rPr>
      </w:pPr>
      <w:r w:rsidRPr="00FE77C9">
        <w:rPr>
          <w:rFonts w:ascii="Verdana" w:hAnsi="Verdana"/>
          <w:b/>
          <w:bCs/>
          <w:sz w:val="20"/>
        </w:rPr>
        <w:t>II.</w:t>
      </w:r>
      <w:r w:rsidRPr="00FE77C9">
        <w:rPr>
          <w:rFonts w:ascii="Verdana" w:hAnsi="Verdana"/>
          <w:bCs/>
          <w:sz w:val="20"/>
        </w:rPr>
        <w:t xml:space="preserve">     La información fiscal contenida en tales CFDI que debe registrarse y almacenarse en la UCC, es la establecida en el apartado 30.6.1.2.4. </w:t>
      </w:r>
      <w:proofErr w:type="gramStart"/>
      <w:r w:rsidRPr="00FE77C9">
        <w:rPr>
          <w:rFonts w:ascii="Verdana" w:hAnsi="Verdana"/>
          <w:bCs/>
          <w:sz w:val="20"/>
        </w:rPr>
        <w:t>de</w:t>
      </w:r>
      <w:proofErr w:type="gramEnd"/>
      <w:r w:rsidRPr="00FE77C9">
        <w:rPr>
          <w:rFonts w:ascii="Verdana" w:hAnsi="Verdana"/>
          <w:bCs/>
          <w:sz w:val="20"/>
        </w:rPr>
        <w:t xml:space="preserve"> este Anexo.</w:t>
      </w:r>
    </w:p>
    <w:p w:rsidR="00FE77C9" w:rsidRPr="00FE77C9" w:rsidRDefault="00FE77C9" w:rsidP="00FE77C9">
      <w:pPr>
        <w:jc w:val="both"/>
        <w:rPr>
          <w:rFonts w:ascii="Verdana" w:hAnsi="Verdana"/>
          <w:bCs/>
          <w:sz w:val="20"/>
        </w:rPr>
      </w:pPr>
      <w:r w:rsidRPr="00FE77C9">
        <w:rPr>
          <w:rFonts w:ascii="Verdana" w:hAnsi="Verdana"/>
          <w:b/>
          <w:bCs/>
          <w:sz w:val="20"/>
        </w:rPr>
        <w:t>III.</w:t>
      </w:r>
      <w:r w:rsidRPr="00FE77C9">
        <w:rPr>
          <w:rFonts w:ascii="Verdana" w:hAnsi="Verdana"/>
          <w:bCs/>
          <w:sz w:val="20"/>
        </w:rPr>
        <w:t>    Se consideran pedimentos asociados a la adquisición de Hidrocarburos o Petrolíferos a los siguientes:</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Tratándose de los contribuyentes a que se refiere la regla 2.6.1.2., fracción II, los pedimentos de importación que amparen la adquisición de los Hidrocarburos.</w:t>
      </w:r>
    </w:p>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Tratándose de los contribuyentes a que se refiere la regla 2.6.1.2., fracciones VI, VII y VIII, el pedimento que ampare la adquisición de gas natural y Petrolíferos.</w:t>
      </w:r>
    </w:p>
    <w:p w:rsidR="00FE77C9" w:rsidRPr="00FE77C9" w:rsidRDefault="00FE77C9" w:rsidP="00FE77C9">
      <w:pPr>
        <w:jc w:val="both"/>
        <w:rPr>
          <w:rFonts w:ascii="Verdana" w:hAnsi="Verdana"/>
          <w:bCs/>
          <w:sz w:val="20"/>
        </w:rPr>
      </w:pPr>
      <w:r w:rsidRPr="00FE77C9">
        <w:rPr>
          <w:rFonts w:ascii="Verdana" w:hAnsi="Verdana"/>
          <w:b/>
          <w:bCs/>
          <w:sz w:val="20"/>
        </w:rPr>
        <w:t>30.5.</w:t>
      </w:r>
      <w:r w:rsidRPr="00FE77C9">
        <w:rPr>
          <w:rFonts w:ascii="Verdana" w:hAnsi="Verdana"/>
          <w:bCs/>
          <w:sz w:val="20"/>
        </w:rPr>
        <w:t>      </w:t>
      </w:r>
      <w:r w:rsidRPr="00FE77C9">
        <w:rPr>
          <w:rFonts w:ascii="Verdana" w:hAnsi="Verdana"/>
          <w:b/>
          <w:bCs/>
          <w:sz w:val="20"/>
        </w:rPr>
        <w:t>Equipos para llevar controles volumétricos (sistemas de medición).</w:t>
      </w:r>
    </w:p>
    <w:p w:rsidR="00FE77C9" w:rsidRPr="00FE77C9" w:rsidRDefault="00FE77C9" w:rsidP="00FE77C9">
      <w:pPr>
        <w:jc w:val="both"/>
        <w:rPr>
          <w:rFonts w:ascii="Verdana" w:hAnsi="Verdana"/>
          <w:bCs/>
          <w:sz w:val="20"/>
        </w:rPr>
      </w:pPr>
      <w:r w:rsidRPr="00FE77C9">
        <w:rPr>
          <w:rFonts w:ascii="Verdana" w:hAnsi="Verdana"/>
          <w:bCs/>
          <w:sz w:val="20"/>
        </w:rPr>
        <w:t>Los contribuyentes referidos en la regla 2.6.1.2., excepto los comercializadores que enajenen gas natural o Petrolíferos en los términos del artículo 19, fracción I del Reglamento de las actividades a que se refiere el Título Tercero de la Ley de Hidrocarburos, estarán a lo siguiente:</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xml:space="preserve">     Deben tener sistemas de medición para generar la información de los volúmenes de las operaciones y de las existencias de los Hidrocarburos o Petrolíferos, que cumplan con lo establecido en el apartado 30.5.1. </w:t>
      </w:r>
      <w:proofErr w:type="gramStart"/>
      <w:r w:rsidRPr="00FE77C9">
        <w:rPr>
          <w:rFonts w:ascii="Verdana" w:hAnsi="Verdana"/>
          <w:bCs/>
          <w:sz w:val="20"/>
        </w:rPr>
        <w:t>de</w:t>
      </w:r>
      <w:proofErr w:type="gramEnd"/>
      <w:r w:rsidRPr="00FE77C9">
        <w:rPr>
          <w:rFonts w:ascii="Verdana" w:hAnsi="Verdana"/>
          <w:bCs/>
          <w:sz w:val="20"/>
        </w:rPr>
        <w:t xml:space="preserve"> este Anexo.</w:t>
      </w:r>
    </w:p>
    <w:p w:rsidR="00FE77C9" w:rsidRPr="00FE77C9" w:rsidRDefault="00FE77C9" w:rsidP="00FE77C9">
      <w:pPr>
        <w:jc w:val="both"/>
        <w:rPr>
          <w:rFonts w:ascii="Verdana" w:hAnsi="Verdana"/>
          <w:bCs/>
          <w:sz w:val="20"/>
        </w:rPr>
      </w:pPr>
      <w:r w:rsidRPr="00FE77C9">
        <w:rPr>
          <w:rFonts w:ascii="Verdana" w:hAnsi="Verdana"/>
          <w:b/>
          <w:bCs/>
          <w:sz w:val="20"/>
        </w:rPr>
        <w:t>II.</w:t>
      </w:r>
      <w:r w:rsidRPr="00FE77C9">
        <w:rPr>
          <w:rFonts w:ascii="Verdana" w:hAnsi="Verdana"/>
          <w:bCs/>
          <w:sz w:val="20"/>
        </w:rPr>
        <w:t>     La cantidad de sistemas de medición requeridos para la cuantificación del volumen, dependerá de las instalaciones o proceso de que se trate.</w:t>
      </w:r>
    </w:p>
    <w:p w:rsidR="00FE77C9" w:rsidRPr="00FE77C9" w:rsidRDefault="00FE77C9" w:rsidP="00FE77C9">
      <w:pPr>
        <w:jc w:val="both"/>
        <w:rPr>
          <w:rFonts w:ascii="Verdana" w:hAnsi="Verdana"/>
          <w:bCs/>
          <w:sz w:val="20"/>
        </w:rPr>
      </w:pPr>
      <w:r w:rsidRPr="00FE77C9">
        <w:rPr>
          <w:rFonts w:ascii="Verdana" w:hAnsi="Verdana"/>
          <w:b/>
          <w:bCs/>
          <w:sz w:val="20"/>
        </w:rPr>
        <w:t>III.</w:t>
      </w:r>
      <w:r w:rsidRPr="00FE77C9">
        <w:rPr>
          <w:rFonts w:ascii="Verdana" w:hAnsi="Verdana"/>
          <w:bCs/>
          <w:sz w:val="20"/>
        </w:rPr>
        <w:t>    Los sistemas de medición deben instalarse en los siguientes puntos:</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Cabezal de pozo o de recolección:</w:t>
      </w:r>
    </w:p>
    <w:p w:rsidR="00FE77C9" w:rsidRPr="00FE77C9" w:rsidRDefault="00FE77C9" w:rsidP="00FE77C9">
      <w:pPr>
        <w:jc w:val="both"/>
        <w:rPr>
          <w:rFonts w:ascii="Verdana" w:hAnsi="Verdana"/>
          <w:bCs/>
          <w:sz w:val="20"/>
        </w:rPr>
      </w:pPr>
      <w:r w:rsidRPr="00FE77C9">
        <w:rPr>
          <w:rFonts w:ascii="Verdana" w:hAnsi="Verdana"/>
          <w:bCs/>
          <w:sz w:val="20"/>
        </w:rPr>
        <w:lastRenderedPageBreak/>
        <w:t>      En el cabezal de pozo o el cabezal de producción, el petróleo extraído de los yacimientos es una mezcla de petróleo, gas natural, agua y otros componentes, por lo que la medición de flujo debe realizarse por medio de un medidor multifásico o un separador de medición.</w:t>
      </w:r>
    </w:p>
    <w:p w:rsidR="00FE77C9" w:rsidRPr="00FE77C9" w:rsidRDefault="00FE77C9" w:rsidP="00FE77C9">
      <w:pPr>
        <w:jc w:val="both"/>
        <w:rPr>
          <w:rFonts w:ascii="Verdana" w:hAnsi="Verdana"/>
          <w:bCs/>
          <w:sz w:val="20"/>
        </w:rPr>
      </w:pPr>
      <w:r w:rsidRPr="00FE77C9">
        <w:rPr>
          <w:rFonts w:ascii="Verdana" w:hAnsi="Verdana"/>
          <w:bCs/>
          <w:sz w:val="20"/>
        </w:rPr>
        <w:t xml:space="preserve">      El medidor multifásico o el separador de medición </w:t>
      </w:r>
      <w:proofErr w:type="gramStart"/>
      <w:r w:rsidRPr="00FE77C9">
        <w:rPr>
          <w:rFonts w:ascii="Verdana" w:hAnsi="Verdana"/>
          <w:bCs/>
          <w:sz w:val="20"/>
        </w:rPr>
        <w:t>debe</w:t>
      </w:r>
      <w:proofErr w:type="gramEnd"/>
      <w:r w:rsidRPr="00FE77C9">
        <w:rPr>
          <w:rFonts w:ascii="Verdana" w:hAnsi="Verdana"/>
          <w:bCs/>
          <w:sz w:val="20"/>
        </w:rPr>
        <w:t xml:space="preserve"> estar instalado corriente abajo del pozo o del cabezal de recolección, para cuantificar los volúmenes de petróleo y gas natural.</w:t>
      </w:r>
    </w:p>
    <w:p w:rsidR="00FE77C9" w:rsidRPr="00FE77C9" w:rsidRDefault="00FE77C9" w:rsidP="00FE77C9">
      <w:pPr>
        <w:jc w:val="both"/>
        <w:rPr>
          <w:rFonts w:ascii="Verdana" w:hAnsi="Verdana"/>
          <w:bCs/>
          <w:sz w:val="20"/>
        </w:rPr>
      </w:pPr>
      <w:r w:rsidRPr="00FE77C9">
        <w:rPr>
          <w:rFonts w:ascii="Verdana" w:hAnsi="Verdana"/>
          <w:bCs/>
          <w:sz w:val="20"/>
        </w:rPr>
        <w:t>      Se debe seleccionar el medidor multifásico o el separador de medición conforme a los requisitos metrológicos: características de los fluidos, intervalos de medición y condiciones técnicas u operativas del proceso.</w:t>
      </w:r>
    </w:p>
    <w:p w:rsidR="00FE77C9" w:rsidRPr="00FE77C9" w:rsidRDefault="00FE77C9" w:rsidP="00FE77C9">
      <w:pPr>
        <w:jc w:val="both"/>
        <w:rPr>
          <w:rFonts w:ascii="Verdana" w:hAnsi="Verdana"/>
          <w:bCs/>
          <w:sz w:val="20"/>
        </w:rPr>
      </w:pPr>
      <w:r w:rsidRPr="00FE77C9">
        <w:rPr>
          <w:rFonts w:ascii="Verdana" w:hAnsi="Verdana"/>
          <w:bCs/>
          <w:sz w:val="20"/>
        </w:rPr>
        <w:t>      El medidor multifásico debe cumplir con la normatividad descrita en el apartado 30.7., fracciones I, V y VI.</w:t>
      </w:r>
    </w:p>
    <w:p w:rsidR="00FE77C9" w:rsidRPr="00FE77C9" w:rsidRDefault="00FE77C9" w:rsidP="00FE77C9">
      <w:pPr>
        <w:jc w:val="both"/>
        <w:rPr>
          <w:rFonts w:ascii="Verdana" w:hAnsi="Verdana"/>
          <w:bCs/>
          <w:sz w:val="20"/>
        </w:rPr>
      </w:pPr>
      <w:r w:rsidRPr="00FE77C9">
        <w:rPr>
          <w:rFonts w:ascii="Verdana" w:hAnsi="Verdana"/>
          <w:bCs/>
          <w:sz w:val="20"/>
        </w:rPr>
        <w:t>      Los medidores del separador de medición deben cumplir con la normatividad descrita en el</w:t>
      </w:r>
    </w:p>
    <w:p w:rsidR="00FE77C9" w:rsidRPr="00FE77C9" w:rsidRDefault="00FE77C9" w:rsidP="00FE77C9">
      <w:pPr>
        <w:jc w:val="both"/>
        <w:rPr>
          <w:rFonts w:ascii="Verdana" w:hAnsi="Verdana"/>
          <w:bCs/>
          <w:sz w:val="20"/>
        </w:rPr>
      </w:pPr>
      <w:proofErr w:type="gramStart"/>
      <w:r w:rsidRPr="00FE77C9">
        <w:rPr>
          <w:rFonts w:ascii="Verdana" w:hAnsi="Verdana"/>
          <w:bCs/>
          <w:sz w:val="20"/>
        </w:rPr>
        <w:t>apartado</w:t>
      </w:r>
      <w:proofErr w:type="gramEnd"/>
      <w:r w:rsidRPr="00FE77C9">
        <w:rPr>
          <w:rFonts w:ascii="Verdana" w:hAnsi="Verdana"/>
          <w:bCs/>
          <w:sz w:val="20"/>
        </w:rPr>
        <w:t xml:space="preserve"> 30.7., fracciones I y VI, así como III para la salida de petróleo o, IV para la salida de gas natural.</w:t>
      </w:r>
    </w:p>
    <w:p w:rsidR="00FE77C9" w:rsidRPr="00FE77C9" w:rsidRDefault="00FE77C9" w:rsidP="00FE77C9">
      <w:pPr>
        <w:jc w:val="both"/>
        <w:rPr>
          <w:rFonts w:ascii="Verdana" w:hAnsi="Verdana"/>
          <w:bCs/>
          <w:sz w:val="20"/>
        </w:rPr>
      </w:pPr>
      <w:r w:rsidRPr="00FE77C9">
        <w:rPr>
          <w:rFonts w:ascii="Verdana" w:hAnsi="Verdana"/>
          <w:bCs/>
          <w:sz w:val="20"/>
        </w:rPr>
        <w:t>      Del sistema de medición que se debe implementar en el cabezal de pozo o de recolección, se obtendrán los registros del volumen de producción (recepción), los cuales pueden corresponder a uno o varios pozos.</w:t>
      </w:r>
    </w:p>
    <w:p w:rsidR="00FE77C9" w:rsidRPr="00FE77C9" w:rsidRDefault="00FE77C9" w:rsidP="00FE77C9">
      <w:pPr>
        <w:jc w:val="both"/>
        <w:rPr>
          <w:rFonts w:ascii="Verdana" w:hAnsi="Verdana"/>
          <w:bCs/>
          <w:sz w:val="20"/>
        </w:rPr>
      </w:pPr>
      <w:r w:rsidRPr="00FE77C9">
        <w:rPr>
          <w:rFonts w:ascii="Verdana" w:hAnsi="Verdana"/>
          <w:bCs/>
          <w:sz w:val="20"/>
        </w:rPr>
        <w:t>      Se deben realizar registros de la producción diaria y la producción acumulada mensual.</w:t>
      </w:r>
    </w:p>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Estaciones de proceso:</w:t>
      </w:r>
    </w:p>
    <w:p w:rsidR="00FE77C9" w:rsidRPr="00FE77C9" w:rsidRDefault="00FE77C9" w:rsidP="00FE77C9">
      <w:pPr>
        <w:jc w:val="both"/>
        <w:rPr>
          <w:rFonts w:ascii="Verdana" w:hAnsi="Verdana"/>
          <w:bCs/>
          <w:sz w:val="20"/>
        </w:rPr>
      </w:pPr>
      <w:r w:rsidRPr="00FE77C9">
        <w:rPr>
          <w:rFonts w:ascii="Verdana" w:hAnsi="Verdana"/>
          <w:bCs/>
          <w:sz w:val="20"/>
        </w:rPr>
        <w:t>      En las estaciones de proceso de petróleo o gas natural y sus condensados, el sistema de medición se debe implementar en la etapa de almacenamiento para integrar los registros de las operaciones de producción (recepción), entrega y de control de existencias de los Hidrocarburos o Petrolíferos de que se trate.</w:t>
      </w:r>
    </w:p>
    <w:p w:rsidR="00FE77C9" w:rsidRPr="00FE77C9" w:rsidRDefault="00FE77C9" w:rsidP="00FE77C9">
      <w:pPr>
        <w:jc w:val="both"/>
        <w:rPr>
          <w:rFonts w:ascii="Verdana" w:hAnsi="Verdana"/>
          <w:bCs/>
          <w:sz w:val="20"/>
        </w:rPr>
      </w:pPr>
      <w:r w:rsidRPr="00FE77C9">
        <w:rPr>
          <w:rFonts w:ascii="Verdana" w:hAnsi="Verdana"/>
          <w:bCs/>
          <w:sz w:val="20"/>
        </w:rPr>
        <w:t>      Se deben instalar medidores dinámicos en los ductos de entrada y salida al (a los) medio(s) de almacenamiento y medidor(es) estático(s) en el (los) medio(s) de almacenamiento.</w:t>
      </w:r>
    </w:p>
    <w:p w:rsidR="00FE77C9" w:rsidRPr="00FE77C9" w:rsidRDefault="00FE77C9" w:rsidP="00FE77C9">
      <w:pPr>
        <w:jc w:val="both"/>
        <w:rPr>
          <w:rFonts w:ascii="Verdana" w:hAnsi="Verdana"/>
          <w:bCs/>
          <w:sz w:val="20"/>
        </w:rPr>
      </w:pPr>
      <w:r w:rsidRPr="00FE77C9">
        <w:rPr>
          <w:rFonts w:ascii="Verdana" w:hAnsi="Verdana"/>
          <w:bCs/>
          <w:sz w:val="20"/>
        </w:rPr>
        <w:t>      Se deben seleccionar los medidores conforme a los requisitos metrológicos: características de los fluidos, intervalos de medición y condiciones técnicas u operativas del proceso.</w:t>
      </w:r>
    </w:p>
    <w:p w:rsidR="00FE77C9" w:rsidRPr="00FE77C9" w:rsidRDefault="00FE77C9" w:rsidP="00FE77C9">
      <w:pPr>
        <w:jc w:val="both"/>
        <w:rPr>
          <w:rFonts w:ascii="Verdana" w:hAnsi="Verdana"/>
          <w:bCs/>
          <w:sz w:val="20"/>
        </w:rPr>
      </w:pPr>
      <w:r w:rsidRPr="00FE77C9">
        <w:rPr>
          <w:rFonts w:ascii="Verdana" w:hAnsi="Verdana"/>
          <w:bCs/>
          <w:sz w:val="20"/>
        </w:rPr>
        <w:t>      Los medidores estáticos deben cumplir con la normatividad descrita en el apartado 30.7., fracciones I y II, que les corresponda, así como VI.</w:t>
      </w:r>
    </w:p>
    <w:p w:rsidR="00FE77C9" w:rsidRPr="00FE77C9" w:rsidRDefault="00FE77C9" w:rsidP="00FE77C9">
      <w:pPr>
        <w:jc w:val="both"/>
        <w:rPr>
          <w:rFonts w:ascii="Verdana" w:hAnsi="Verdana"/>
          <w:bCs/>
          <w:sz w:val="20"/>
        </w:rPr>
      </w:pPr>
      <w:r w:rsidRPr="00FE77C9">
        <w:rPr>
          <w:rFonts w:ascii="Verdana" w:hAnsi="Verdana"/>
          <w:bCs/>
          <w:sz w:val="20"/>
        </w:rPr>
        <w:t>      Los medidores dinámicos deben cumplir con la normatividad descrita en el apartado 30.7., fracciones I y VI, así como III para el petróleo o, IV para el gas natural.</w:t>
      </w:r>
    </w:p>
    <w:p w:rsidR="00FE77C9" w:rsidRPr="00FE77C9" w:rsidRDefault="00FE77C9" w:rsidP="00FE77C9">
      <w:pPr>
        <w:jc w:val="both"/>
        <w:rPr>
          <w:rFonts w:ascii="Verdana" w:hAnsi="Verdana"/>
          <w:bCs/>
          <w:sz w:val="20"/>
        </w:rPr>
      </w:pPr>
      <w:r w:rsidRPr="00FE77C9">
        <w:rPr>
          <w:rFonts w:ascii="Verdana" w:hAnsi="Verdana"/>
          <w:b/>
          <w:bCs/>
          <w:sz w:val="20"/>
        </w:rPr>
        <w:lastRenderedPageBreak/>
        <w:t>c)</w:t>
      </w:r>
      <w:r w:rsidRPr="00FE77C9">
        <w:rPr>
          <w:rFonts w:ascii="Verdana" w:hAnsi="Verdana"/>
          <w:bCs/>
          <w:sz w:val="20"/>
        </w:rPr>
        <w:t>   Producción de Petrolíferos:</w:t>
      </w:r>
    </w:p>
    <w:p w:rsidR="00FE77C9" w:rsidRPr="00FE77C9" w:rsidRDefault="00FE77C9" w:rsidP="00FE77C9">
      <w:pPr>
        <w:jc w:val="both"/>
        <w:rPr>
          <w:rFonts w:ascii="Verdana" w:hAnsi="Verdana"/>
          <w:bCs/>
          <w:sz w:val="20"/>
        </w:rPr>
      </w:pPr>
      <w:r w:rsidRPr="00FE77C9">
        <w:rPr>
          <w:rFonts w:ascii="Verdana" w:hAnsi="Verdana"/>
          <w:bCs/>
          <w:sz w:val="20"/>
        </w:rPr>
        <w:t>      En las refinerías el sistema de medición se debe implementar en la etapa de almacenamiento para generar los registros de las operaciones de producción (recepción), entrega y control de existencias de Hidrocarburos o Petrolíferos de que se trate.</w:t>
      </w:r>
    </w:p>
    <w:p w:rsidR="00FE77C9" w:rsidRPr="00FE77C9" w:rsidRDefault="00FE77C9" w:rsidP="00FE77C9">
      <w:pPr>
        <w:jc w:val="both"/>
        <w:rPr>
          <w:rFonts w:ascii="Verdana" w:hAnsi="Verdana"/>
          <w:bCs/>
          <w:sz w:val="20"/>
        </w:rPr>
      </w:pPr>
      <w:r w:rsidRPr="00FE77C9">
        <w:rPr>
          <w:rFonts w:ascii="Verdana" w:hAnsi="Verdana"/>
          <w:bCs/>
          <w:sz w:val="20"/>
        </w:rPr>
        <w:t>      Se deben instalar medidores dinámicos en los ductos de entrada y salida al (a los) medio(s) de almacenamiento y medidor(es) estático(s) en el (los) medio(s) de almacenamiento.</w:t>
      </w:r>
    </w:p>
    <w:p w:rsidR="00FE77C9" w:rsidRPr="00FE77C9" w:rsidRDefault="00FE77C9" w:rsidP="00FE77C9">
      <w:pPr>
        <w:jc w:val="both"/>
        <w:rPr>
          <w:rFonts w:ascii="Verdana" w:hAnsi="Verdana"/>
          <w:bCs/>
          <w:sz w:val="20"/>
        </w:rPr>
      </w:pPr>
      <w:r w:rsidRPr="00FE77C9">
        <w:rPr>
          <w:rFonts w:ascii="Verdana" w:hAnsi="Verdana"/>
          <w:bCs/>
          <w:sz w:val="20"/>
        </w:rPr>
        <w:t>      Se deben seleccionar los medidores conforme a los requisitos metrológicos: características de los fluidos, intervalos de medición y condiciones técnicas u operativas del proceso.</w:t>
      </w:r>
    </w:p>
    <w:p w:rsidR="00FE77C9" w:rsidRPr="00FE77C9" w:rsidRDefault="00FE77C9" w:rsidP="00FE77C9">
      <w:pPr>
        <w:jc w:val="both"/>
        <w:rPr>
          <w:rFonts w:ascii="Verdana" w:hAnsi="Verdana"/>
          <w:bCs/>
          <w:sz w:val="20"/>
        </w:rPr>
      </w:pPr>
      <w:r w:rsidRPr="00FE77C9">
        <w:rPr>
          <w:rFonts w:ascii="Verdana" w:hAnsi="Verdana"/>
          <w:bCs/>
          <w:sz w:val="20"/>
        </w:rPr>
        <w:t>      Los medidores estáticos deben cumplir con la normatividad descrita en el apartado 30.7., fracciones I y II, que les corresponda, así como VI.</w:t>
      </w:r>
    </w:p>
    <w:p w:rsidR="00FE77C9" w:rsidRPr="00FE77C9" w:rsidRDefault="00FE77C9" w:rsidP="00FE77C9">
      <w:pPr>
        <w:jc w:val="both"/>
        <w:rPr>
          <w:rFonts w:ascii="Verdana" w:hAnsi="Verdana"/>
          <w:bCs/>
          <w:sz w:val="20"/>
        </w:rPr>
      </w:pPr>
      <w:r w:rsidRPr="00FE77C9">
        <w:rPr>
          <w:rFonts w:ascii="Verdana" w:hAnsi="Verdana"/>
          <w:bCs/>
          <w:sz w:val="20"/>
        </w:rPr>
        <w:t>      Los medidores dinámicos deben cumplir con la normatividad descrita en el apartado 30.7., fracciones I y VI, así como III para el petróleo o, IV para el gas natural.</w:t>
      </w:r>
    </w:p>
    <w:p w:rsidR="00FE77C9" w:rsidRPr="00FE77C9" w:rsidRDefault="00FE77C9" w:rsidP="00FE77C9">
      <w:pPr>
        <w:jc w:val="both"/>
        <w:rPr>
          <w:rFonts w:ascii="Verdana" w:hAnsi="Verdana"/>
          <w:bCs/>
          <w:sz w:val="20"/>
        </w:rPr>
      </w:pPr>
      <w:r w:rsidRPr="00FE77C9">
        <w:rPr>
          <w:rFonts w:ascii="Verdana" w:hAnsi="Verdana"/>
          <w:b/>
          <w:bCs/>
          <w:sz w:val="20"/>
        </w:rPr>
        <w:t>d)</w:t>
      </w:r>
      <w:r w:rsidRPr="00FE77C9">
        <w:rPr>
          <w:rFonts w:ascii="Verdana" w:hAnsi="Verdana"/>
          <w:bCs/>
          <w:sz w:val="20"/>
        </w:rPr>
        <w:t>   Terminales de almacenamiento y áreas de almacenamiento para usos propios:</w:t>
      </w:r>
    </w:p>
    <w:p w:rsidR="00FE77C9" w:rsidRPr="00FE77C9" w:rsidRDefault="00FE77C9" w:rsidP="00FE77C9">
      <w:pPr>
        <w:jc w:val="both"/>
        <w:rPr>
          <w:rFonts w:ascii="Verdana" w:hAnsi="Verdana"/>
          <w:bCs/>
          <w:sz w:val="20"/>
        </w:rPr>
      </w:pPr>
      <w:r w:rsidRPr="00FE77C9">
        <w:rPr>
          <w:rFonts w:ascii="Verdana" w:hAnsi="Verdana"/>
          <w:bCs/>
          <w:sz w:val="20"/>
        </w:rPr>
        <w:t>      En las terminales de almacenamiento, así como en las áreas de almacenamiento para usos propios, el sistema de medición se debe implementar para generar los registros del volumen de las operaciones de recepción, entrega y control de existencias de los Hidrocarburos o Petrolíferos de que se trate.</w:t>
      </w:r>
    </w:p>
    <w:p w:rsidR="00FE77C9" w:rsidRPr="00FE77C9" w:rsidRDefault="00FE77C9" w:rsidP="00FE77C9">
      <w:pPr>
        <w:jc w:val="both"/>
        <w:rPr>
          <w:rFonts w:ascii="Verdana" w:hAnsi="Verdana"/>
          <w:bCs/>
          <w:sz w:val="20"/>
        </w:rPr>
      </w:pPr>
      <w:r w:rsidRPr="00FE77C9">
        <w:rPr>
          <w:rFonts w:ascii="Verdana" w:hAnsi="Verdana"/>
          <w:bCs/>
          <w:sz w:val="20"/>
        </w:rPr>
        <w:t>      Las operaciones de recepción que se realicen en las terminales de almacenamiento o en las áreas de almacenamiento para usos propios, deben corresponder a los volúmenes recibidos por algún medio de transporte o distribución.</w:t>
      </w:r>
    </w:p>
    <w:p w:rsidR="00FE77C9" w:rsidRPr="00FE77C9" w:rsidRDefault="00FE77C9" w:rsidP="00FE77C9">
      <w:pPr>
        <w:jc w:val="both"/>
        <w:rPr>
          <w:rFonts w:ascii="Verdana" w:hAnsi="Verdana"/>
          <w:bCs/>
          <w:sz w:val="20"/>
        </w:rPr>
      </w:pPr>
      <w:r w:rsidRPr="00FE77C9">
        <w:rPr>
          <w:rFonts w:ascii="Verdana" w:hAnsi="Verdana"/>
          <w:bCs/>
          <w:sz w:val="20"/>
        </w:rPr>
        <w:t>      Las operaciones de entrega que se realicen en las terminales de almacenamiento deben corresponder a los volúmenes transferidos a través de algún medio de transporte o distribución.</w:t>
      </w:r>
    </w:p>
    <w:p w:rsidR="00FE77C9" w:rsidRPr="00FE77C9" w:rsidRDefault="00FE77C9" w:rsidP="00FE77C9">
      <w:pPr>
        <w:jc w:val="both"/>
        <w:rPr>
          <w:rFonts w:ascii="Verdana" w:hAnsi="Verdana"/>
          <w:bCs/>
          <w:sz w:val="20"/>
        </w:rPr>
      </w:pPr>
      <w:r w:rsidRPr="00FE77C9">
        <w:rPr>
          <w:rFonts w:ascii="Verdana" w:hAnsi="Verdana"/>
          <w:bCs/>
          <w:sz w:val="20"/>
        </w:rPr>
        <w:t>      Se deben instalar medidores dinámicos en los ductos de entrada y salida al (a los) medio(s) de almacenamiento y medidor(es) estático(s) en el (los) medio(s) de almacenamiento.</w:t>
      </w:r>
    </w:p>
    <w:p w:rsidR="00FE77C9" w:rsidRPr="00FE77C9" w:rsidRDefault="00FE77C9" w:rsidP="00FE77C9">
      <w:pPr>
        <w:jc w:val="both"/>
        <w:rPr>
          <w:rFonts w:ascii="Verdana" w:hAnsi="Verdana"/>
          <w:bCs/>
          <w:sz w:val="20"/>
        </w:rPr>
      </w:pPr>
      <w:r w:rsidRPr="00FE77C9">
        <w:rPr>
          <w:rFonts w:ascii="Verdana" w:hAnsi="Verdana"/>
          <w:bCs/>
          <w:sz w:val="20"/>
        </w:rPr>
        <w:t>      Se deben seleccionar los medidores conforme a los requisitos metrológicos: características de los fluidos, intervalos de medición y condiciones operativas del proceso.</w:t>
      </w:r>
    </w:p>
    <w:p w:rsidR="00FE77C9" w:rsidRPr="00FE77C9" w:rsidRDefault="00FE77C9" w:rsidP="00FE77C9">
      <w:pPr>
        <w:jc w:val="both"/>
        <w:rPr>
          <w:rFonts w:ascii="Verdana" w:hAnsi="Verdana"/>
          <w:bCs/>
          <w:sz w:val="20"/>
        </w:rPr>
      </w:pPr>
      <w:r w:rsidRPr="00FE77C9">
        <w:rPr>
          <w:rFonts w:ascii="Verdana" w:hAnsi="Verdana"/>
          <w:bCs/>
          <w:sz w:val="20"/>
        </w:rPr>
        <w:t>      Los medidores estáticos deben cumplir con la normatividad descrita en el apartado 30.7., fracciones I y II, que les corresponda, así como VI.</w:t>
      </w:r>
    </w:p>
    <w:p w:rsidR="00FE77C9" w:rsidRPr="00FE77C9" w:rsidRDefault="00FE77C9" w:rsidP="00FE77C9">
      <w:pPr>
        <w:jc w:val="both"/>
        <w:rPr>
          <w:rFonts w:ascii="Verdana" w:hAnsi="Verdana"/>
          <w:bCs/>
          <w:sz w:val="20"/>
        </w:rPr>
      </w:pPr>
      <w:r w:rsidRPr="00FE77C9">
        <w:rPr>
          <w:rFonts w:ascii="Verdana" w:hAnsi="Verdana"/>
          <w:bCs/>
          <w:sz w:val="20"/>
        </w:rPr>
        <w:lastRenderedPageBreak/>
        <w:t>      Los medidores dinámicos deben cumplir con la normatividad descrita en el apartado 30.7., fracciones I y VI, así como III para el petróleo o, IV para el gas natural.</w:t>
      </w:r>
    </w:p>
    <w:p w:rsidR="00FE77C9" w:rsidRPr="00FE77C9" w:rsidRDefault="00FE77C9" w:rsidP="00FE77C9">
      <w:pPr>
        <w:jc w:val="both"/>
        <w:rPr>
          <w:rFonts w:ascii="Verdana" w:hAnsi="Verdana"/>
          <w:bCs/>
          <w:sz w:val="20"/>
        </w:rPr>
      </w:pPr>
      <w:r w:rsidRPr="00FE77C9">
        <w:rPr>
          <w:rFonts w:ascii="Verdana" w:hAnsi="Verdana"/>
          <w:bCs/>
          <w:sz w:val="20"/>
        </w:rPr>
        <w:t> </w:t>
      </w:r>
    </w:p>
    <w:p w:rsidR="00FE77C9" w:rsidRPr="00FE77C9" w:rsidRDefault="00FE77C9" w:rsidP="00FE77C9">
      <w:pPr>
        <w:jc w:val="both"/>
        <w:rPr>
          <w:rFonts w:ascii="Verdana" w:hAnsi="Verdana"/>
          <w:bCs/>
          <w:sz w:val="20"/>
        </w:rPr>
      </w:pPr>
      <w:r w:rsidRPr="00FE77C9">
        <w:rPr>
          <w:rFonts w:ascii="Verdana" w:hAnsi="Verdana"/>
          <w:b/>
          <w:bCs/>
          <w:sz w:val="20"/>
        </w:rPr>
        <w:t>e)</w:t>
      </w:r>
      <w:r w:rsidRPr="00FE77C9">
        <w:rPr>
          <w:rFonts w:ascii="Verdana" w:hAnsi="Verdana"/>
          <w:bCs/>
          <w:sz w:val="20"/>
        </w:rPr>
        <w:t>   Transporte o distribución.</w:t>
      </w:r>
    </w:p>
    <w:p w:rsidR="00FE77C9" w:rsidRPr="00FE77C9" w:rsidRDefault="00FE77C9" w:rsidP="00FE77C9">
      <w:pPr>
        <w:jc w:val="both"/>
        <w:rPr>
          <w:rFonts w:ascii="Verdana" w:hAnsi="Verdana"/>
          <w:bCs/>
          <w:sz w:val="20"/>
        </w:rPr>
      </w:pPr>
      <w:r w:rsidRPr="00FE77C9">
        <w:rPr>
          <w:rFonts w:ascii="Verdana" w:hAnsi="Verdana"/>
          <w:bCs/>
          <w:sz w:val="20"/>
        </w:rPr>
        <w:t>      Los Hidrocarburos o Petrolíferos transportados o distribuidos por medios distintos a ductos deben ser medidos tanto en la instalación que los transfiere como en la que los recibe.</w:t>
      </w:r>
    </w:p>
    <w:p w:rsidR="00FE77C9" w:rsidRPr="00FE77C9" w:rsidRDefault="00FE77C9" w:rsidP="00FE77C9">
      <w:pPr>
        <w:jc w:val="both"/>
        <w:rPr>
          <w:rFonts w:ascii="Verdana" w:hAnsi="Verdana"/>
          <w:bCs/>
          <w:sz w:val="20"/>
        </w:rPr>
      </w:pPr>
      <w:r w:rsidRPr="00FE77C9">
        <w:rPr>
          <w:rFonts w:ascii="Verdana" w:hAnsi="Verdana"/>
          <w:bCs/>
          <w:sz w:val="20"/>
        </w:rPr>
        <w:t>      Los Hidrocarburos o Petrolíferos transportados o distribuidos por medio de ductos deben ser medidos en la instalación que los transfiere o en la que los recibe.</w:t>
      </w:r>
    </w:p>
    <w:p w:rsidR="00FE77C9" w:rsidRPr="00FE77C9" w:rsidRDefault="00FE77C9" w:rsidP="00FE77C9">
      <w:pPr>
        <w:jc w:val="both"/>
        <w:rPr>
          <w:rFonts w:ascii="Verdana" w:hAnsi="Verdana"/>
          <w:bCs/>
          <w:sz w:val="20"/>
        </w:rPr>
      </w:pPr>
      <w:r w:rsidRPr="00FE77C9">
        <w:rPr>
          <w:rFonts w:ascii="Verdana" w:hAnsi="Verdana"/>
          <w:bCs/>
          <w:sz w:val="20"/>
        </w:rPr>
        <w:t>      Los registros del volumen de las operaciones de entrega y recepción, derivadas del transporte o distribución de tales productos, se deben generar en las instalaciones que transfieren y reciben dichos Hidrocarburos o Petrolíferos tratándose de medios distintos a ductos.</w:t>
      </w:r>
    </w:p>
    <w:p w:rsidR="00FE77C9" w:rsidRPr="00FE77C9" w:rsidRDefault="00FE77C9" w:rsidP="00FE77C9">
      <w:pPr>
        <w:jc w:val="both"/>
        <w:rPr>
          <w:rFonts w:ascii="Verdana" w:hAnsi="Verdana"/>
          <w:bCs/>
          <w:sz w:val="20"/>
        </w:rPr>
      </w:pPr>
      <w:r w:rsidRPr="00FE77C9">
        <w:rPr>
          <w:rFonts w:ascii="Verdana" w:hAnsi="Verdana"/>
          <w:bCs/>
          <w:sz w:val="20"/>
        </w:rPr>
        <w:t>      Los registros del volumen de las operaciones de entrega o recepción, derivadas del transporte o distribución por medio de ductos, se deben generar en las instalaciones que transfieren o en las instalaciones que reciben dichos Hidrocarburos o Petrolíferos, en cualquier caso, el permisionario de la instalación en la que se realizó la medición deberá proporcionar el registro del volumen al sujeto al cual le transfirió o de quien recibió dichos Hidrocarburos o Petrolíferos.</w:t>
      </w:r>
    </w:p>
    <w:p w:rsidR="00FE77C9" w:rsidRPr="00FE77C9" w:rsidRDefault="00FE77C9" w:rsidP="00FE77C9">
      <w:pPr>
        <w:jc w:val="both"/>
        <w:rPr>
          <w:rFonts w:ascii="Verdana" w:hAnsi="Verdana"/>
          <w:bCs/>
          <w:sz w:val="20"/>
        </w:rPr>
      </w:pPr>
      <w:r w:rsidRPr="00FE77C9">
        <w:rPr>
          <w:rFonts w:ascii="Verdana" w:hAnsi="Verdana"/>
          <w:bCs/>
          <w:sz w:val="20"/>
        </w:rPr>
        <w:t>      Los ductos para transporte o distribución, ductos de entrada y salida a medios de almacenamiento, incluyendo aquéllos en las plantas de distribución, y ductos</w:t>
      </w:r>
      <w:r w:rsidRPr="00FE77C9">
        <w:rPr>
          <w:rFonts w:ascii="Verdana" w:hAnsi="Verdana"/>
          <w:b/>
          <w:bCs/>
          <w:sz w:val="20"/>
        </w:rPr>
        <w:t> </w:t>
      </w:r>
      <w:r w:rsidRPr="00FE77C9">
        <w:rPr>
          <w:rFonts w:ascii="Verdana" w:hAnsi="Verdana"/>
          <w:bCs/>
          <w:sz w:val="20"/>
        </w:rPr>
        <w:t>de carga y descarga de autotanques, carrotanques y buquetanques, deben tener implementado un sistema de medición dinámica que debe cumplir con la normatividad descrita en el apartado 30.7., fracciones I y VI, así como III para el petróleo o, IV para el gas natural.</w:t>
      </w:r>
    </w:p>
    <w:p w:rsidR="00FE77C9" w:rsidRPr="00FE77C9" w:rsidRDefault="00FE77C9" w:rsidP="00FE77C9">
      <w:pPr>
        <w:jc w:val="both"/>
        <w:rPr>
          <w:rFonts w:ascii="Verdana" w:hAnsi="Verdana"/>
          <w:bCs/>
          <w:sz w:val="20"/>
        </w:rPr>
      </w:pPr>
      <w:r w:rsidRPr="00FE77C9">
        <w:rPr>
          <w:rFonts w:ascii="Verdana" w:hAnsi="Verdana"/>
          <w:bCs/>
          <w:sz w:val="20"/>
        </w:rPr>
        <w:t>      Los medios de transporte o distribución distintos a ducto deben tener implementado un sistema de medición estática, en cumplimiento con la normatividad listada en el apartado 30.7., fracciones I, II y VI para cuantificar el volumen almacenado en su respectivo tanque, el cual se debe utilizar para verificar el volumen a la carga y descarga de los Hidrocarburos o Petrolíferos.</w:t>
      </w:r>
    </w:p>
    <w:p w:rsidR="00FE77C9" w:rsidRPr="00FE77C9" w:rsidRDefault="00FE77C9" w:rsidP="00FE77C9">
      <w:pPr>
        <w:jc w:val="both"/>
        <w:rPr>
          <w:rFonts w:ascii="Verdana" w:hAnsi="Verdana"/>
          <w:bCs/>
          <w:sz w:val="20"/>
        </w:rPr>
      </w:pPr>
      <w:r w:rsidRPr="00FE77C9">
        <w:rPr>
          <w:rFonts w:ascii="Verdana" w:hAnsi="Verdana"/>
          <w:b/>
          <w:bCs/>
          <w:sz w:val="20"/>
        </w:rPr>
        <w:t>f)</w:t>
      </w:r>
      <w:r w:rsidRPr="00FE77C9">
        <w:rPr>
          <w:rFonts w:ascii="Verdana" w:hAnsi="Verdana"/>
          <w:bCs/>
          <w:sz w:val="20"/>
        </w:rPr>
        <w:t>    Estaciones de servicio.</w:t>
      </w:r>
    </w:p>
    <w:p w:rsidR="00FE77C9" w:rsidRPr="00FE77C9" w:rsidRDefault="00FE77C9" w:rsidP="00FE77C9">
      <w:pPr>
        <w:jc w:val="both"/>
        <w:rPr>
          <w:rFonts w:ascii="Verdana" w:hAnsi="Verdana"/>
          <w:bCs/>
          <w:sz w:val="20"/>
        </w:rPr>
      </w:pPr>
      <w:r w:rsidRPr="00FE77C9">
        <w:rPr>
          <w:rFonts w:ascii="Verdana" w:hAnsi="Verdana"/>
          <w:bCs/>
          <w:sz w:val="20"/>
        </w:rPr>
        <w:t>      En las estaciones de servicio el sistema de medición se debe implementar para generar los registros del volumen de las operaciones de recepción, entrega y control de existencias del Hidrocarburo o Petrolífero que se trate.</w:t>
      </w:r>
    </w:p>
    <w:p w:rsidR="00FE77C9" w:rsidRPr="00FE77C9" w:rsidRDefault="00FE77C9" w:rsidP="00FE77C9">
      <w:pPr>
        <w:jc w:val="both"/>
        <w:rPr>
          <w:rFonts w:ascii="Verdana" w:hAnsi="Verdana"/>
          <w:bCs/>
          <w:sz w:val="20"/>
        </w:rPr>
      </w:pPr>
      <w:r w:rsidRPr="00FE77C9">
        <w:rPr>
          <w:rFonts w:ascii="Verdana" w:hAnsi="Verdana"/>
          <w:bCs/>
          <w:sz w:val="20"/>
        </w:rPr>
        <w:t>      Las operaciones de recepción que se realicen en las estaciones de servicio deben corresponder a los volúmenes recibidos.</w:t>
      </w:r>
    </w:p>
    <w:p w:rsidR="00FE77C9" w:rsidRPr="00FE77C9" w:rsidRDefault="00FE77C9" w:rsidP="00FE77C9">
      <w:pPr>
        <w:jc w:val="both"/>
        <w:rPr>
          <w:rFonts w:ascii="Verdana" w:hAnsi="Verdana"/>
          <w:bCs/>
          <w:sz w:val="20"/>
        </w:rPr>
      </w:pPr>
      <w:r w:rsidRPr="00FE77C9">
        <w:rPr>
          <w:rFonts w:ascii="Verdana" w:hAnsi="Verdana"/>
          <w:bCs/>
          <w:sz w:val="20"/>
        </w:rPr>
        <w:lastRenderedPageBreak/>
        <w:t>      Se deben instalar medidor(es) estático(s) en el (los) tanque(s) de almacenamiento y dinámico(s) en las entradas de dichos tanques, así como en los dispensadores.</w:t>
      </w:r>
    </w:p>
    <w:p w:rsidR="00FE77C9" w:rsidRPr="00FE77C9" w:rsidRDefault="00FE77C9" w:rsidP="00FE77C9">
      <w:pPr>
        <w:jc w:val="both"/>
        <w:rPr>
          <w:rFonts w:ascii="Verdana" w:hAnsi="Verdana"/>
          <w:bCs/>
          <w:sz w:val="20"/>
        </w:rPr>
      </w:pPr>
      <w:r w:rsidRPr="00FE77C9">
        <w:rPr>
          <w:rFonts w:ascii="Verdana" w:hAnsi="Verdana"/>
          <w:bCs/>
          <w:sz w:val="20"/>
        </w:rPr>
        <w:t>      Los medidores estáticos deben cumplir con la normatividad descrita en el apartado 30.7., fracciones I y II, que les corresponda, así como VI.</w:t>
      </w:r>
    </w:p>
    <w:p w:rsidR="00FE77C9" w:rsidRPr="00FE77C9" w:rsidRDefault="00FE77C9" w:rsidP="00FE77C9">
      <w:pPr>
        <w:jc w:val="both"/>
        <w:rPr>
          <w:rFonts w:ascii="Verdana" w:hAnsi="Verdana"/>
          <w:bCs/>
          <w:sz w:val="20"/>
        </w:rPr>
      </w:pPr>
      <w:r w:rsidRPr="00FE77C9">
        <w:rPr>
          <w:rFonts w:ascii="Verdana" w:hAnsi="Verdana"/>
          <w:bCs/>
          <w:sz w:val="20"/>
        </w:rPr>
        <w:t>      Los medidores dinámicos deben cumplir con la normatividad descrita en el apartado 30.7., fracciones I y III, incisos a), b) y c), que les corresponda.</w:t>
      </w:r>
    </w:p>
    <w:p w:rsidR="00FE77C9" w:rsidRPr="00FE77C9" w:rsidRDefault="00FE77C9" w:rsidP="00FE77C9">
      <w:pPr>
        <w:jc w:val="both"/>
        <w:rPr>
          <w:rFonts w:ascii="Verdana" w:hAnsi="Verdana"/>
          <w:bCs/>
          <w:sz w:val="20"/>
        </w:rPr>
      </w:pPr>
      <w:r w:rsidRPr="00FE77C9">
        <w:rPr>
          <w:rFonts w:ascii="Verdana" w:hAnsi="Verdana"/>
          <w:bCs/>
          <w:sz w:val="20"/>
        </w:rPr>
        <w:t>      Los totalizadores generales deben cumplir con la normatividad descrita en el apartado 30.7., fracción III, inciso b), que les corresponda.</w:t>
      </w:r>
    </w:p>
    <w:p w:rsidR="00FE77C9" w:rsidRPr="00FE77C9" w:rsidRDefault="00FE77C9" w:rsidP="00FE77C9">
      <w:pPr>
        <w:jc w:val="both"/>
        <w:rPr>
          <w:rFonts w:ascii="Verdana" w:hAnsi="Verdana"/>
          <w:bCs/>
          <w:sz w:val="20"/>
        </w:rPr>
      </w:pPr>
      <w:r w:rsidRPr="00FE77C9">
        <w:rPr>
          <w:rFonts w:ascii="Verdana" w:hAnsi="Verdana"/>
          <w:b/>
          <w:bCs/>
          <w:sz w:val="20"/>
        </w:rPr>
        <w:t>30.5.1.</w:t>
      </w:r>
      <w:r w:rsidRPr="00FE77C9">
        <w:rPr>
          <w:rFonts w:ascii="Verdana" w:hAnsi="Verdana"/>
          <w:bCs/>
          <w:sz w:val="20"/>
        </w:rPr>
        <w:t>    </w:t>
      </w:r>
      <w:r w:rsidRPr="00FE77C9">
        <w:rPr>
          <w:rFonts w:ascii="Verdana" w:hAnsi="Verdana"/>
          <w:b/>
          <w:bCs/>
          <w:sz w:val="20"/>
        </w:rPr>
        <w:t>Requerimientos de los sistemas de medición.</w:t>
      </w:r>
    </w:p>
    <w:p w:rsidR="00FE77C9" w:rsidRPr="00FE77C9" w:rsidRDefault="00FE77C9" w:rsidP="00FE77C9">
      <w:pPr>
        <w:jc w:val="both"/>
        <w:rPr>
          <w:rFonts w:ascii="Verdana" w:hAnsi="Verdana"/>
          <w:bCs/>
          <w:sz w:val="20"/>
        </w:rPr>
      </w:pPr>
      <w:r w:rsidRPr="00FE77C9">
        <w:rPr>
          <w:rFonts w:ascii="Verdana" w:hAnsi="Verdana"/>
          <w:bCs/>
          <w:sz w:val="20"/>
        </w:rPr>
        <w:t>Los sistemas de medición deben cumplir con los siguientes requerimientos:</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Requerimientos generales:</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Cumplir con la regulación que les corresponda:</w:t>
      </w:r>
    </w:p>
    <w:p w:rsidR="00FE77C9" w:rsidRPr="00FE77C9" w:rsidRDefault="00FE77C9" w:rsidP="00FE77C9">
      <w:pPr>
        <w:jc w:val="both"/>
        <w:rPr>
          <w:rFonts w:ascii="Verdana" w:hAnsi="Verdana"/>
          <w:bCs/>
          <w:sz w:val="20"/>
        </w:rPr>
      </w:pPr>
      <w:r w:rsidRPr="00FE77C9">
        <w:rPr>
          <w:rFonts w:ascii="Verdana" w:hAnsi="Verdana"/>
          <w:b/>
          <w:bCs/>
          <w:sz w:val="20"/>
        </w:rPr>
        <w:t>1.</w:t>
      </w:r>
      <w:r w:rsidRPr="00FE77C9">
        <w:rPr>
          <w:rFonts w:ascii="Verdana" w:hAnsi="Verdana"/>
          <w:bCs/>
          <w:sz w:val="20"/>
        </w:rPr>
        <w:t>     Lineamientos Técnicos en Materia de Medición de Hidrocarburos, emitidos por la CNH, publicados en el DOF el 29 de septiembre de 2015, modificados mediante acuerdos publicados el 2 de agosto de 2016, 11 de noviembre de 2016 y 11 de diciembre de 2017.</w:t>
      </w:r>
    </w:p>
    <w:p w:rsidR="00FE77C9" w:rsidRPr="00FE77C9" w:rsidRDefault="00FE77C9" w:rsidP="00FE77C9">
      <w:pPr>
        <w:jc w:val="both"/>
        <w:rPr>
          <w:rFonts w:ascii="Verdana" w:hAnsi="Verdana"/>
          <w:bCs/>
          <w:sz w:val="20"/>
        </w:rPr>
      </w:pPr>
      <w:r w:rsidRPr="00FE77C9">
        <w:rPr>
          <w:rFonts w:ascii="Verdana" w:hAnsi="Verdana"/>
          <w:b/>
          <w:bCs/>
          <w:sz w:val="20"/>
        </w:rPr>
        <w:t>2.</w:t>
      </w:r>
      <w:r w:rsidRPr="00FE77C9">
        <w:rPr>
          <w:rFonts w:ascii="Verdana" w:hAnsi="Verdana"/>
          <w:bCs/>
          <w:sz w:val="20"/>
        </w:rPr>
        <w:t xml:space="preserve">     Disposiciones Administrativas de Carácter General en materia de </w:t>
      </w:r>
      <w:proofErr w:type="gramStart"/>
      <w:r w:rsidRPr="00FE77C9">
        <w:rPr>
          <w:rFonts w:ascii="Verdana" w:hAnsi="Verdana"/>
          <w:bCs/>
          <w:sz w:val="20"/>
        </w:rPr>
        <w:t>medición aplicables a la actividad de transporte por ducto de hidrocarburos, petrolíferos y petroquímicos</w:t>
      </w:r>
      <w:proofErr w:type="gramEnd"/>
      <w:r w:rsidRPr="00FE77C9">
        <w:rPr>
          <w:rFonts w:ascii="Verdana" w:hAnsi="Verdana"/>
          <w:bCs/>
          <w:sz w:val="20"/>
        </w:rPr>
        <w:t>, emitidas por la CRE y publicadas en el DOF el 17 de diciembre de 2015.</w:t>
      </w:r>
    </w:p>
    <w:p w:rsidR="00FE77C9" w:rsidRPr="00FE77C9" w:rsidRDefault="00FE77C9" w:rsidP="00FE77C9">
      <w:pPr>
        <w:jc w:val="both"/>
        <w:rPr>
          <w:rFonts w:ascii="Verdana" w:hAnsi="Verdana"/>
          <w:bCs/>
          <w:sz w:val="20"/>
        </w:rPr>
      </w:pPr>
      <w:r w:rsidRPr="00FE77C9">
        <w:rPr>
          <w:rFonts w:ascii="Verdana" w:hAnsi="Verdana"/>
          <w:b/>
          <w:bCs/>
          <w:sz w:val="20"/>
        </w:rPr>
        <w:t>3.</w:t>
      </w:r>
      <w:r w:rsidRPr="00FE77C9">
        <w:rPr>
          <w:rFonts w:ascii="Verdana" w:hAnsi="Verdana"/>
          <w:bCs/>
          <w:sz w:val="20"/>
        </w:rPr>
        <w:t>     Disposiciones Administrativas de Carácter General en materia de medición aplicables a la actividad de almacenamiento de petróleo, petrolíferos y petroquímicos, emitidas por la CRE y publicadas en el DOF el 11 de enero de 2016.</w:t>
      </w:r>
    </w:p>
    <w:p w:rsidR="00FE77C9" w:rsidRPr="00FE77C9" w:rsidRDefault="00FE77C9" w:rsidP="00FE77C9">
      <w:pPr>
        <w:jc w:val="both"/>
        <w:rPr>
          <w:rFonts w:ascii="Verdana" w:hAnsi="Verdana"/>
          <w:bCs/>
          <w:sz w:val="20"/>
        </w:rPr>
      </w:pPr>
      <w:r w:rsidRPr="00FE77C9">
        <w:rPr>
          <w:rFonts w:ascii="Verdana" w:hAnsi="Verdana"/>
          <w:b/>
          <w:bCs/>
          <w:sz w:val="20"/>
        </w:rPr>
        <w:t>4.</w:t>
      </w:r>
      <w:r w:rsidRPr="00FE77C9">
        <w:rPr>
          <w:rFonts w:ascii="Verdana" w:hAnsi="Verdana"/>
          <w:bCs/>
          <w:sz w:val="20"/>
        </w:rPr>
        <w:t xml:space="preserve">     Normatividad referida en el apartado 30.7. </w:t>
      </w:r>
      <w:proofErr w:type="gramStart"/>
      <w:r w:rsidRPr="00FE77C9">
        <w:rPr>
          <w:rFonts w:ascii="Verdana" w:hAnsi="Verdana"/>
          <w:bCs/>
          <w:sz w:val="20"/>
        </w:rPr>
        <w:t>del</w:t>
      </w:r>
      <w:proofErr w:type="gramEnd"/>
      <w:r w:rsidRPr="00FE77C9">
        <w:rPr>
          <w:rFonts w:ascii="Verdana" w:hAnsi="Verdana"/>
          <w:bCs/>
          <w:sz w:val="20"/>
        </w:rPr>
        <w:t xml:space="preserve"> presente Anexo, así como con guías, instructivos, métodos de trabajo o manuales del fabricante para la correcta medición del Hidrocarburo o Petrolífero de que se trate.</w:t>
      </w:r>
    </w:p>
    <w:p w:rsidR="00FE77C9" w:rsidRPr="00FE77C9" w:rsidRDefault="00FE77C9" w:rsidP="00FE77C9">
      <w:pPr>
        <w:jc w:val="both"/>
        <w:rPr>
          <w:rFonts w:ascii="Verdana" w:hAnsi="Verdana"/>
          <w:bCs/>
          <w:sz w:val="20"/>
        </w:rPr>
      </w:pPr>
      <w:r w:rsidRPr="00FE77C9">
        <w:rPr>
          <w:rFonts w:ascii="Verdana" w:hAnsi="Verdana"/>
          <w:bCs/>
          <w:sz w:val="20"/>
        </w:rPr>
        <w:t> </w:t>
      </w:r>
    </w:p>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Tener implementado un SGM, en cumplimiento de la NMX-CC-10012-IMNC "Sistemas de Gestión de las Mediciones - Requisitos para los Procesos de Medición y los equipos de Medición", cuya declaratoria de vigencia por parte de la Secretaría de Economía fue publicada en el DOF el 27 de julio de 2004, o aquélla que la sustituya, para lograr la Confirmación metrológica y el control continuo de los procesos de medición, con la finalidad de que los resultados obtenidos sean conformes a las Especificaciones metrológicas. El SGM debe interrelacionar los siguientes aspectos:</w:t>
      </w:r>
    </w:p>
    <w:p w:rsidR="00FE77C9" w:rsidRPr="00FE77C9" w:rsidRDefault="00FE77C9" w:rsidP="00FE77C9">
      <w:pPr>
        <w:jc w:val="both"/>
        <w:rPr>
          <w:rFonts w:ascii="Verdana" w:hAnsi="Verdana"/>
          <w:bCs/>
          <w:sz w:val="20"/>
        </w:rPr>
      </w:pPr>
      <w:r w:rsidRPr="00FE77C9">
        <w:rPr>
          <w:rFonts w:ascii="Verdana" w:hAnsi="Verdana"/>
          <w:b/>
          <w:bCs/>
          <w:sz w:val="20"/>
        </w:rPr>
        <w:t>1.</w:t>
      </w:r>
      <w:r w:rsidRPr="00FE77C9">
        <w:rPr>
          <w:rFonts w:ascii="Verdana" w:hAnsi="Verdana"/>
          <w:bCs/>
          <w:sz w:val="20"/>
        </w:rPr>
        <w:t>     Normatividad y procedimientos.</w:t>
      </w:r>
    </w:p>
    <w:p w:rsidR="00FE77C9" w:rsidRPr="00FE77C9" w:rsidRDefault="00FE77C9" w:rsidP="00FE77C9">
      <w:pPr>
        <w:jc w:val="both"/>
        <w:rPr>
          <w:rFonts w:ascii="Verdana" w:hAnsi="Verdana"/>
          <w:bCs/>
          <w:sz w:val="20"/>
        </w:rPr>
      </w:pPr>
      <w:r w:rsidRPr="00FE77C9">
        <w:rPr>
          <w:rFonts w:ascii="Verdana" w:hAnsi="Verdana"/>
          <w:b/>
          <w:bCs/>
          <w:sz w:val="20"/>
        </w:rPr>
        <w:lastRenderedPageBreak/>
        <w:t>2.</w:t>
      </w:r>
      <w:r w:rsidRPr="00FE77C9">
        <w:rPr>
          <w:rFonts w:ascii="Verdana" w:hAnsi="Verdana"/>
          <w:bCs/>
          <w:sz w:val="20"/>
        </w:rPr>
        <w:t>     Sistemas de medición.</w:t>
      </w:r>
    </w:p>
    <w:p w:rsidR="00FE77C9" w:rsidRPr="00FE77C9" w:rsidRDefault="00FE77C9" w:rsidP="00FE77C9">
      <w:pPr>
        <w:jc w:val="both"/>
        <w:rPr>
          <w:rFonts w:ascii="Verdana" w:hAnsi="Verdana"/>
          <w:bCs/>
          <w:sz w:val="20"/>
        </w:rPr>
      </w:pPr>
      <w:r w:rsidRPr="00FE77C9">
        <w:rPr>
          <w:rFonts w:ascii="Verdana" w:hAnsi="Verdana"/>
          <w:b/>
          <w:bCs/>
          <w:sz w:val="20"/>
        </w:rPr>
        <w:t>3.</w:t>
      </w:r>
      <w:r w:rsidRPr="00FE77C9">
        <w:rPr>
          <w:rFonts w:ascii="Verdana" w:hAnsi="Verdana"/>
          <w:bCs/>
          <w:sz w:val="20"/>
        </w:rPr>
        <w:t>     Responsabilidad y competencia del personal que opera los sistemas de medición.</w:t>
      </w:r>
    </w:p>
    <w:p w:rsidR="00FE77C9" w:rsidRPr="00FE77C9" w:rsidRDefault="00FE77C9" w:rsidP="00FE77C9">
      <w:pPr>
        <w:jc w:val="both"/>
        <w:rPr>
          <w:rFonts w:ascii="Verdana" w:hAnsi="Verdana"/>
          <w:bCs/>
          <w:sz w:val="20"/>
        </w:rPr>
      </w:pPr>
      <w:r w:rsidRPr="00FE77C9">
        <w:rPr>
          <w:rFonts w:ascii="Verdana" w:hAnsi="Verdana"/>
          <w:b/>
          <w:bCs/>
          <w:sz w:val="20"/>
        </w:rPr>
        <w:t>c)</w:t>
      </w:r>
      <w:r w:rsidRPr="00FE77C9">
        <w:rPr>
          <w:rFonts w:ascii="Verdana" w:hAnsi="Verdana"/>
          <w:bCs/>
          <w:sz w:val="20"/>
        </w:rPr>
        <w:t>   Contar con una interfaz o módulo de comunicación para la transferencia de la información a la UCC, con las siguientes características:</w:t>
      </w:r>
    </w:p>
    <w:p w:rsidR="00FE77C9" w:rsidRPr="00FE77C9" w:rsidRDefault="00FE77C9" w:rsidP="00FE77C9">
      <w:pPr>
        <w:jc w:val="both"/>
        <w:rPr>
          <w:rFonts w:ascii="Verdana" w:hAnsi="Verdana"/>
          <w:bCs/>
          <w:sz w:val="20"/>
        </w:rPr>
      </w:pPr>
      <w:r w:rsidRPr="00FE77C9">
        <w:rPr>
          <w:rFonts w:ascii="Verdana" w:hAnsi="Verdana"/>
          <w:b/>
          <w:bCs/>
          <w:sz w:val="20"/>
        </w:rPr>
        <w:t>1.</w:t>
      </w:r>
      <w:r w:rsidRPr="00FE77C9">
        <w:rPr>
          <w:rFonts w:ascii="Verdana" w:hAnsi="Verdana"/>
          <w:bCs/>
          <w:sz w:val="20"/>
        </w:rPr>
        <w:t>     Disponer de un protocolo de comunicación para enlazar los equipos con la UCC.</w:t>
      </w:r>
    </w:p>
    <w:p w:rsidR="00FE77C9" w:rsidRPr="00FE77C9" w:rsidRDefault="00FE77C9" w:rsidP="00FE77C9">
      <w:pPr>
        <w:jc w:val="both"/>
        <w:rPr>
          <w:rFonts w:ascii="Verdana" w:hAnsi="Verdana"/>
          <w:bCs/>
          <w:sz w:val="20"/>
        </w:rPr>
      </w:pPr>
      <w:r w:rsidRPr="00FE77C9">
        <w:rPr>
          <w:rFonts w:ascii="Verdana" w:hAnsi="Verdana"/>
          <w:b/>
          <w:bCs/>
          <w:sz w:val="20"/>
        </w:rPr>
        <w:t>2.</w:t>
      </w:r>
      <w:r w:rsidRPr="00FE77C9">
        <w:rPr>
          <w:rFonts w:ascii="Verdana" w:hAnsi="Verdana"/>
          <w:bCs/>
          <w:sz w:val="20"/>
        </w:rPr>
        <w:t>     Disponer de mecanismos de mitigación a perturbaciones de radicación y/o electromagnéticas.</w:t>
      </w:r>
    </w:p>
    <w:p w:rsidR="00FE77C9" w:rsidRPr="00FE77C9" w:rsidRDefault="00FE77C9" w:rsidP="00FE77C9">
      <w:pPr>
        <w:jc w:val="both"/>
        <w:rPr>
          <w:rFonts w:ascii="Verdana" w:hAnsi="Verdana"/>
          <w:bCs/>
          <w:sz w:val="20"/>
        </w:rPr>
      </w:pPr>
      <w:r w:rsidRPr="00FE77C9">
        <w:rPr>
          <w:rFonts w:ascii="Verdana" w:hAnsi="Verdana"/>
          <w:b/>
          <w:bCs/>
          <w:sz w:val="20"/>
        </w:rPr>
        <w:t>3.</w:t>
      </w:r>
      <w:r w:rsidRPr="00FE77C9">
        <w:rPr>
          <w:rFonts w:ascii="Verdana" w:hAnsi="Verdana"/>
          <w:bCs/>
          <w:sz w:val="20"/>
        </w:rPr>
        <w:t>     Ser estable y tolerante a fallas eléctricas y de comunicación.</w:t>
      </w:r>
    </w:p>
    <w:p w:rsidR="00FE77C9" w:rsidRPr="00FE77C9" w:rsidRDefault="00FE77C9" w:rsidP="00FE77C9">
      <w:pPr>
        <w:jc w:val="both"/>
        <w:rPr>
          <w:rFonts w:ascii="Verdana" w:hAnsi="Verdana"/>
          <w:bCs/>
          <w:sz w:val="20"/>
        </w:rPr>
      </w:pPr>
      <w:r w:rsidRPr="00FE77C9">
        <w:rPr>
          <w:rFonts w:ascii="Verdana" w:hAnsi="Verdana"/>
          <w:b/>
          <w:bCs/>
          <w:sz w:val="20"/>
        </w:rPr>
        <w:t>4.</w:t>
      </w:r>
      <w:r w:rsidRPr="00FE77C9">
        <w:rPr>
          <w:rFonts w:ascii="Verdana" w:hAnsi="Verdana"/>
          <w:bCs/>
          <w:sz w:val="20"/>
        </w:rPr>
        <w:t>     Las conexiones de la interfaz o módulo de comunicación entre un sistema de medición y la UCC deben incluir un mecanismo de seguridad, con la finalidad de que quede evidencia en caso de alguna alteración, desconexión o interrupción en la transferencia de la información, las cuales se deben registrar en la bitácora de eventos a que se refiere el apartado 30.6. </w:t>
      </w:r>
      <w:proofErr w:type="gramStart"/>
      <w:r w:rsidRPr="00FE77C9">
        <w:rPr>
          <w:rFonts w:ascii="Verdana" w:hAnsi="Verdana"/>
          <w:bCs/>
          <w:sz w:val="20"/>
        </w:rPr>
        <w:t>del</w:t>
      </w:r>
      <w:proofErr w:type="gramEnd"/>
      <w:r w:rsidRPr="00FE77C9">
        <w:rPr>
          <w:rFonts w:ascii="Verdana" w:hAnsi="Verdana"/>
          <w:bCs/>
          <w:sz w:val="20"/>
        </w:rPr>
        <w:t xml:space="preserve"> presente Anexo.</w:t>
      </w:r>
    </w:p>
    <w:p w:rsidR="00FE77C9" w:rsidRPr="00FE77C9" w:rsidRDefault="00FE77C9" w:rsidP="00FE77C9">
      <w:pPr>
        <w:jc w:val="both"/>
        <w:rPr>
          <w:rFonts w:ascii="Verdana" w:hAnsi="Verdana"/>
          <w:bCs/>
          <w:sz w:val="20"/>
        </w:rPr>
      </w:pPr>
      <w:r w:rsidRPr="00FE77C9">
        <w:rPr>
          <w:rFonts w:ascii="Verdana" w:hAnsi="Verdana"/>
          <w:b/>
          <w:bCs/>
          <w:sz w:val="20"/>
        </w:rPr>
        <w:t>5.</w:t>
      </w:r>
      <w:r w:rsidRPr="00FE77C9">
        <w:rPr>
          <w:rFonts w:ascii="Verdana" w:hAnsi="Verdana"/>
          <w:bCs/>
          <w:sz w:val="20"/>
        </w:rPr>
        <w:t>     No debe existir ningún elemento mecánico o electrónico adicional que permita alterar la información.</w:t>
      </w:r>
    </w:p>
    <w:p w:rsidR="00FE77C9" w:rsidRPr="00FE77C9" w:rsidRDefault="00FE77C9" w:rsidP="00FE77C9">
      <w:pPr>
        <w:jc w:val="both"/>
        <w:rPr>
          <w:rFonts w:ascii="Verdana" w:hAnsi="Verdana"/>
          <w:bCs/>
          <w:sz w:val="20"/>
        </w:rPr>
      </w:pPr>
      <w:r w:rsidRPr="00FE77C9">
        <w:rPr>
          <w:rFonts w:ascii="Verdana" w:hAnsi="Verdana"/>
          <w:b/>
          <w:bCs/>
          <w:sz w:val="20"/>
        </w:rPr>
        <w:t>d)</w:t>
      </w:r>
      <w:r w:rsidRPr="00FE77C9">
        <w:rPr>
          <w:rFonts w:ascii="Verdana" w:hAnsi="Verdana"/>
          <w:bCs/>
          <w:sz w:val="20"/>
        </w:rPr>
        <w:t>   Realizar la cuantificación y/o totalización de la masa o volumen del Hidrocarburo o Petrolífero de que se trate, a condiciones de referencia:</w:t>
      </w:r>
    </w:p>
    <w:p w:rsidR="00FE77C9" w:rsidRPr="00FE77C9" w:rsidRDefault="00FE77C9" w:rsidP="00FE77C9">
      <w:pPr>
        <w:jc w:val="both"/>
        <w:rPr>
          <w:rFonts w:ascii="Verdana" w:hAnsi="Verdana"/>
          <w:bCs/>
          <w:sz w:val="20"/>
        </w:rPr>
      </w:pPr>
      <w:r w:rsidRPr="00FE77C9">
        <w:rPr>
          <w:rFonts w:ascii="Verdana" w:hAnsi="Verdana"/>
          <w:b/>
          <w:bCs/>
          <w:sz w:val="20"/>
        </w:rPr>
        <w:t>1.</w:t>
      </w:r>
      <w:r w:rsidRPr="00FE77C9">
        <w:rPr>
          <w:rFonts w:ascii="Verdana" w:hAnsi="Verdana"/>
          <w:bCs/>
          <w:sz w:val="20"/>
        </w:rPr>
        <w:t>     Para Hidrocarburos:</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Temperatura 15.56 °C (60 °F).</w:t>
      </w:r>
    </w:p>
    <w:p w:rsidR="00FE77C9" w:rsidRPr="00FE77C9" w:rsidRDefault="00FE77C9" w:rsidP="00FE77C9">
      <w:pPr>
        <w:jc w:val="both"/>
        <w:rPr>
          <w:rFonts w:ascii="Verdana" w:hAnsi="Verdana"/>
          <w:bCs/>
          <w:sz w:val="20"/>
        </w:rPr>
      </w:pPr>
      <w:r w:rsidRPr="00FE77C9">
        <w:rPr>
          <w:rFonts w:ascii="Verdana" w:hAnsi="Verdana"/>
          <w:b/>
          <w:bCs/>
          <w:sz w:val="20"/>
        </w:rPr>
        <w:t>ii.</w:t>
      </w:r>
      <w:r w:rsidRPr="00FE77C9">
        <w:rPr>
          <w:rFonts w:ascii="Verdana" w:hAnsi="Verdana"/>
          <w:bCs/>
          <w:sz w:val="20"/>
        </w:rPr>
        <w:t>     Presión absoluta 101.325 kPa (1 atmósfera).</w:t>
      </w:r>
    </w:p>
    <w:p w:rsidR="00FE77C9" w:rsidRPr="00FE77C9" w:rsidRDefault="00FE77C9" w:rsidP="00FE77C9">
      <w:pPr>
        <w:jc w:val="both"/>
        <w:rPr>
          <w:rFonts w:ascii="Verdana" w:hAnsi="Verdana"/>
          <w:bCs/>
          <w:sz w:val="20"/>
        </w:rPr>
      </w:pPr>
      <w:r w:rsidRPr="00FE77C9">
        <w:rPr>
          <w:rFonts w:ascii="Verdana" w:hAnsi="Verdana"/>
          <w:b/>
          <w:bCs/>
          <w:sz w:val="20"/>
        </w:rPr>
        <w:t>2.</w:t>
      </w:r>
      <w:r w:rsidRPr="00FE77C9">
        <w:rPr>
          <w:rFonts w:ascii="Verdana" w:hAnsi="Verdana"/>
          <w:bCs/>
          <w:sz w:val="20"/>
        </w:rPr>
        <w:t>     Para Petrolíferos:</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Temperatura 20 °C (293.15 K).</w:t>
      </w:r>
    </w:p>
    <w:p w:rsidR="00FE77C9" w:rsidRPr="00FE77C9" w:rsidRDefault="00FE77C9" w:rsidP="00FE77C9">
      <w:pPr>
        <w:jc w:val="both"/>
        <w:rPr>
          <w:rFonts w:ascii="Verdana" w:hAnsi="Verdana"/>
          <w:bCs/>
          <w:sz w:val="20"/>
        </w:rPr>
      </w:pPr>
      <w:r w:rsidRPr="00FE77C9">
        <w:rPr>
          <w:rFonts w:ascii="Verdana" w:hAnsi="Verdana"/>
          <w:b/>
          <w:bCs/>
          <w:sz w:val="20"/>
        </w:rPr>
        <w:t>ii.</w:t>
      </w:r>
      <w:r w:rsidRPr="00FE77C9">
        <w:rPr>
          <w:rFonts w:ascii="Verdana" w:hAnsi="Verdana"/>
          <w:bCs/>
          <w:sz w:val="20"/>
        </w:rPr>
        <w:t>     Presión absoluta 101.325 kPa (1 atmósfera).</w:t>
      </w:r>
    </w:p>
    <w:p w:rsidR="00FE77C9" w:rsidRPr="00FE77C9" w:rsidRDefault="00FE77C9" w:rsidP="00FE77C9">
      <w:pPr>
        <w:jc w:val="both"/>
        <w:rPr>
          <w:rFonts w:ascii="Verdana" w:hAnsi="Verdana"/>
          <w:bCs/>
          <w:sz w:val="20"/>
        </w:rPr>
      </w:pPr>
      <w:r w:rsidRPr="00FE77C9">
        <w:rPr>
          <w:rFonts w:ascii="Verdana" w:hAnsi="Verdana"/>
          <w:b/>
          <w:bCs/>
          <w:sz w:val="20"/>
        </w:rPr>
        <w:t>e)</w:t>
      </w:r>
      <w:r w:rsidRPr="00FE77C9">
        <w:rPr>
          <w:rFonts w:ascii="Verdana" w:hAnsi="Verdana"/>
          <w:bCs/>
          <w:sz w:val="20"/>
        </w:rPr>
        <w:t>   Estar integrados por los siguientes elementos:</w:t>
      </w:r>
    </w:p>
    <w:p w:rsidR="00FE77C9" w:rsidRPr="00FE77C9" w:rsidRDefault="00FE77C9" w:rsidP="00FE77C9">
      <w:pPr>
        <w:jc w:val="both"/>
        <w:rPr>
          <w:rFonts w:ascii="Verdana" w:hAnsi="Verdana"/>
          <w:bCs/>
          <w:sz w:val="20"/>
        </w:rPr>
      </w:pPr>
      <w:r w:rsidRPr="00FE77C9">
        <w:rPr>
          <w:rFonts w:ascii="Verdana" w:hAnsi="Verdana"/>
          <w:b/>
          <w:bCs/>
          <w:sz w:val="20"/>
        </w:rPr>
        <w:t>1.</w:t>
      </w:r>
      <w:r w:rsidRPr="00FE77C9">
        <w:rPr>
          <w:rFonts w:ascii="Verdana" w:hAnsi="Verdana"/>
          <w:bCs/>
          <w:sz w:val="20"/>
        </w:rPr>
        <w:t>     Elemento primario. Dispositivo que cuantifica el volumen del Hidrocarburo o Petrolífero de que se trate, en reposo en un medio de almacenamiento en el caso de la Medición estática, o el volumen/masa del producto que fluye por un ducto, en el caso de la Medición dinámica, mismo que debe cumplir con las siguientes características:</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Selección de acuerdo al tipo de Hidrocarburo o Petrolífero de que se trate, las condiciones del proceso, los intervalos de operación y la exactitud requerida, para satisfacer los requisitos metrológicos.</w:t>
      </w:r>
    </w:p>
    <w:p w:rsidR="00FE77C9" w:rsidRPr="00FE77C9" w:rsidRDefault="00FE77C9" w:rsidP="00FE77C9">
      <w:pPr>
        <w:jc w:val="both"/>
        <w:rPr>
          <w:rFonts w:ascii="Verdana" w:hAnsi="Verdana"/>
          <w:bCs/>
          <w:sz w:val="20"/>
        </w:rPr>
      </w:pPr>
      <w:r w:rsidRPr="00FE77C9">
        <w:rPr>
          <w:rFonts w:ascii="Verdana" w:hAnsi="Verdana"/>
          <w:b/>
          <w:bCs/>
          <w:sz w:val="20"/>
        </w:rPr>
        <w:lastRenderedPageBreak/>
        <w:t>ii.</w:t>
      </w:r>
      <w:r w:rsidRPr="00FE77C9">
        <w:rPr>
          <w:rFonts w:ascii="Verdana" w:hAnsi="Verdana"/>
          <w:bCs/>
          <w:sz w:val="20"/>
        </w:rPr>
        <w:t>     Instalación y operación conforme a lo dispuesto en el apartado 30.5.1., fracción I, inciso a) del presente Anexo, en función de la variable a medir y la tecnología a emplear.</w:t>
      </w:r>
    </w:p>
    <w:p w:rsidR="00FE77C9" w:rsidRPr="00FE77C9" w:rsidRDefault="00FE77C9" w:rsidP="00FE77C9">
      <w:pPr>
        <w:jc w:val="both"/>
        <w:rPr>
          <w:rFonts w:ascii="Verdana" w:hAnsi="Verdana"/>
          <w:bCs/>
          <w:sz w:val="20"/>
        </w:rPr>
      </w:pPr>
      <w:r w:rsidRPr="00FE77C9">
        <w:rPr>
          <w:rFonts w:ascii="Verdana" w:hAnsi="Verdana"/>
          <w:b/>
          <w:bCs/>
          <w:sz w:val="20"/>
        </w:rPr>
        <w:t>iii.</w:t>
      </w:r>
      <w:r w:rsidRPr="00FE77C9">
        <w:rPr>
          <w:rFonts w:ascii="Verdana" w:hAnsi="Verdana"/>
          <w:bCs/>
          <w:sz w:val="20"/>
        </w:rPr>
        <w:t>    Calibración válida, realizada por un laboratorio acreditado por la EMA o por una entidad que cuente con un ARM con la EMA, de conformidad con lo establecido en la LFMN.</w:t>
      </w:r>
    </w:p>
    <w:p w:rsidR="00FE77C9" w:rsidRPr="00FE77C9" w:rsidRDefault="00FE77C9" w:rsidP="00FE77C9">
      <w:pPr>
        <w:jc w:val="both"/>
        <w:rPr>
          <w:rFonts w:ascii="Verdana" w:hAnsi="Verdana"/>
          <w:bCs/>
          <w:sz w:val="20"/>
        </w:rPr>
      </w:pPr>
      <w:r w:rsidRPr="00FE77C9">
        <w:rPr>
          <w:rFonts w:ascii="Verdana" w:hAnsi="Verdana"/>
          <w:b/>
          <w:bCs/>
          <w:sz w:val="20"/>
        </w:rPr>
        <w:t>iv.</w:t>
      </w:r>
      <w:r w:rsidRPr="00FE77C9">
        <w:rPr>
          <w:rFonts w:ascii="Verdana" w:hAnsi="Verdana"/>
          <w:bCs/>
          <w:sz w:val="20"/>
        </w:rPr>
        <w:t>    Placa de identificación del elemento.</w:t>
      </w:r>
    </w:p>
    <w:p w:rsidR="00FE77C9" w:rsidRPr="00FE77C9" w:rsidRDefault="00FE77C9" w:rsidP="00FE77C9">
      <w:pPr>
        <w:jc w:val="both"/>
        <w:rPr>
          <w:rFonts w:ascii="Verdana" w:hAnsi="Verdana"/>
          <w:bCs/>
          <w:sz w:val="20"/>
        </w:rPr>
      </w:pPr>
      <w:r w:rsidRPr="00FE77C9">
        <w:rPr>
          <w:rFonts w:ascii="Verdana" w:hAnsi="Verdana"/>
          <w:bCs/>
          <w:sz w:val="20"/>
        </w:rPr>
        <w:t> </w:t>
      </w:r>
    </w:p>
    <w:p w:rsidR="00FE77C9" w:rsidRPr="00FE77C9" w:rsidRDefault="00FE77C9" w:rsidP="00FE77C9">
      <w:pPr>
        <w:jc w:val="both"/>
        <w:rPr>
          <w:rFonts w:ascii="Verdana" w:hAnsi="Verdana"/>
          <w:bCs/>
          <w:sz w:val="20"/>
        </w:rPr>
      </w:pPr>
      <w:r w:rsidRPr="00FE77C9">
        <w:rPr>
          <w:rFonts w:ascii="Verdana" w:hAnsi="Verdana"/>
          <w:b/>
          <w:bCs/>
          <w:sz w:val="20"/>
        </w:rPr>
        <w:t>2.</w:t>
      </w:r>
      <w:r w:rsidRPr="00FE77C9">
        <w:rPr>
          <w:rFonts w:ascii="Verdana" w:hAnsi="Verdana"/>
          <w:bCs/>
          <w:sz w:val="20"/>
        </w:rPr>
        <w:t>     Elementos secundarios. Deben cumplir con las siguientes características:</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Selección de acuerdo al tipo de Hidrocarburo o Petrolífero de que se trate, las condiciones del proceso, los intervalos de operación y la exactitud requerida, para satisfacer los requisitos metrológicos.</w:t>
      </w:r>
    </w:p>
    <w:p w:rsidR="00FE77C9" w:rsidRPr="00FE77C9" w:rsidRDefault="00FE77C9" w:rsidP="00FE77C9">
      <w:pPr>
        <w:jc w:val="both"/>
        <w:rPr>
          <w:rFonts w:ascii="Verdana" w:hAnsi="Verdana"/>
          <w:bCs/>
          <w:sz w:val="20"/>
        </w:rPr>
      </w:pPr>
      <w:r w:rsidRPr="00FE77C9">
        <w:rPr>
          <w:rFonts w:ascii="Verdana" w:hAnsi="Verdana"/>
          <w:b/>
          <w:bCs/>
          <w:sz w:val="20"/>
        </w:rPr>
        <w:t>ii.</w:t>
      </w:r>
      <w:r w:rsidRPr="00FE77C9">
        <w:rPr>
          <w:rFonts w:ascii="Verdana" w:hAnsi="Verdana"/>
          <w:bCs/>
          <w:sz w:val="20"/>
        </w:rPr>
        <w:t>     Instalación y operación conforme a lo dispuesto en el apartado 30.5.1., fracción I, inciso a) del presente Anexo, en función de la variable a medir y la tecnología a emplear.</w:t>
      </w:r>
    </w:p>
    <w:p w:rsidR="00FE77C9" w:rsidRPr="00FE77C9" w:rsidRDefault="00FE77C9" w:rsidP="00FE77C9">
      <w:pPr>
        <w:jc w:val="both"/>
        <w:rPr>
          <w:rFonts w:ascii="Verdana" w:hAnsi="Verdana"/>
          <w:bCs/>
          <w:sz w:val="20"/>
        </w:rPr>
      </w:pPr>
      <w:r w:rsidRPr="00FE77C9">
        <w:rPr>
          <w:rFonts w:ascii="Verdana" w:hAnsi="Verdana"/>
          <w:b/>
          <w:bCs/>
          <w:sz w:val="20"/>
        </w:rPr>
        <w:t>iii.</w:t>
      </w:r>
      <w:r w:rsidRPr="00FE77C9">
        <w:rPr>
          <w:rFonts w:ascii="Verdana" w:hAnsi="Verdana"/>
          <w:bCs/>
          <w:sz w:val="20"/>
        </w:rPr>
        <w:t>    Calibración válida, realizada por un laboratorio acreditado por la EMA o por una entidad que cuente con un ARM con la EMA, de conformidad con lo establecido en la LFMN.</w:t>
      </w:r>
    </w:p>
    <w:p w:rsidR="00FE77C9" w:rsidRPr="00FE77C9" w:rsidRDefault="00FE77C9" w:rsidP="00FE77C9">
      <w:pPr>
        <w:jc w:val="both"/>
        <w:rPr>
          <w:rFonts w:ascii="Verdana" w:hAnsi="Verdana"/>
          <w:bCs/>
          <w:sz w:val="20"/>
        </w:rPr>
      </w:pPr>
      <w:r w:rsidRPr="00FE77C9">
        <w:rPr>
          <w:rFonts w:ascii="Verdana" w:hAnsi="Verdana"/>
          <w:b/>
          <w:bCs/>
          <w:sz w:val="20"/>
        </w:rPr>
        <w:t>iv.</w:t>
      </w:r>
      <w:r w:rsidRPr="00FE77C9">
        <w:rPr>
          <w:rFonts w:ascii="Verdana" w:hAnsi="Verdana"/>
          <w:bCs/>
          <w:sz w:val="20"/>
        </w:rPr>
        <w:t>    Placas de identificación de los elementos.</w:t>
      </w:r>
    </w:p>
    <w:p w:rsidR="00FE77C9" w:rsidRPr="00FE77C9" w:rsidRDefault="00FE77C9" w:rsidP="00FE77C9">
      <w:pPr>
        <w:jc w:val="both"/>
        <w:rPr>
          <w:rFonts w:ascii="Verdana" w:hAnsi="Verdana"/>
          <w:bCs/>
          <w:sz w:val="20"/>
        </w:rPr>
      </w:pPr>
      <w:r w:rsidRPr="00FE77C9">
        <w:rPr>
          <w:rFonts w:ascii="Verdana" w:hAnsi="Verdana"/>
          <w:b/>
          <w:bCs/>
          <w:sz w:val="20"/>
        </w:rPr>
        <w:t>3.</w:t>
      </w:r>
      <w:r w:rsidRPr="00FE77C9">
        <w:rPr>
          <w:rFonts w:ascii="Verdana" w:hAnsi="Verdana"/>
          <w:bCs/>
          <w:sz w:val="20"/>
        </w:rPr>
        <w:t>     Elemento terciario. Debe cumplir con las siguientes características:</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Instalación, configuración y operación conforme a las especificaciones del fabricante y en cumplimiento a la normatividad listada en el apartado 30.7., fracción III, inciso e) del presente Anexo y la regulación de la CNH o la CRE que le corresponda.</w:t>
      </w:r>
    </w:p>
    <w:p w:rsidR="00FE77C9" w:rsidRPr="00FE77C9" w:rsidRDefault="00FE77C9" w:rsidP="00FE77C9">
      <w:pPr>
        <w:jc w:val="both"/>
        <w:rPr>
          <w:rFonts w:ascii="Verdana" w:hAnsi="Verdana"/>
          <w:bCs/>
          <w:sz w:val="20"/>
        </w:rPr>
      </w:pPr>
      <w:r w:rsidRPr="00FE77C9">
        <w:rPr>
          <w:rFonts w:ascii="Verdana" w:hAnsi="Verdana"/>
          <w:b/>
          <w:bCs/>
          <w:sz w:val="20"/>
        </w:rPr>
        <w:t>ii.</w:t>
      </w:r>
      <w:r w:rsidRPr="00FE77C9">
        <w:rPr>
          <w:rFonts w:ascii="Verdana" w:hAnsi="Verdana"/>
          <w:bCs/>
          <w:sz w:val="20"/>
        </w:rPr>
        <w:t>     Configuración para la transferencia de información, comandos y estado del sistema de medición a la UCC y al programa informático para llevar controles volumétricos.</w:t>
      </w:r>
    </w:p>
    <w:p w:rsidR="00FE77C9" w:rsidRPr="00FE77C9" w:rsidRDefault="00FE77C9" w:rsidP="00FE77C9">
      <w:pPr>
        <w:jc w:val="both"/>
        <w:rPr>
          <w:rFonts w:ascii="Verdana" w:hAnsi="Verdana"/>
          <w:bCs/>
          <w:sz w:val="20"/>
        </w:rPr>
      </w:pPr>
      <w:r w:rsidRPr="00FE77C9">
        <w:rPr>
          <w:rFonts w:ascii="Verdana" w:hAnsi="Verdana"/>
          <w:b/>
          <w:bCs/>
          <w:sz w:val="20"/>
        </w:rPr>
        <w:t>iii.</w:t>
      </w:r>
      <w:r w:rsidRPr="00FE77C9">
        <w:rPr>
          <w:rFonts w:ascii="Verdana" w:hAnsi="Verdana"/>
          <w:bCs/>
          <w:sz w:val="20"/>
        </w:rPr>
        <w:t>    Operación continua y sin perturbaciones durante el proceso de medición.</w:t>
      </w:r>
    </w:p>
    <w:p w:rsidR="00FE77C9" w:rsidRPr="00FE77C9" w:rsidRDefault="00FE77C9" w:rsidP="00FE77C9">
      <w:pPr>
        <w:jc w:val="both"/>
        <w:rPr>
          <w:rFonts w:ascii="Verdana" w:hAnsi="Verdana"/>
          <w:bCs/>
          <w:sz w:val="20"/>
        </w:rPr>
      </w:pPr>
      <w:r w:rsidRPr="00FE77C9">
        <w:rPr>
          <w:rFonts w:ascii="Verdana" w:hAnsi="Verdana"/>
          <w:b/>
          <w:bCs/>
          <w:sz w:val="20"/>
        </w:rPr>
        <w:t>iv.</w:t>
      </w:r>
      <w:r w:rsidRPr="00FE77C9">
        <w:rPr>
          <w:rFonts w:ascii="Verdana" w:hAnsi="Verdana"/>
          <w:bCs/>
          <w:sz w:val="20"/>
        </w:rPr>
        <w:t>    Funciones de seguridad para garantizar la integridad de la información y algoritmos de cálculo.</w:t>
      </w:r>
    </w:p>
    <w:p w:rsidR="00FE77C9" w:rsidRPr="00FE77C9" w:rsidRDefault="00FE77C9" w:rsidP="00FE77C9">
      <w:pPr>
        <w:jc w:val="both"/>
        <w:rPr>
          <w:rFonts w:ascii="Verdana" w:hAnsi="Verdana"/>
          <w:bCs/>
          <w:sz w:val="20"/>
        </w:rPr>
      </w:pPr>
      <w:r w:rsidRPr="00FE77C9">
        <w:rPr>
          <w:rFonts w:ascii="Verdana" w:hAnsi="Verdana"/>
          <w:b/>
          <w:bCs/>
          <w:sz w:val="20"/>
        </w:rPr>
        <w:t>v.</w:t>
      </w:r>
      <w:r w:rsidRPr="00FE77C9">
        <w:rPr>
          <w:rFonts w:ascii="Verdana" w:hAnsi="Verdana"/>
          <w:bCs/>
          <w:sz w:val="20"/>
        </w:rPr>
        <w:t>     Actualización de las variables de influencia, que se determinen mediante muestreo y análisis, en el algoritmo de cálculo del volumen del Hidrocarburo o Petrolífero de que se trate.</w:t>
      </w:r>
    </w:p>
    <w:p w:rsidR="00FE77C9" w:rsidRPr="00FE77C9" w:rsidRDefault="00FE77C9" w:rsidP="00FE77C9">
      <w:pPr>
        <w:jc w:val="both"/>
        <w:rPr>
          <w:rFonts w:ascii="Verdana" w:hAnsi="Verdana"/>
          <w:bCs/>
          <w:sz w:val="20"/>
        </w:rPr>
      </w:pPr>
      <w:r w:rsidRPr="00FE77C9">
        <w:rPr>
          <w:rFonts w:ascii="Verdana" w:hAnsi="Verdana"/>
          <w:b/>
          <w:bCs/>
          <w:sz w:val="20"/>
        </w:rPr>
        <w:t>II.</w:t>
      </w:r>
      <w:r w:rsidRPr="00FE77C9">
        <w:rPr>
          <w:rFonts w:ascii="Verdana" w:hAnsi="Verdana"/>
          <w:bCs/>
          <w:sz w:val="20"/>
        </w:rPr>
        <w:t>     Requerimientos específicos tratándose de sistemas de medición estática:</w:t>
      </w:r>
    </w:p>
    <w:p w:rsidR="00FE77C9" w:rsidRPr="00FE77C9" w:rsidRDefault="00FE77C9" w:rsidP="00FE77C9">
      <w:pPr>
        <w:jc w:val="both"/>
        <w:rPr>
          <w:rFonts w:ascii="Verdana" w:hAnsi="Verdana"/>
          <w:bCs/>
          <w:sz w:val="20"/>
        </w:rPr>
      </w:pPr>
      <w:r w:rsidRPr="00FE77C9">
        <w:rPr>
          <w:rFonts w:ascii="Verdana" w:hAnsi="Verdana"/>
          <w:bCs/>
          <w:sz w:val="20"/>
        </w:rPr>
        <w:lastRenderedPageBreak/>
        <w:t>       Los sistemas de medición estática se utilizan para conocer el volumen contenido en tanques de almacenamiento en instalaciones de proceso y estaciones de servicio, en tanques o cavernas salinas en terminales de almacenamiento o en autotanques, carrotanques o buquetanques en las operaciones de transporte o distribución.</w:t>
      </w:r>
    </w:p>
    <w:p w:rsidR="00FE77C9" w:rsidRPr="00FE77C9" w:rsidRDefault="00FE77C9" w:rsidP="00FE77C9">
      <w:pPr>
        <w:jc w:val="both"/>
        <w:rPr>
          <w:rFonts w:ascii="Verdana" w:hAnsi="Verdana"/>
          <w:bCs/>
          <w:sz w:val="20"/>
        </w:rPr>
      </w:pPr>
      <w:r w:rsidRPr="00FE77C9">
        <w:rPr>
          <w:rFonts w:ascii="Verdana" w:hAnsi="Verdana"/>
          <w:bCs/>
          <w:sz w:val="20"/>
        </w:rPr>
        <w:t>       Además de lo establecido en la fracción I anterior, los sistemas de medición estática deben cumplir con los siguientes requerimientos:</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El medio de almacenamiento debe tener Calibración válida (cartas), realizada por un laboratorio acreditado por la EMA o por una entidad que cuente con un ARM con la EMA, de conformidad con lo establecido en la LFMN.</w:t>
      </w:r>
    </w:p>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El Hidrocarburo o Petrolífero de que se trate debe estar en condiciones de reposo total.</w:t>
      </w:r>
    </w:p>
    <w:p w:rsidR="00FE77C9" w:rsidRPr="00FE77C9" w:rsidRDefault="00FE77C9" w:rsidP="00FE77C9">
      <w:pPr>
        <w:jc w:val="both"/>
        <w:rPr>
          <w:rFonts w:ascii="Verdana" w:hAnsi="Verdana"/>
          <w:bCs/>
          <w:sz w:val="20"/>
        </w:rPr>
      </w:pPr>
      <w:r w:rsidRPr="00FE77C9">
        <w:rPr>
          <w:rFonts w:ascii="Verdana" w:hAnsi="Verdana"/>
          <w:b/>
          <w:bCs/>
          <w:sz w:val="20"/>
        </w:rPr>
        <w:t>c)</w:t>
      </w:r>
      <w:r w:rsidRPr="00FE77C9">
        <w:rPr>
          <w:rFonts w:ascii="Verdana" w:hAnsi="Verdana"/>
          <w:bCs/>
          <w:sz w:val="20"/>
        </w:rPr>
        <w:t>   El Elemento primario debe cumplir con las siguientes características:</w:t>
      </w:r>
    </w:p>
    <w:p w:rsidR="00FE77C9" w:rsidRPr="00FE77C9" w:rsidRDefault="00FE77C9" w:rsidP="00FE77C9">
      <w:pPr>
        <w:jc w:val="both"/>
        <w:rPr>
          <w:rFonts w:ascii="Verdana" w:hAnsi="Verdana"/>
          <w:bCs/>
          <w:sz w:val="20"/>
        </w:rPr>
      </w:pPr>
      <w:r w:rsidRPr="00FE77C9">
        <w:rPr>
          <w:rFonts w:ascii="Verdana" w:hAnsi="Verdana"/>
          <w:b/>
          <w:bCs/>
          <w:sz w:val="20"/>
        </w:rPr>
        <w:t>1.</w:t>
      </w:r>
      <w:r w:rsidRPr="00FE77C9">
        <w:rPr>
          <w:rFonts w:ascii="Verdana" w:hAnsi="Verdana"/>
          <w:bCs/>
          <w:sz w:val="20"/>
        </w:rPr>
        <w:t>     Selección de acuerdo con el tipo de Hidrocarburo o Petrolífero de que se trate, las condiciones de operación y la exactitud requerida. Las tecnologías que se deben utilizar son:</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Medición por reflexión de ondas (ultrasónico, radar y radiación).</w:t>
      </w:r>
    </w:p>
    <w:p w:rsidR="00FE77C9" w:rsidRPr="00FE77C9" w:rsidRDefault="00FE77C9" w:rsidP="00FE77C9">
      <w:pPr>
        <w:jc w:val="both"/>
        <w:rPr>
          <w:rFonts w:ascii="Verdana" w:hAnsi="Verdana"/>
          <w:bCs/>
          <w:sz w:val="20"/>
        </w:rPr>
      </w:pPr>
      <w:r w:rsidRPr="00FE77C9">
        <w:rPr>
          <w:rFonts w:ascii="Verdana" w:hAnsi="Verdana"/>
          <w:b/>
          <w:bCs/>
          <w:sz w:val="20"/>
        </w:rPr>
        <w:t>ii.</w:t>
      </w:r>
      <w:r w:rsidRPr="00FE77C9">
        <w:rPr>
          <w:rFonts w:ascii="Verdana" w:hAnsi="Verdana"/>
          <w:bCs/>
          <w:sz w:val="20"/>
        </w:rPr>
        <w:t>     Medición eléctrica (medidor capacitivo o inductivo).</w:t>
      </w:r>
    </w:p>
    <w:p w:rsidR="00FE77C9" w:rsidRPr="00FE77C9" w:rsidRDefault="00FE77C9" w:rsidP="00FE77C9">
      <w:pPr>
        <w:jc w:val="both"/>
        <w:rPr>
          <w:rFonts w:ascii="Verdana" w:hAnsi="Verdana"/>
          <w:bCs/>
          <w:sz w:val="20"/>
        </w:rPr>
      </w:pPr>
      <w:r w:rsidRPr="00FE77C9">
        <w:rPr>
          <w:rFonts w:ascii="Verdana" w:hAnsi="Verdana"/>
          <w:b/>
          <w:bCs/>
          <w:sz w:val="20"/>
        </w:rPr>
        <w:t>iii.</w:t>
      </w:r>
      <w:r w:rsidRPr="00FE77C9">
        <w:rPr>
          <w:rFonts w:ascii="Verdana" w:hAnsi="Verdana"/>
          <w:bCs/>
          <w:sz w:val="20"/>
        </w:rPr>
        <w:t>    Medición bajo principio de presión hidrostática (medidor manométrico, presión diferencial y membrana).</w:t>
      </w:r>
    </w:p>
    <w:p w:rsidR="00FE77C9" w:rsidRPr="00FE77C9" w:rsidRDefault="00FE77C9" w:rsidP="00FE77C9">
      <w:pPr>
        <w:jc w:val="both"/>
        <w:rPr>
          <w:rFonts w:ascii="Verdana" w:hAnsi="Verdana"/>
          <w:bCs/>
          <w:sz w:val="20"/>
        </w:rPr>
      </w:pPr>
      <w:r w:rsidRPr="00FE77C9">
        <w:rPr>
          <w:rFonts w:ascii="Verdana" w:hAnsi="Verdana"/>
          <w:b/>
          <w:bCs/>
          <w:sz w:val="20"/>
        </w:rPr>
        <w:t>2.</w:t>
      </w:r>
      <w:r w:rsidRPr="00FE77C9">
        <w:rPr>
          <w:rFonts w:ascii="Verdana" w:hAnsi="Verdana"/>
          <w:bCs/>
          <w:sz w:val="20"/>
        </w:rPr>
        <w:t>     Certificado de Calibración válido.</w:t>
      </w:r>
    </w:p>
    <w:p w:rsidR="00FE77C9" w:rsidRPr="00FE77C9" w:rsidRDefault="00FE77C9" w:rsidP="00FE77C9">
      <w:pPr>
        <w:jc w:val="both"/>
        <w:rPr>
          <w:rFonts w:ascii="Verdana" w:hAnsi="Verdana"/>
          <w:bCs/>
          <w:sz w:val="20"/>
        </w:rPr>
      </w:pPr>
      <w:r w:rsidRPr="00FE77C9">
        <w:rPr>
          <w:rFonts w:ascii="Verdana" w:hAnsi="Verdana"/>
          <w:b/>
          <w:bCs/>
          <w:sz w:val="20"/>
        </w:rPr>
        <w:t>3.</w:t>
      </w:r>
      <w:r w:rsidRPr="00FE77C9">
        <w:rPr>
          <w:rFonts w:ascii="Verdana" w:hAnsi="Verdana"/>
          <w:bCs/>
          <w:sz w:val="20"/>
        </w:rPr>
        <w:t>     Disponer de mecanismos de mitigación a perturbaciones de radiación y/o electromagnéticas.</w:t>
      </w:r>
    </w:p>
    <w:p w:rsidR="00FE77C9" w:rsidRPr="00FE77C9" w:rsidRDefault="00FE77C9" w:rsidP="00FE77C9">
      <w:pPr>
        <w:jc w:val="both"/>
        <w:rPr>
          <w:rFonts w:ascii="Verdana" w:hAnsi="Verdana"/>
          <w:bCs/>
          <w:sz w:val="20"/>
        </w:rPr>
      </w:pPr>
      <w:r w:rsidRPr="00FE77C9">
        <w:rPr>
          <w:rFonts w:ascii="Verdana" w:hAnsi="Verdana"/>
          <w:b/>
          <w:bCs/>
          <w:sz w:val="20"/>
        </w:rPr>
        <w:t>4.</w:t>
      </w:r>
      <w:r w:rsidRPr="00FE77C9">
        <w:rPr>
          <w:rFonts w:ascii="Verdana" w:hAnsi="Verdana"/>
          <w:bCs/>
          <w:sz w:val="20"/>
        </w:rPr>
        <w:t>     Instalación y operación en cumplimiento a las especificaciones y recomendaciones del fabricante.</w:t>
      </w:r>
    </w:p>
    <w:p w:rsidR="00FE77C9" w:rsidRPr="00FE77C9" w:rsidRDefault="00FE77C9" w:rsidP="00FE77C9">
      <w:pPr>
        <w:jc w:val="both"/>
        <w:rPr>
          <w:rFonts w:ascii="Verdana" w:hAnsi="Verdana"/>
          <w:bCs/>
          <w:sz w:val="20"/>
        </w:rPr>
      </w:pPr>
      <w:r w:rsidRPr="00FE77C9">
        <w:rPr>
          <w:rFonts w:ascii="Verdana" w:hAnsi="Verdana"/>
          <w:b/>
          <w:bCs/>
          <w:sz w:val="20"/>
        </w:rPr>
        <w:t>5.</w:t>
      </w:r>
      <w:r w:rsidRPr="00FE77C9">
        <w:rPr>
          <w:rFonts w:ascii="Verdana" w:hAnsi="Verdana"/>
          <w:bCs/>
          <w:sz w:val="20"/>
        </w:rPr>
        <w:t>     Cumplimiento con la normatividad listada en el apartado 30.7., fracciones I, II y VI del presente Anexo, que le correspondan.</w:t>
      </w:r>
    </w:p>
    <w:p w:rsidR="00FE77C9" w:rsidRPr="00FE77C9" w:rsidRDefault="00FE77C9" w:rsidP="00FE77C9">
      <w:pPr>
        <w:jc w:val="both"/>
        <w:rPr>
          <w:rFonts w:ascii="Verdana" w:hAnsi="Verdana"/>
          <w:bCs/>
          <w:sz w:val="20"/>
        </w:rPr>
      </w:pPr>
      <w:r w:rsidRPr="00FE77C9">
        <w:rPr>
          <w:rFonts w:ascii="Verdana" w:hAnsi="Verdana"/>
          <w:bCs/>
          <w:sz w:val="20"/>
        </w:rPr>
        <w:t> </w:t>
      </w:r>
    </w:p>
    <w:p w:rsidR="00FE77C9" w:rsidRPr="00FE77C9" w:rsidRDefault="00FE77C9" w:rsidP="00FE77C9">
      <w:pPr>
        <w:jc w:val="both"/>
        <w:rPr>
          <w:rFonts w:ascii="Verdana" w:hAnsi="Verdana"/>
          <w:bCs/>
          <w:sz w:val="20"/>
        </w:rPr>
      </w:pPr>
      <w:r w:rsidRPr="00FE77C9">
        <w:rPr>
          <w:rFonts w:ascii="Verdana" w:hAnsi="Verdana"/>
          <w:b/>
          <w:bCs/>
          <w:sz w:val="20"/>
        </w:rPr>
        <w:t>d)</w:t>
      </w:r>
      <w:r w:rsidRPr="00FE77C9">
        <w:rPr>
          <w:rFonts w:ascii="Verdana" w:hAnsi="Verdana"/>
          <w:bCs/>
          <w:sz w:val="20"/>
        </w:rPr>
        <w:t>   Contar con los Elementos secundarios para calcular el volumen del medio de almacenamiento a condiciones de referencia.</w:t>
      </w:r>
    </w:p>
    <w:p w:rsidR="00FE77C9" w:rsidRPr="00FE77C9" w:rsidRDefault="00FE77C9" w:rsidP="00FE77C9">
      <w:pPr>
        <w:jc w:val="both"/>
        <w:rPr>
          <w:rFonts w:ascii="Verdana" w:hAnsi="Verdana"/>
          <w:bCs/>
          <w:sz w:val="20"/>
        </w:rPr>
      </w:pPr>
      <w:r w:rsidRPr="00FE77C9">
        <w:rPr>
          <w:rFonts w:ascii="Verdana" w:hAnsi="Verdana"/>
          <w:b/>
          <w:bCs/>
          <w:sz w:val="20"/>
        </w:rPr>
        <w:t>e)</w:t>
      </w:r>
      <w:r w:rsidRPr="00FE77C9">
        <w:rPr>
          <w:rFonts w:ascii="Verdana" w:hAnsi="Verdana"/>
          <w:bCs/>
          <w:sz w:val="20"/>
        </w:rPr>
        <w:t>   Contar con el Elemento terciario.</w:t>
      </w:r>
    </w:p>
    <w:p w:rsidR="00FE77C9" w:rsidRPr="00FE77C9" w:rsidRDefault="00FE77C9" w:rsidP="00FE77C9">
      <w:pPr>
        <w:jc w:val="both"/>
        <w:rPr>
          <w:rFonts w:ascii="Verdana" w:hAnsi="Verdana"/>
          <w:bCs/>
          <w:sz w:val="20"/>
        </w:rPr>
      </w:pPr>
      <w:r w:rsidRPr="00FE77C9">
        <w:rPr>
          <w:rFonts w:ascii="Verdana" w:hAnsi="Verdana"/>
          <w:b/>
          <w:bCs/>
          <w:sz w:val="20"/>
        </w:rPr>
        <w:t>III.</w:t>
      </w:r>
      <w:r w:rsidRPr="00FE77C9">
        <w:rPr>
          <w:rFonts w:ascii="Verdana" w:hAnsi="Verdana"/>
          <w:bCs/>
          <w:sz w:val="20"/>
        </w:rPr>
        <w:t>    Requerimientos específicos tratándose de sistemas de Medición dinámica en ductos:</w:t>
      </w:r>
    </w:p>
    <w:p w:rsidR="00FE77C9" w:rsidRPr="00FE77C9" w:rsidRDefault="00FE77C9" w:rsidP="00FE77C9">
      <w:pPr>
        <w:jc w:val="both"/>
        <w:rPr>
          <w:rFonts w:ascii="Verdana" w:hAnsi="Verdana"/>
          <w:bCs/>
          <w:sz w:val="20"/>
        </w:rPr>
      </w:pPr>
      <w:r w:rsidRPr="00FE77C9">
        <w:rPr>
          <w:rFonts w:ascii="Verdana" w:hAnsi="Verdana"/>
          <w:bCs/>
          <w:sz w:val="20"/>
        </w:rPr>
        <w:t xml:space="preserve">       Se deben utilizar para medir el volumen del Hidrocarburo o Petrolífero de que se trate, que se transfiere a través de ductos de transporte o distribución, ductos de </w:t>
      </w:r>
      <w:r w:rsidRPr="00FE77C9">
        <w:rPr>
          <w:rFonts w:ascii="Verdana" w:hAnsi="Verdana"/>
          <w:bCs/>
          <w:sz w:val="20"/>
        </w:rPr>
        <w:lastRenderedPageBreak/>
        <w:t>entrada/salida a medios de almacenamiento y ductos de carga/descarga a autotanques, carrotanques o buquetanques.</w:t>
      </w:r>
    </w:p>
    <w:p w:rsidR="00FE77C9" w:rsidRPr="00FE77C9" w:rsidRDefault="00FE77C9" w:rsidP="00FE77C9">
      <w:pPr>
        <w:jc w:val="both"/>
        <w:rPr>
          <w:rFonts w:ascii="Verdana" w:hAnsi="Verdana"/>
          <w:bCs/>
          <w:sz w:val="20"/>
        </w:rPr>
      </w:pPr>
      <w:r w:rsidRPr="00FE77C9">
        <w:rPr>
          <w:rFonts w:ascii="Verdana" w:hAnsi="Verdana"/>
          <w:bCs/>
          <w:sz w:val="20"/>
        </w:rPr>
        <w:t>       Además de lo establecido en la fracción I anterior, los sistemas de medición dinámica deben cumplir con los siguientes requerimientos:</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El Elemento primario debe ser un medidor de flujo, con las siguientes características:</w:t>
      </w:r>
    </w:p>
    <w:p w:rsidR="00FE77C9" w:rsidRPr="00FE77C9" w:rsidRDefault="00FE77C9" w:rsidP="00FE77C9">
      <w:pPr>
        <w:jc w:val="both"/>
        <w:rPr>
          <w:rFonts w:ascii="Verdana" w:hAnsi="Verdana"/>
          <w:bCs/>
          <w:sz w:val="20"/>
        </w:rPr>
      </w:pPr>
      <w:r w:rsidRPr="00FE77C9">
        <w:rPr>
          <w:rFonts w:ascii="Verdana" w:hAnsi="Verdana"/>
          <w:b/>
          <w:bCs/>
          <w:sz w:val="20"/>
        </w:rPr>
        <w:t>1.</w:t>
      </w:r>
      <w:r w:rsidRPr="00FE77C9">
        <w:rPr>
          <w:rFonts w:ascii="Verdana" w:hAnsi="Verdana"/>
          <w:bCs/>
          <w:sz w:val="20"/>
        </w:rPr>
        <w:t>     Selección de acuerdo con el tipo de Hidrocarburo o Petrolífero de que se trate, las condiciones de operación y la exactitud requerida. Las tecnologías que se deben utilizar son:</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Medidores bajo principio de presión diferencial (placa de orificio).</w:t>
      </w:r>
    </w:p>
    <w:p w:rsidR="00FE77C9" w:rsidRPr="00FE77C9" w:rsidRDefault="00FE77C9" w:rsidP="00FE77C9">
      <w:pPr>
        <w:jc w:val="both"/>
        <w:rPr>
          <w:rFonts w:ascii="Verdana" w:hAnsi="Verdana"/>
          <w:bCs/>
          <w:sz w:val="20"/>
        </w:rPr>
      </w:pPr>
      <w:r w:rsidRPr="00FE77C9">
        <w:rPr>
          <w:rFonts w:ascii="Verdana" w:hAnsi="Verdana"/>
          <w:b/>
          <w:bCs/>
          <w:sz w:val="20"/>
        </w:rPr>
        <w:t>ii.</w:t>
      </w:r>
      <w:r w:rsidRPr="00FE77C9">
        <w:rPr>
          <w:rFonts w:ascii="Verdana" w:hAnsi="Verdana"/>
          <w:bCs/>
          <w:sz w:val="20"/>
        </w:rPr>
        <w:t>     Medidores de desplazamiento positivo.</w:t>
      </w:r>
    </w:p>
    <w:p w:rsidR="00FE77C9" w:rsidRPr="00FE77C9" w:rsidRDefault="00FE77C9" w:rsidP="00FE77C9">
      <w:pPr>
        <w:jc w:val="both"/>
        <w:rPr>
          <w:rFonts w:ascii="Verdana" w:hAnsi="Verdana"/>
          <w:bCs/>
          <w:sz w:val="20"/>
        </w:rPr>
      </w:pPr>
      <w:r w:rsidRPr="00FE77C9">
        <w:rPr>
          <w:rFonts w:ascii="Verdana" w:hAnsi="Verdana"/>
          <w:b/>
          <w:bCs/>
          <w:sz w:val="20"/>
        </w:rPr>
        <w:t>iii.</w:t>
      </w:r>
      <w:r w:rsidRPr="00FE77C9">
        <w:rPr>
          <w:rFonts w:ascii="Verdana" w:hAnsi="Verdana"/>
          <w:bCs/>
          <w:sz w:val="20"/>
        </w:rPr>
        <w:t>    Medidores tipo turbina.</w:t>
      </w:r>
    </w:p>
    <w:p w:rsidR="00FE77C9" w:rsidRPr="00FE77C9" w:rsidRDefault="00FE77C9" w:rsidP="00FE77C9">
      <w:pPr>
        <w:jc w:val="both"/>
        <w:rPr>
          <w:rFonts w:ascii="Verdana" w:hAnsi="Verdana"/>
          <w:bCs/>
          <w:sz w:val="20"/>
        </w:rPr>
      </w:pPr>
      <w:r w:rsidRPr="00FE77C9">
        <w:rPr>
          <w:rFonts w:ascii="Verdana" w:hAnsi="Verdana"/>
          <w:b/>
          <w:bCs/>
          <w:sz w:val="20"/>
        </w:rPr>
        <w:t>iv.</w:t>
      </w:r>
      <w:r w:rsidRPr="00FE77C9">
        <w:rPr>
          <w:rFonts w:ascii="Verdana" w:hAnsi="Verdana"/>
          <w:bCs/>
          <w:sz w:val="20"/>
        </w:rPr>
        <w:t>    Medidores ultrasónicos.</w:t>
      </w:r>
    </w:p>
    <w:p w:rsidR="00FE77C9" w:rsidRPr="00FE77C9" w:rsidRDefault="00FE77C9" w:rsidP="00FE77C9">
      <w:pPr>
        <w:jc w:val="both"/>
        <w:rPr>
          <w:rFonts w:ascii="Verdana" w:hAnsi="Verdana"/>
          <w:bCs/>
          <w:sz w:val="20"/>
        </w:rPr>
      </w:pPr>
      <w:proofErr w:type="gramStart"/>
      <w:r w:rsidRPr="00FE77C9">
        <w:rPr>
          <w:rFonts w:ascii="Verdana" w:hAnsi="Verdana"/>
          <w:b/>
          <w:bCs/>
          <w:sz w:val="20"/>
        </w:rPr>
        <w:t>v</w:t>
      </w:r>
      <w:proofErr w:type="gramEnd"/>
      <w:r w:rsidRPr="00FE77C9">
        <w:rPr>
          <w:rFonts w:ascii="Verdana" w:hAnsi="Verdana"/>
          <w:b/>
          <w:bCs/>
          <w:sz w:val="20"/>
        </w:rPr>
        <w:t>.</w:t>
      </w:r>
      <w:r w:rsidRPr="00FE77C9">
        <w:rPr>
          <w:rFonts w:ascii="Verdana" w:hAnsi="Verdana"/>
          <w:bCs/>
          <w:sz w:val="20"/>
        </w:rPr>
        <w:t>     Medidores de Coriolis.</w:t>
      </w:r>
    </w:p>
    <w:p w:rsidR="00FE77C9" w:rsidRPr="00FE77C9" w:rsidRDefault="00FE77C9" w:rsidP="00FE77C9">
      <w:pPr>
        <w:jc w:val="both"/>
        <w:rPr>
          <w:rFonts w:ascii="Verdana" w:hAnsi="Verdana"/>
          <w:bCs/>
          <w:sz w:val="20"/>
        </w:rPr>
      </w:pPr>
      <w:r w:rsidRPr="00FE77C9">
        <w:rPr>
          <w:rFonts w:ascii="Verdana" w:hAnsi="Verdana"/>
          <w:b/>
          <w:bCs/>
          <w:sz w:val="20"/>
        </w:rPr>
        <w:t>vi.</w:t>
      </w:r>
      <w:r w:rsidRPr="00FE77C9">
        <w:rPr>
          <w:rFonts w:ascii="Verdana" w:hAnsi="Verdana"/>
          <w:bCs/>
          <w:sz w:val="20"/>
        </w:rPr>
        <w:t>    Medidores multifásicos, tratándose de medición a boca de pozo o de recolección.</w:t>
      </w:r>
    </w:p>
    <w:p w:rsidR="00FE77C9" w:rsidRPr="00FE77C9" w:rsidRDefault="00FE77C9" w:rsidP="00FE77C9">
      <w:pPr>
        <w:jc w:val="both"/>
        <w:rPr>
          <w:rFonts w:ascii="Verdana" w:hAnsi="Verdana"/>
          <w:bCs/>
          <w:sz w:val="20"/>
        </w:rPr>
      </w:pPr>
      <w:r w:rsidRPr="00FE77C9">
        <w:rPr>
          <w:rFonts w:ascii="Verdana" w:hAnsi="Verdana"/>
          <w:b/>
          <w:bCs/>
          <w:sz w:val="20"/>
        </w:rPr>
        <w:t>2.</w:t>
      </w:r>
      <w:r w:rsidRPr="00FE77C9">
        <w:rPr>
          <w:rFonts w:ascii="Verdana" w:hAnsi="Verdana"/>
          <w:bCs/>
          <w:sz w:val="20"/>
        </w:rPr>
        <w:t>     Certificado de Calibración válido.</w:t>
      </w:r>
    </w:p>
    <w:p w:rsidR="00FE77C9" w:rsidRPr="00FE77C9" w:rsidRDefault="00FE77C9" w:rsidP="00FE77C9">
      <w:pPr>
        <w:jc w:val="both"/>
        <w:rPr>
          <w:rFonts w:ascii="Verdana" w:hAnsi="Verdana"/>
          <w:bCs/>
          <w:sz w:val="20"/>
        </w:rPr>
      </w:pPr>
      <w:r w:rsidRPr="00FE77C9">
        <w:rPr>
          <w:rFonts w:ascii="Verdana" w:hAnsi="Verdana"/>
          <w:b/>
          <w:bCs/>
          <w:sz w:val="20"/>
        </w:rPr>
        <w:t>3.</w:t>
      </w:r>
      <w:r w:rsidRPr="00FE77C9">
        <w:rPr>
          <w:rFonts w:ascii="Verdana" w:hAnsi="Verdana"/>
          <w:bCs/>
          <w:sz w:val="20"/>
        </w:rPr>
        <w:t>     Disponer de mecanismos de mitigación a perturbaciones de radiación y/o electromagnéticas.</w:t>
      </w:r>
    </w:p>
    <w:p w:rsidR="00FE77C9" w:rsidRPr="00FE77C9" w:rsidRDefault="00FE77C9" w:rsidP="00FE77C9">
      <w:pPr>
        <w:jc w:val="both"/>
        <w:rPr>
          <w:rFonts w:ascii="Verdana" w:hAnsi="Verdana"/>
          <w:bCs/>
          <w:sz w:val="20"/>
        </w:rPr>
      </w:pPr>
      <w:r w:rsidRPr="00FE77C9">
        <w:rPr>
          <w:rFonts w:ascii="Verdana" w:hAnsi="Verdana"/>
          <w:b/>
          <w:bCs/>
          <w:sz w:val="20"/>
        </w:rPr>
        <w:t>4.</w:t>
      </w:r>
      <w:r w:rsidRPr="00FE77C9">
        <w:rPr>
          <w:rFonts w:ascii="Verdana" w:hAnsi="Verdana"/>
          <w:bCs/>
          <w:sz w:val="20"/>
        </w:rPr>
        <w:t>     Instalación y operación en cumplimiento a las especificaciones y recomendaciones del fabricante.</w:t>
      </w:r>
    </w:p>
    <w:p w:rsidR="00FE77C9" w:rsidRPr="00FE77C9" w:rsidRDefault="00FE77C9" w:rsidP="00FE77C9">
      <w:pPr>
        <w:jc w:val="both"/>
        <w:rPr>
          <w:rFonts w:ascii="Verdana" w:hAnsi="Verdana"/>
          <w:bCs/>
          <w:sz w:val="20"/>
        </w:rPr>
      </w:pPr>
      <w:r w:rsidRPr="00FE77C9">
        <w:rPr>
          <w:rFonts w:ascii="Verdana" w:hAnsi="Verdana"/>
          <w:b/>
          <w:bCs/>
          <w:sz w:val="20"/>
        </w:rPr>
        <w:t>5.</w:t>
      </w:r>
      <w:r w:rsidRPr="00FE77C9">
        <w:rPr>
          <w:rFonts w:ascii="Verdana" w:hAnsi="Verdana"/>
          <w:bCs/>
          <w:sz w:val="20"/>
        </w:rPr>
        <w:t>     Cumplimiento con la normatividad listada en el apartado 30.7., fracciones I y III, para medición de líquidos, IV para medición de gases, y VI.</w:t>
      </w:r>
    </w:p>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Contar con los Elementos secundarios para calcular el volumen a condiciones de referencia.</w:t>
      </w:r>
    </w:p>
    <w:p w:rsidR="00FE77C9" w:rsidRPr="00FE77C9" w:rsidRDefault="00FE77C9" w:rsidP="00FE77C9">
      <w:pPr>
        <w:jc w:val="both"/>
        <w:rPr>
          <w:rFonts w:ascii="Verdana" w:hAnsi="Verdana"/>
          <w:bCs/>
          <w:sz w:val="20"/>
        </w:rPr>
      </w:pPr>
      <w:r w:rsidRPr="00FE77C9">
        <w:rPr>
          <w:rFonts w:ascii="Verdana" w:hAnsi="Verdana"/>
          <w:b/>
          <w:bCs/>
          <w:sz w:val="20"/>
        </w:rPr>
        <w:t>c)</w:t>
      </w:r>
      <w:r w:rsidRPr="00FE77C9">
        <w:rPr>
          <w:rFonts w:ascii="Verdana" w:hAnsi="Verdana"/>
          <w:bCs/>
          <w:sz w:val="20"/>
        </w:rPr>
        <w:t>   Contar con el Elemento terciario.</w:t>
      </w:r>
    </w:p>
    <w:p w:rsidR="00FE77C9" w:rsidRPr="00FE77C9" w:rsidRDefault="00FE77C9" w:rsidP="00FE77C9">
      <w:pPr>
        <w:jc w:val="both"/>
        <w:rPr>
          <w:rFonts w:ascii="Verdana" w:hAnsi="Verdana"/>
          <w:bCs/>
          <w:sz w:val="20"/>
        </w:rPr>
      </w:pPr>
      <w:r w:rsidRPr="00FE77C9">
        <w:rPr>
          <w:rFonts w:ascii="Verdana" w:hAnsi="Verdana"/>
          <w:b/>
          <w:bCs/>
          <w:sz w:val="20"/>
        </w:rPr>
        <w:t>IV.</w:t>
      </w:r>
      <w:r w:rsidRPr="00FE77C9">
        <w:rPr>
          <w:rFonts w:ascii="Verdana" w:hAnsi="Verdana"/>
          <w:bCs/>
          <w:sz w:val="20"/>
        </w:rPr>
        <w:t>   Requerimientos específicos tratándose de sistemas de Medición dinámica en estaciones de servicio:</w:t>
      </w:r>
    </w:p>
    <w:p w:rsidR="00FE77C9" w:rsidRPr="00FE77C9" w:rsidRDefault="00FE77C9" w:rsidP="00FE77C9">
      <w:pPr>
        <w:jc w:val="both"/>
        <w:rPr>
          <w:rFonts w:ascii="Verdana" w:hAnsi="Verdana"/>
          <w:bCs/>
          <w:sz w:val="20"/>
        </w:rPr>
      </w:pPr>
      <w:r w:rsidRPr="00FE77C9">
        <w:rPr>
          <w:rFonts w:ascii="Verdana" w:hAnsi="Verdana"/>
          <w:bCs/>
          <w:sz w:val="20"/>
        </w:rPr>
        <w:t>       Además de lo establecido en la fracción I anterior, los sistemas de medición dinámica en las estaciones de servicio deben estar integrados a los dispensadores de las estaciones de servicio y cumplir con lo siguiente:</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xml:space="preserve">   Tratándose de estaciones de servicio en las que se despachen gasolinas o diésel, los sistemas de medición dinámica deben ser de desplazamiento positivo y contar con la verificación por parte del Centro Nacional de Metrología o cualquier otra entidad </w:t>
      </w:r>
      <w:r w:rsidRPr="00FE77C9">
        <w:rPr>
          <w:rFonts w:ascii="Verdana" w:hAnsi="Verdana"/>
          <w:bCs/>
          <w:sz w:val="20"/>
        </w:rPr>
        <w:lastRenderedPageBreak/>
        <w:t>acreditada del sistema para medición y despacho de gasolina y otros combustibles líquidos sujetos a la NOM-005-SCFI-2017, Instrumentos de medición - Sistema para medición y despacho de gasolina y otros combustibles líquidos - Especificaciones, métodos de prueba y de verificación, publicada en el DOF el 10 de octubre de 2018 y a la NOM-185-SCFI-2017, Programas informáticos y sistemas electrónicos que controlan el funcionamiento de los sistemas para medición y despacho de gasolina y otros combustibles líquidos - Especificaciones, métodos de prueba y de verificación, publicada en el DOF el 6 de septiembre de 2018, o aquélla que la sustituya.</w:t>
      </w:r>
    </w:p>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Tratándose de estaciones de servicio en las que se despache gas licuado de petróleo, los sistemas de medición dinámica podrán ser del tipo turbina o Coriolis.</w:t>
      </w:r>
    </w:p>
    <w:p w:rsidR="00FE77C9" w:rsidRPr="00FE77C9" w:rsidRDefault="00FE77C9" w:rsidP="00FE77C9">
      <w:pPr>
        <w:jc w:val="both"/>
        <w:rPr>
          <w:rFonts w:ascii="Verdana" w:hAnsi="Verdana"/>
          <w:bCs/>
          <w:sz w:val="20"/>
        </w:rPr>
      </w:pPr>
      <w:r w:rsidRPr="00FE77C9">
        <w:rPr>
          <w:rFonts w:ascii="Verdana" w:hAnsi="Verdana"/>
          <w:b/>
          <w:bCs/>
          <w:sz w:val="20"/>
        </w:rPr>
        <w:t>c)</w:t>
      </w:r>
      <w:r w:rsidRPr="00FE77C9">
        <w:rPr>
          <w:rFonts w:ascii="Verdana" w:hAnsi="Verdana"/>
          <w:bCs/>
          <w:sz w:val="20"/>
        </w:rPr>
        <w:t>   La interfaz o módulo de comunicación para la transferencia de información con la UCC y el programa informático, debe tener las siguientes características:</w:t>
      </w:r>
    </w:p>
    <w:p w:rsidR="00FE77C9" w:rsidRPr="00FE77C9" w:rsidRDefault="00FE77C9" w:rsidP="00FE77C9">
      <w:pPr>
        <w:jc w:val="both"/>
        <w:rPr>
          <w:rFonts w:ascii="Verdana" w:hAnsi="Verdana"/>
          <w:bCs/>
          <w:sz w:val="20"/>
        </w:rPr>
      </w:pPr>
      <w:r w:rsidRPr="00FE77C9">
        <w:rPr>
          <w:rFonts w:ascii="Verdana" w:hAnsi="Verdana"/>
          <w:b/>
          <w:bCs/>
          <w:sz w:val="20"/>
        </w:rPr>
        <w:t>1.</w:t>
      </w:r>
      <w:r w:rsidRPr="00FE77C9">
        <w:rPr>
          <w:rFonts w:ascii="Verdana" w:hAnsi="Verdana"/>
          <w:bCs/>
          <w:sz w:val="20"/>
        </w:rPr>
        <w:t>     Protocolo de comunicación serial y/o red de cableado estructurado para enlazar los dispensarios con la UCC y el programa informático.</w:t>
      </w:r>
    </w:p>
    <w:p w:rsidR="00FE77C9" w:rsidRPr="00FE77C9" w:rsidRDefault="00FE77C9" w:rsidP="00FE77C9">
      <w:pPr>
        <w:jc w:val="both"/>
        <w:rPr>
          <w:rFonts w:ascii="Verdana" w:hAnsi="Verdana"/>
          <w:bCs/>
          <w:sz w:val="20"/>
        </w:rPr>
      </w:pPr>
      <w:r w:rsidRPr="00FE77C9">
        <w:rPr>
          <w:rFonts w:ascii="Verdana" w:hAnsi="Verdana"/>
          <w:b/>
          <w:bCs/>
          <w:sz w:val="20"/>
        </w:rPr>
        <w:t>2.</w:t>
      </w:r>
      <w:r w:rsidRPr="00FE77C9">
        <w:rPr>
          <w:rFonts w:ascii="Verdana" w:hAnsi="Verdana"/>
          <w:bCs/>
          <w:sz w:val="20"/>
        </w:rPr>
        <w:t>     Escalable, para interconectar todos los dispensarios requeridos.</w:t>
      </w:r>
    </w:p>
    <w:p w:rsidR="00FE77C9" w:rsidRPr="00FE77C9" w:rsidRDefault="00FE77C9" w:rsidP="00FE77C9">
      <w:pPr>
        <w:jc w:val="both"/>
        <w:rPr>
          <w:rFonts w:ascii="Verdana" w:hAnsi="Verdana"/>
          <w:bCs/>
          <w:sz w:val="20"/>
        </w:rPr>
      </w:pPr>
      <w:r w:rsidRPr="00FE77C9">
        <w:rPr>
          <w:rFonts w:ascii="Verdana" w:hAnsi="Verdana"/>
          <w:b/>
          <w:bCs/>
          <w:sz w:val="20"/>
        </w:rPr>
        <w:t>3.</w:t>
      </w:r>
      <w:r w:rsidRPr="00FE77C9">
        <w:rPr>
          <w:rFonts w:ascii="Verdana" w:hAnsi="Verdana"/>
          <w:bCs/>
          <w:sz w:val="20"/>
        </w:rPr>
        <w:t>     Procesamiento paralelo en todos los canales a los dispensarios.</w:t>
      </w:r>
    </w:p>
    <w:p w:rsidR="00FE77C9" w:rsidRPr="00FE77C9" w:rsidRDefault="00FE77C9" w:rsidP="00FE77C9">
      <w:pPr>
        <w:jc w:val="both"/>
        <w:rPr>
          <w:rFonts w:ascii="Verdana" w:hAnsi="Verdana"/>
          <w:bCs/>
          <w:sz w:val="20"/>
        </w:rPr>
      </w:pPr>
      <w:r w:rsidRPr="00FE77C9">
        <w:rPr>
          <w:rFonts w:ascii="Verdana" w:hAnsi="Verdana"/>
          <w:bCs/>
          <w:sz w:val="20"/>
        </w:rPr>
        <w:t> </w:t>
      </w:r>
    </w:p>
    <w:p w:rsidR="00FE77C9" w:rsidRPr="00FE77C9" w:rsidRDefault="00FE77C9" w:rsidP="00FE77C9">
      <w:pPr>
        <w:jc w:val="both"/>
        <w:rPr>
          <w:rFonts w:ascii="Verdana" w:hAnsi="Verdana"/>
          <w:bCs/>
          <w:sz w:val="20"/>
        </w:rPr>
      </w:pPr>
      <w:r w:rsidRPr="00FE77C9">
        <w:rPr>
          <w:rFonts w:ascii="Verdana" w:hAnsi="Verdana"/>
          <w:b/>
          <w:bCs/>
          <w:sz w:val="20"/>
        </w:rPr>
        <w:t>4.</w:t>
      </w:r>
      <w:r w:rsidRPr="00FE77C9">
        <w:rPr>
          <w:rFonts w:ascii="Verdana" w:hAnsi="Verdana"/>
          <w:bCs/>
          <w:sz w:val="20"/>
        </w:rPr>
        <w:t>     Estable y tolerante a fallas o interferencias por defectos en dispensarios, cables de comunicación o red eléctrica.</w:t>
      </w:r>
    </w:p>
    <w:p w:rsidR="00FE77C9" w:rsidRPr="00FE77C9" w:rsidRDefault="00FE77C9" w:rsidP="00FE77C9">
      <w:pPr>
        <w:jc w:val="both"/>
        <w:rPr>
          <w:rFonts w:ascii="Verdana" w:hAnsi="Verdana"/>
          <w:bCs/>
          <w:sz w:val="20"/>
        </w:rPr>
      </w:pPr>
      <w:r w:rsidRPr="00FE77C9">
        <w:rPr>
          <w:rFonts w:ascii="Verdana" w:hAnsi="Verdana"/>
          <w:b/>
          <w:bCs/>
          <w:sz w:val="20"/>
        </w:rPr>
        <w:t>5.</w:t>
      </w:r>
      <w:r w:rsidRPr="00FE77C9">
        <w:rPr>
          <w:rFonts w:ascii="Verdana" w:hAnsi="Verdana"/>
          <w:bCs/>
          <w:sz w:val="20"/>
        </w:rPr>
        <w:t>     Proteger la información de la venta de combustible ante posibles fallas en el sistema eléctrico o fallas en el dispensario.</w:t>
      </w:r>
    </w:p>
    <w:p w:rsidR="00FE77C9" w:rsidRPr="00FE77C9" w:rsidRDefault="00FE77C9" w:rsidP="00FE77C9">
      <w:pPr>
        <w:jc w:val="both"/>
        <w:rPr>
          <w:rFonts w:ascii="Verdana" w:hAnsi="Verdana"/>
          <w:bCs/>
          <w:sz w:val="20"/>
        </w:rPr>
      </w:pPr>
      <w:r w:rsidRPr="00FE77C9">
        <w:rPr>
          <w:rFonts w:ascii="Verdana" w:hAnsi="Verdana"/>
          <w:b/>
          <w:bCs/>
          <w:sz w:val="20"/>
        </w:rPr>
        <w:t>6.</w:t>
      </w:r>
      <w:r w:rsidRPr="00FE77C9">
        <w:rPr>
          <w:rFonts w:ascii="Verdana" w:hAnsi="Verdana"/>
          <w:bCs/>
          <w:sz w:val="20"/>
        </w:rPr>
        <w:t>     Canales de comunicación aislados y blindados entre sí, garantizando la transferencia de información y una operación confiable, aún para transacciones simultáneas.</w:t>
      </w:r>
    </w:p>
    <w:p w:rsidR="00FE77C9" w:rsidRPr="00FE77C9" w:rsidRDefault="00FE77C9" w:rsidP="00FE77C9">
      <w:pPr>
        <w:jc w:val="both"/>
        <w:rPr>
          <w:rFonts w:ascii="Verdana" w:hAnsi="Verdana"/>
          <w:bCs/>
          <w:sz w:val="20"/>
        </w:rPr>
      </w:pPr>
      <w:r w:rsidRPr="00FE77C9">
        <w:rPr>
          <w:rFonts w:ascii="Verdana" w:hAnsi="Verdana"/>
          <w:b/>
          <w:bCs/>
          <w:sz w:val="20"/>
        </w:rPr>
        <w:t>7.</w:t>
      </w:r>
      <w:r w:rsidRPr="00FE77C9">
        <w:rPr>
          <w:rFonts w:ascii="Verdana" w:hAnsi="Verdana"/>
          <w:bCs/>
          <w:sz w:val="20"/>
        </w:rPr>
        <w:t>     Permitir al programa informático obtener la información del volumen entregado por cada dispensario en general y por cada manguera en particular.</w:t>
      </w:r>
    </w:p>
    <w:p w:rsidR="00FE77C9" w:rsidRPr="00FE77C9" w:rsidRDefault="00FE77C9" w:rsidP="00FE77C9">
      <w:pPr>
        <w:jc w:val="both"/>
        <w:rPr>
          <w:rFonts w:ascii="Verdana" w:hAnsi="Verdana"/>
          <w:bCs/>
          <w:sz w:val="20"/>
        </w:rPr>
      </w:pPr>
      <w:r w:rsidRPr="00FE77C9">
        <w:rPr>
          <w:rFonts w:ascii="Verdana" w:hAnsi="Verdana"/>
          <w:b/>
          <w:bCs/>
          <w:sz w:val="20"/>
        </w:rPr>
        <w:t>8.</w:t>
      </w:r>
      <w:r w:rsidRPr="00FE77C9">
        <w:rPr>
          <w:rFonts w:ascii="Verdana" w:hAnsi="Verdana"/>
          <w:bCs/>
          <w:sz w:val="20"/>
        </w:rPr>
        <w:t>     No debe existir ningún elemento mecánico o electrónico adicional que permita alterar la información del totalizador general que cuantifica todas las salidas de combustible por dispensario.</w:t>
      </w:r>
    </w:p>
    <w:p w:rsidR="00FE77C9" w:rsidRPr="00FE77C9" w:rsidRDefault="00FE77C9" w:rsidP="00FE77C9">
      <w:pPr>
        <w:jc w:val="both"/>
        <w:rPr>
          <w:rFonts w:ascii="Verdana" w:hAnsi="Verdana"/>
          <w:bCs/>
          <w:sz w:val="20"/>
        </w:rPr>
      </w:pPr>
      <w:r w:rsidRPr="00FE77C9">
        <w:rPr>
          <w:rFonts w:ascii="Verdana" w:hAnsi="Verdana"/>
          <w:b/>
          <w:bCs/>
          <w:sz w:val="20"/>
        </w:rPr>
        <w:t>30.6.</w:t>
      </w:r>
      <w:r w:rsidRPr="00FE77C9">
        <w:rPr>
          <w:rFonts w:ascii="Verdana" w:hAnsi="Verdana"/>
          <w:bCs/>
          <w:sz w:val="20"/>
        </w:rPr>
        <w:t>      </w:t>
      </w:r>
      <w:r w:rsidRPr="00FE77C9">
        <w:rPr>
          <w:rFonts w:ascii="Verdana" w:hAnsi="Verdana"/>
          <w:b/>
          <w:bCs/>
          <w:sz w:val="20"/>
        </w:rPr>
        <w:t>Programas informáticos para llevar controles volumétricos.</w:t>
      </w:r>
    </w:p>
    <w:p w:rsidR="00FE77C9" w:rsidRPr="00FE77C9" w:rsidRDefault="00FE77C9" w:rsidP="00FE77C9">
      <w:pPr>
        <w:jc w:val="both"/>
        <w:rPr>
          <w:rFonts w:ascii="Verdana" w:hAnsi="Verdana"/>
          <w:bCs/>
          <w:sz w:val="20"/>
        </w:rPr>
      </w:pPr>
      <w:r w:rsidRPr="00FE77C9">
        <w:rPr>
          <w:rFonts w:ascii="Verdana" w:hAnsi="Verdana"/>
          <w:bCs/>
          <w:sz w:val="20"/>
        </w:rPr>
        <w:t xml:space="preserve">Los contribuyentes referidos en la regla 2.6.1.2. </w:t>
      </w:r>
      <w:proofErr w:type="gramStart"/>
      <w:r w:rsidRPr="00FE77C9">
        <w:rPr>
          <w:rFonts w:ascii="Verdana" w:hAnsi="Verdana"/>
          <w:bCs/>
          <w:sz w:val="20"/>
        </w:rPr>
        <w:t>deben</w:t>
      </w:r>
      <w:proofErr w:type="gramEnd"/>
      <w:r w:rsidRPr="00FE77C9">
        <w:rPr>
          <w:rFonts w:ascii="Verdana" w:hAnsi="Verdana"/>
          <w:bCs/>
          <w:sz w:val="20"/>
        </w:rPr>
        <w:t xml:space="preserve"> contar con programas informáticos para llevar controles volumétricos que recopilen y procesen la información de:</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xml:space="preserve">     Los registros de volumen de los sistemas de medición a que se refiere el aparado 30.5. </w:t>
      </w:r>
      <w:proofErr w:type="gramStart"/>
      <w:r w:rsidRPr="00FE77C9">
        <w:rPr>
          <w:rFonts w:ascii="Verdana" w:hAnsi="Verdana"/>
          <w:bCs/>
          <w:sz w:val="20"/>
        </w:rPr>
        <w:t>del</w:t>
      </w:r>
      <w:proofErr w:type="gramEnd"/>
      <w:r w:rsidRPr="00FE77C9">
        <w:rPr>
          <w:rFonts w:ascii="Verdana" w:hAnsi="Verdana"/>
          <w:bCs/>
          <w:sz w:val="20"/>
        </w:rPr>
        <w:t xml:space="preserve"> presente Anexo;</w:t>
      </w:r>
    </w:p>
    <w:p w:rsidR="00FE77C9" w:rsidRPr="00FE77C9" w:rsidRDefault="00FE77C9" w:rsidP="00FE77C9">
      <w:pPr>
        <w:jc w:val="both"/>
        <w:rPr>
          <w:rFonts w:ascii="Verdana" w:hAnsi="Verdana"/>
          <w:bCs/>
          <w:sz w:val="20"/>
        </w:rPr>
      </w:pPr>
      <w:r w:rsidRPr="00FE77C9">
        <w:rPr>
          <w:rFonts w:ascii="Verdana" w:hAnsi="Verdana"/>
          <w:b/>
          <w:bCs/>
          <w:sz w:val="20"/>
        </w:rPr>
        <w:lastRenderedPageBreak/>
        <w:t>II.</w:t>
      </w:r>
      <w:r w:rsidRPr="00FE77C9">
        <w:rPr>
          <w:rFonts w:ascii="Verdana" w:hAnsi="Verdana"/>
          <w:bCs/>
          <w:sz w:val="20"/>
        </w:rPr>
        <w:t>     La información contenida en los dictámenes que determinen el tipo de Hidrocarburo o Petrolífero a que se refiere el Anexo 32;</w:t>
      </w:r>
    </w:p>
    <w:p w:rsidR="00FE77C9" w:rsidRPr="00FE77C9" w:rsidRDefault="00FE77C9" w:rsidP="00FE77C9">
      <w:pPr>
        <w:jc w:val="both"/>
        <w:rPr>
          <w:rFonts w:ascii="Verdana" w:hAnsi="Verdana"/>
          <w:bCs/>
          <w:sz w:val="20"/>
        </w:rPr>
      </w:pPr>
      <w:r w:rsidRPr="00FE77C9">
        <w:rPr>
          <w:rFonts w:ascii="Verdana" w:hAnsi="Verdana"/>
          <w:b/>
          <w:bCs/>
          <w:sz w:val="20"/>
        </w:rPr>
        <w:t>III.</w:t>
      </w:r>
      <w:r w:rsidRPr="00FE77C9">
        <w:rPr>
          <w:rFonts w:ascii="Verdana" w:hAnsi="Verdana"/>
          <w:bCs/>
          <w:sz w:val="20"/>
        </w:rPr>
        <w:t xml:space="preserve">    Los datos de los CFDI asociados a la adquisición y enajenación de dichos bienes o, en su caso, a los servicios que tuvieron por objeto tales bienes, a que se refiere el apartado 30.6.1.2.4. </w:t>
      </w:r>
      <w:proofErr w:type="gramStart"/>
      <w:r w:rsidRPr="00FE77C9">
        <w:rPr>
          <w:rFonts w:ascii="Verdana" w:hAnsi="Verdana"/>
          <w:bCs/>
          <w:sz w:val="20"/>
        </w:rPr>
        <w:t>de</w:t>
      </w:r>
      <w:proofErr w:type="gramEnd"/>
      <w:r w:rsidRPr="00FE77C9">
        <w:rPr>
          <w:rFonts w:ascii="Verdana" w:hAnsi="Verdana"/>
          <w:bCs/>
          <w:sz w:val="20"/>
        </w:rPr>
        <w:t xml:space="preserve"> este Anexo.</w:t>
      </w:r>
    </w:p>
    <w:p w:rsidR="00FE77C9" w:rsidRPr="00FE77C9" w:rsidRDefault="00FE77C9" w:rsidP="00FE77C9">
      <w:pPr>
        <w:jc w:val="both"/>
        <w:rPr>
          <w:rFonts w:ascii="Verdana" w:hAnsi="Verdana"/>
          <w:bCs/>
          <w:sz w:val="20"/>
        </w:rPr>
      </w:pPr>
      <w:r w:rsidRPr="00FE77C9">
        <w:rPr>
          <w:rFonts w:ascii="Verdana" w:hAnsi="Verdana"/>
          <w:bCs/>
          <w:sz w:val="20"/>
        </w:rPr>
        <w:t>Adicionalmente, dichos programas informáticos deben generar los reportes de información de forma diaria y mensual indicados en este apartado.</w:t>
      </w:r>
    </w:p>
    <w:p w:rsidR="00FE77C9" w:rsidRPr="00FE77C9" w:rsidRDefault="00FE77C9" w:rsidP="00FE77C9">
      <w:pPr>
        <w:jc w:val="both"/>
        <w:rPr>
          <w:rFonts w:ascii="Verdana" w:hAnsi="Verdana"/>
          <w:bCs/>
          <w:sz w:val="20"/>
        </w:rPr>
      </w:pPr>
      <w:r w:rsidRPr="00FE77C9">
        <w:rPr>
          <w:rFonts w:ascii="Verdana" w:hAnsi="Verdana"/>
          <w:b/>
          <w:bCs/>
          <w:sz w:val="20"/>
        </w:rPr>
        <w:t>30.6.1.</w:t>
      </w:r>
      <w:r w:rsidRPr="00FE77C9">
        <w:rPr>
          <w:rFonts w:ascii="Verdana" w:hAnsi="Verdana"/>
          <w:bCs/>
          <w:sz w:val="20"/>
        </w:rPr>
        <w:t>    </w:t>
      </w:r>
      <w:r w:rsidRPr="00FE77C9">
        <w:rPr>
          <w:rFonts w:ascii="Verdana" w:hAnsi="Verdana"/>
          <w:b/>
          <w:bCs/>
          <w:sz w:val="20"/>
        </w:rPr>
        <w:t>Requerimientos de funcionalidad de los programas informáticos.</w:t>
      </w:r>
    </w:p>
    <w:p w:rsidR="00FE77C9" w:rsidRPr="00FE77C9" w:rsidRDefault="00FE77C9" w:rsidP="00FE77C9">
      <w:pPr>
        <w:jc w:val="both"/>
        <w:rPr>
          <w:rFonts w:ascii="Verdana" w:hAnsi="Verdana"/>
          <w:bCs/>
          <w:sz w:val="20"/>
        </w:rPr>
      </w:pPr>
      <w:r w:rsidRPr="00FE77C9">
        <w:rPr>
          <w:rFonts w:ascii="Verdana" w:hAnsi="Verdana"/>
          <w:bCs/>
          <w:sz w:val="20"/>
        </w:rPr>
        <w:t>Los programas informáticos para llevar controles volumétricos deben cumplir con las siguientes especificaciones de funcionalidad:</w:t>
      </w:r>
    </w:p>
    <w:p w:rsidR="00FE77C9" w:rsidRPr="00FE77C9" w:rsidRDefault="00FE77C9" w:rsidP="00FE77C9">
      <w:pPr>
        <w:jc w:val="both"/>
        <w:rPr>
          <w:rFonts w:ascii="Verdana" w:hAnsi="Verdana"/>
          <w:bCs/>
          <w:sz w:val="20"/>
        </w:rPr>
      </w:pPr>
      <w:r w:rsidRPr="00FE77C9">
        <w:rPr>
          <w:rFonts w:ascii="Verdana" w:hAnsi="Verdana"/>
          <w:b/>
          <w:bCs/>
          <w:sz w:val="20"/>
        </w:rPr>
        <w:t>30.6.1.1.</w:t>
      </w:r>
      <w:r w:rsidRPr="00FE77C9">
        <w:rPr>
          <w:rFonts w:ascii="Verdana" w:hAnsi="Verdana"/>
          <w:bCs/>
          <w:sz w:val="20"/>
        </w:rPr>
        <w:t> </w:t>
      </w:r>
      <w:r w:rsidRPr="00FE77C9">
        <w:rPr>
          <w:rFonts w:ascii="Verdana" w:hAnsi="Verdana"/>
          <w:b/>
          <w:bCs/>
          <w:sz w:val="20"/>
        </w:rPr>
        <w:t>Requerimientos generales.</w:t>
      </w:r>
    </w:p>
    <w:p w:rsidR="00FE77C9" w:rsidRPr="00FE77C9" w:rsidRDefault="00FE77C9" w:rsidP="00FE77C9">
      <w:pPr>
        <w:jc w:val="both"/>
        <w:rPr>
          <w:rFonts w:ascii="Verdana" w:hAnsi="Verdana"/>
          <w:bCs/>
          <w:sz w:val="20"/>
        </w:rPr>
      </w:pPr>
      <w:r w:rsidRPr="00FE77C9">
        <w:rPr>
          <w:rFonts w:ascii="Verdana" w:hAnsi="Verdana"/>
          <w:bCs/>
          <w:sz w:val="20"/>
        </w:rPr>
        <w:t>Los requerimientos generales que deben cumplir los programas informáticos son los siguientes:</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Los programas informáticos y cualquier información que se recopile o procese a través de éstos y esté relacionada con los controles volumétricos, deben encontrarse respaldados en medios magnéticos, ópticos, de estado sólido o de cualquier otra tecnología segura en una UCC.</w:t>
      </w:r>
    </w:p>
    <w:p w:rsidR="00FE77C9" w:rsidRPr="00FE77C9" w:rsidRDefault="00FE77C9" w:rsidP="00FE77C9">
      <w:pPr>
        <w:jc w:val="both"/>
        <w:rPr>
          <w:rFonts w:ascii="Verdana" w:hAnsi="Verdana"/>
          <w:bCs/>
          <w:sz w:val="20"/>
        </w:rPr>
      </w:pPr>
      <w:r w:rsidRPr="00FE77C9">
        <w:rPr>
          <w:rFonts w:ascii="Verdana" w:hAnsi="Verdana"/>
          <w:b/>
          <w:bCs/>
          <w:sz w:val="20"/>
        </w:rPr>
        <w:t>II.</w:t>
      </w:r>
      <w:r w:rsidRPr="00FE77C9">
        <w:rPr>
          <w:rFonts w:ascii="Verdana" w:hAnsi="Verdana"/>
          <w:bCs/>
          <w:sz w:val="20"/>
        </w:rPr>
        <w:t>     El programa informático debe proporcionar un entorno visual sencillo para permitir su operación.</w:t>
      </w:r>
    </w:p>
    <w:p w:rsidR="00FE77C9" w:rsidRPr="00FE77C9" w:rsidRDefault="00FE77C9" w:rsidP="00FE77C9">
      <w:pPr>
        <w:jc w:val="both"/>
        <w:rPr>
          <w:rFonts w:ascii="Verdana" w:hAnsi="Verdana"/>
          <w:bCs/>
          <w:sz w:val="20"/>
        </w:rPr>
      </w:pPr>
      <w:r w:rsidRPr="00FE77C9">
        <w:rPr>
          <w:rFonts w:ascii="Verdana" w:hAnsi="Verdana"/>
          <w:b/>
          <w:bCs/>
          <w:sz w:val="20"/>
        </w:rPr>
        <w:t>III.</w:t>
      </w:r>
      <w:r w:rsidRPr="00FE77C9">
        <w:rPr>
          <w:rFonts w:ascii="Verdana" w:hAnsi="Verdana"/>
          <w:bCs/>
          <w:sz w:val="20"/>
        </w:rPr>
        <w:t>    El inicio de sesión debe tener implementado un control de acceso, que solicite usuario y contraseña, con el propósito de impedir el acceso a personas no autorizadas.</w:t>
      </w:r>
    </w:p>
    <w:p w:rsidR="00FE77C9" w:rsidRPr="00FE77C9" w:rsidRDefault="00FE77C9" w:rsidP="00FE77C9">
      <w:pPr>
        <w:jc w:val="both"/>
        <w:rPr>
          <w:rFonts w:ascii="Verdana" w:hAnsi="Verdana"/>
          <w:bCs/>
          <w:sz w:val="20"/>
        </w:rPr>
      </w:pPr>
      <w:r w:rsidRPr="00FE77C9">
        <w:rPr>
          <w:rFonts w:ascii="Verdana" w:hAnsi="Verdana"/>
          <w:b/>
          <w:bCs/>
          <w:sz w:val="20"/>
        </w:rPr>
        <w:t>IV.</w:t>
      </w:r>
      <w:r w:rsidRPr="00FE77C9">
        <w:rPr>
          <w:rFonts w:ascii="Verdana" w:hAnsi="Verdana"/>
          <w:bCs/>
          <w:sz w:val="20"/>
        </w:rPr>
        <w:t>   Debe permitir el registro de las personas autorizadas para acceder al programa, así como establecer el perfil asignado y, con ello, los privilegios de que dispone:</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Los perfiles que podrán registrarse son: Administrador, Supervisor, Operador y Auditor Fiscal, con los siguientes atributos:</w:t>
      </w:r>
    </w:p>
    <w:p w:rsidR="00FE77C9" w:rsidRPr="00FE77C9" w:rsidRDefault="00FE77C9" w:rsidP="00FE77C9">
      <w:pPr>
        <w:jc w:val="both"/>
        <w:rPr>
          <w:rFonts w:ascii="Verdana" w:hAnsi="Verdana"/>
          <w:bCs/>
          <w:sz w:val="20"/>
        </w:rPr>
      </w:pPr>
      <w:r w:rsidRPr="00FE77C9">
        <w:rPr>
          <w:rFonts w:ascii="Verdana" w:hAnsi="Verdana"/>
          <w:b/>
          <w:bCs/>
          <w:sz w:val="20"/>
        </w:rPr>
        <w:t>1.</w:t>
      </w:r>
      <w:r w:rsidRPr="00FE77C9">
        <w:rPr>
          <w:rFonts w:ascii="Verdana" w:hAnsi="Verdana"/>
          <w:bCs/>
          <w:sz w:val="20"/>
        </w:rPr>
        <w:t>     Perfil de Administrador, debe tener atributos para: registro de usuarios, configuración del control volumétrico, definir desplegados gráficos de operación, visualizar información almacenada, registro de acciones o eventos en la bitácora de eventos y consulta e impresión de informes de la base de datos.</w:t>
      </w:r>
    </w:p>
    <w:p w:rsidR="00FE77C9" w:rsidRPr="00FE77C9" w:rsidRDefault="00FE77C9" w:rsidP="00FE77C9">
      <w:pPr>
        <w:jc w:val="both"/>
        <w:rPr>
          <w:rFonts w:ascii="Verdana" w:hAnsi="Verdana"/>
          <w:bCs/>
          <w:sz w:val="20"/>
        </w:rPr>
      </w:pPr>
      <w:r w:rsidRPr="00FE77C9">
        <w:rPr>
          <w:rFonts w:ascii="Verdana" w:hAnsi="Verdana"/>
          <w:b/>
          <w:bCs/>
          <w:sz w:val="20"/>
        </w:rPr>
        <w:t>2.</w:t>
      </w:r>
      <w:r w:rsidRPr="00FE77C9">
        <w:rPr>
          <w:rFonts w:ascii="Verdana" w:hAnsi="Verdana"/>
          <w:bCs/>
          <w:sz w:val="20"/>
        </w:rPr>
        <w:t>     Perfil de Supervisor, debe tener atributos para: configuración del control volumétrico, definir desplegados gráficos de operación, visualizar información almacenada, registro de acciones o eventos en la bitácora de eventos y consulta e impresión de informes de la base de datos.</w:t>
      </w:r>
    </w:p>
    <w:p w:rsidR="00FE77C9" w:rsidRPr="00FE77C9" w:rsidRDefault="00FE77C9" w:rsidP="00FE77C9">
      <w:pPr>
        <w:jc w:val="both"/>
        <w:rPr>
          <w:rFonts w:ascii="Verdana" w:hAnsi="Verdana"/>
          <w:bCs/>
          <w:sz w:val="20"/>
        </w:rPr>
      </w:pPr>
      <w:r w:rsidRPr="00FE77C9">
        <w:rPr>
          <w:rFonts w:ascii="Verdana" w:hAnsi="Verdana"/>
          <w:b/>
          <w:bCs/>
          <w:sz w:val="20"/>
        </w:rPr>
        <w:t>3.</w:t>
      </w:r>
      <w:r w:rsidRPr="00FE77C9">
        <w:rPr>
          <w:rFonts w:ascii="Verdana" w:hAnsi="Verdana"/>
          <w:bCs/>
          <w:sz w:val="20"/>
        </w:rPr>
        <w:t>     Perfil de Operador, debe tener atributos para: visualizar desplegados gráficos de operación, visualizar información almacenada y registro de acciones o eventos en la bitácora de eventos.</w:t>
      </w:r>
    </w:p>
    <w:p w:rsidR="00FE77C9" w:rsidRPr="00FE77C9" w:rsidRDefault="00FE77C9" w:rsidP="00FE77C9">
      <w:pPr>
        <w:jc w:val="both"/>
        <w:rPr>
          <w:rFonts w:ascii="Verdana" w:hAnsi="Verdana"/>
          <w:bCs/>
          <w:sz w:val="20"/>
        </w:rPr>
      </w:pPr>
      <w:r w:rsidRPr="00FE77C9">
        <w:rPr>
          <w:rFonts w:ascii="Verdana" w:hAnsi="Verdana"/>
          <w:b/>
          <w:bCs/>
          <w:sz w:val="20"/>
        </w:rPr>
        <w:lastRenderedPageBreak/>
        <w:t>4.</w:t>
      </w:r>
      <w:r w:rsidRPr="00FE77C9">
        <w:rPr>
          <w:rFonts w:ascii="Verdana" w:hAnsi="Verdana"/>
          <w:bCs/>
          <w:sz w:val="20"/>
        </w:rPr>
        <w:t>     Perfil de Auditor Fiscal, debe tener atributos para: visualizar desplegados gráficos de operación, visualizar información almacenada y consulta e impresión de informes de la base de datos.</w:t>
      </w:r>
    </w:p>
    <w:p w:rsidR="00FE77C9" w:rsidRPr="00FE77C9" w:rsidRDefault="00FE77C9" w:rsidP="00FE77C9">
      <w:pPr>
        <w:jc w:val="both"/>
        <w:rPr>
          <w:rFonts w:ascii="Verdana" w:hAnsi="Verdana"/>
          <w:bCs/>
          <w:sz w:val="20"/>
        </w:rPr>
      </w:pPr>
      <w:r w:rsidRPr="00FE77C9">
        <w:rPr>
          <w:rFonts w:ascii="Verdana" w:hAnsi="Verdana"/>
          <w:bCs/>
          <w:sz w:val="20"/>
        </w:rPr>
        <w:t> </w:t>
      </w:r>
    </w:p>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El Administrador es el único que podrá registrar usuarios y actualizar su información.</w:t>
      </w:r>
    </w:p>
    <w:p w:rsidR="00FE77C9" w:rsidRPr="00FE77C9" w:rsidRDefault="00FE77C9" w:rsidP="00FE77C9">
      <w:pPr>
        <w:jc w:val="both"/>
        <w:rPr>
          <w:rFonts w:ascii="Verdana" w:hAnsi="Verdana"/>
          <w:bCs/>
          <w:sz w:val="20"/>
        </w:rPr>
      </w:pPr>
      <w:r w:rsidRPr="00FE77C9">
        <w:rPr>
          <w:rFonts w:ascii="Verdana" w:hAnsi="Verdana"/>
          <w:b/>
          <w:bCs/>
          <w:sz w:val="20"/>
        </w:rPr>
        <w:t>c)</w:t>
      </w:r>
      <w:r w:rsidRPr="00FE77C9">
        <w:rPr>
          <w:rFonts w:ascii="Verdana" w:hAnsi="Verdana"/>
          <w:bCs/>
          <w:sz w:val="20"/>
        </w:rPr>
        <w:t>   En el registro de cada usuario, el Administrador deberá registrar el nombre de usuario y una contraseña temporal, así como el perfil que se le asigne.</w:t>
      </w:r>
    </w:p>
    <w:p w:rsidR="00FE77C9" w:rsidRPr="00FE77C9" w:rsidRDefault="00FE77C9" w:rsidP="00FE77C9">
      <w:pPr>
        <w:jc w:val="both"/>
        <w:rPr>
          <w:rFonts w:ascii="Verdana" w:hAnsi="Verdana"/>
          <w:bCs/>
          <w:sz w:val="20"/>
        </w:rPr>
      </w:pPr>
      <w:r w:rsidRPr="00FE77C9">
        <w:rPr>
          <w:rFonts w:ascii="Verdana" w:hAnsi="Verdana"/>
          <w:b/>
          <w:bCs/>
          <w:sz w:val="20"/>
        </w:rPr>
        <w:t>d)</w:t>
      </w:r>
      <w:r w:rsidRPr="00FE77C9">
        <w:rPr>
          <w:rFonts w:ascii="Verdana" w:hAnsi="Verdana"/>
          <w:bCs/>
          <w:sz w:val="20"/>
        </w:rPr>
        <w:t>   Cuando un usuario acceda por primera vez a un inicio de sesión, el programa informático le deberá solicitar el registro de una nueva contraseña.</w:t>
      </w:r>
    </w:p>
    <w:p w:rsidR="00FE77C9" w:rsidRPr="00FE77C9" w:rsidRDefault="00FE77C9" w:rsidP="00FE77C9">
      <w:pPr>
        <w:jc w:val="both"/>
        <w:rPr>
          <w:rFonts w:ascii="Verdana" w:hAnsi="Verdana"/>
          <w:bCs/>
          <w:sz w:val="20"/>
        </w:rPr>
      </w:pPr>
      <w:r w:rsidRPr="00FE77C9">
        <w:rPr>
          <w:rFonts w:ascii="Verdana" w:hAnsi="Verdana"/>
          <w:b/>
          <w:bCs/>
          <w:sz w:val="20"/>
        </w:rPr>
        <w:t>e)</w:t>
      </w:r>
      <w:r w:rsidRPr="00FE77C9">
        <w:rPr>
          <w:rFonts w:ascii="Verdana" w:hAnsi="Verdana"/>
          <w:bCs/>
          <w:sz w:val="20"/>
        </w:rPr>
        <w:t>   Dependiendo del perfil del usuario que inicie la sesión, se deberá presentar la pantalla de usuario correspondiente.</w:t>
      </w:r>
    </w:p>
    <w:p w:rsidR="00FE77C9" w:rsidRPr="00FE77C9" w:rsidRDefault="00FE77C9" w:rsidP="00FE77C9">
      <w:pPr>
        <w:jc w:val="both"/>
        <w:rPr>
          <w:rFonts w:ascii="Verdana" w:hAnsi="Verdana"/>
          <w:bCs/>
          <w:sz w:val="20"/>
        </w:rPr>
      </w:pPr>
      <w:r w:rsidRPr="00FE77C9">
        <w:rPr>
          <w:rFonts w:ascii="Verdana" w:hAnsi="Verdana"/>
          <w:b/>
          <w:bCs/>
          <w:sz w:val="20"/>
        </w:rPr>
        <w:t>f)</w:t>
      </w:r>
      <w:r w:rsidRPr="00FE77C9">
        <w:rPr>
          <w:rFonts w:ascii="Verdana" w:hAnsi="Verdana"/>
          <w:bCs/>
          <w:sz w:val="20"/>
        </w:rPr>
        <w:t>    Cada pantalla de usuario debe permitir únicamente el acceso a las funciones que tiene permiso el perfil.</w:t>
      </w:r>
    </w:p>
    <w:p w:rsidR="00FE77C9" w:rsidRPr="00FE77C9" w:rsidRDefault="00FE77C9" w:rsidP="00FE77C9">
      <w:pPr>
        <w:jc w:val="both"/>
        <w:rPr>
          <w:rFonts w:ascii="Verdana" w:hAnsi="Verdana"/>
          <w:bCs/>
          <w:sz w:val="20"/>
        </w:rPr>
      </w:pPr>
      <w:r w:rsidRPr="00FE77C9">
        <w:rPr>
          <w:rFonts w:ascii="Verdana" w:hAnsi="Verdana"/>
          <w:b/>
          <w:bCs/>
          <w:sz w:val="20"/>
        </w:rPr>
        <w:t>g)</w:t>
      </w:r>
      <w:r w:rsidRPr="00FE77C9">
        <w:rPr>
          <w:rFonts w:ascii="Verdana" w:hAnsi="Verdana"/>
          <w:bCs/>
          <w:sz w:val="20"/>
        </w:rPr>
        <w:t>   Todas las acciones realizadas por los usuarios deben registrarse de forma automática en la bitácora de eventos.</w:t>
      </w:r>
    </w:p>
    <w:p w:rsidR="00FE77C9" w:rsidRPr="00FE77C9" w:rsidRDefault="00FE77C9" w:rsidP="00FE77C9">
      <w:pPr>
        <w:jc w:val="both"/>
        <w:rPr>
          <w:rFonts w:ascii="Verdana" w:hAnsi="Verdana"/>
          <w:bCs/>
          <w:sz w:val="20"/>
        </w:rPr>
      </w:pPr>
      <w:r w:rsidRPr="00FE77C9">
        <w:rPr>
          <w:rFonts w:ascii="Verdana" w:hAnsi="Verdana"/>
          <w:b/>
          <w:bCs/>
          <w:sz w:val="20"/>
        </w:rPr>
        <w:t>V.</w:t>
      </w:r>
      <w:r w:rsidRPr="00FE77C9">
        <w:rPr>
          <w:rFonts w:ascii="Verdana" w:hAnsi="Verdana"/>
          <w:bCs/>
          <w:sz w:val="20"/>
        </w:rPr>
        <w:t>    Debe ser capaz de establecer y configurar los enlaces de comunicación para la transferencia de información de cada sistema de medición utilizado. Dicho enlace debe permitir que el programa informático reciba y recopile la información de la medición, realizada al término de las operaciones de recepción y entrega y del control de existencias.</w:t>
      </w:r>
    </w:p>
    <w:p w:rsidR="00FE77C9" w:rsidRPr="00FE77C9" w:rsidRDefault="00FE77C9" w:rsidP="00FE77C9">
      <w:pPr>
        <w:jc w:val="both"/>
        <w:rPr>
          <w:rFonts w:ascii="Verdana" w:hAnsi="Verdana"/>
          <w:bCs/>
          <w:sz w:val="20"/>
        </w:rPr>
      </w:pPr>
      <w:r w:rsidRPr="00FE77C9">
        <w:rPr>
          <w:rFonts w:ascii="Verdana" w:hAnsi="Verdana"/>
          <w:b/>
          <w:bCs/>
          <w:sz w:val="20"/>
        </w:rPr>
        <w:t>VI.</w:t>
      </w:r>
      <w:r w:rsidRPr="00FE77C9">
        <w:rPr>
          <w:rFonts w:ascii="Verdana" w:hAnsi="Verdana"/>
          <w:bCs/>
          <w:sz w:val="20"/>
        </w:rPr>
        <w:t>   Debe incorporar una funcionalidad para realizar el diagnóstico del estado de los componentes de los equipos y programas informáticos para llevar controles volumétricos, con la finalidad de determinar que la operación de los mismos es la esperada, de conformidad con lo siguiente:</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El autodiagnóstico debe generar una alarma en caso de detectar que alguno de los dispositivos no opera adecuadamente.</w:t>
      </w:r>
    </w:p>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El programa informático debe diagnosticar el estado y funcionalidad de:</w:t>
      </w:r>
    </w:p>
    <w:p w:rsidR="00FE77C9" w:rsidRPr="00FE77C9" w:rsidRDefault="00FE77C9" w:rsidP="00FE77C9">
      <w:pPr>
        <w:jc w:val="both"/>
        <w:rPr>
          <w:rFonts w:ascii="Verdana" w:hAnsi="Verdana"/>
          <w:bCs/>
          <w:sz w:val="20"/>
        </w:rPr>
      </w:pPr>
      <w:r w:rsidRPr="00FE77C9">
        <w:rPr>
          <w:rFonts w:ascii="Verdana" w:hAnsi="Verdana"/>
          <w:b/>
          <w:bCs/>
          <w:sz w:val="20"/>
        </w:rPr>
        <w:t>1.</w:t>
      </w:r>
      <w:r w:rsidRPr="00FE77C9">
        <w:rPr>
          <w:rFonts w:ascii="Verdana" w:hAnsi="Verdana"/>
          <w:bCs/>
          <w:sz w:val="20"/>
        </w:rPr>
        <w:t>     Sistemas de medición.</w:t>
      </w:r>
    </w:p>
    <w:p w:rsidR="00FE77C9" w:rsidRPr="00FE77C9" w:rsidRDefault="00FE77C9" w:rsidP="00FE77C9">
      <w:pPr>
        <w:jc w:val="both"/>
        <w:rPr>
          <w:rFonts w:ascii="Verdana" w:hAnsi="Verdana"/>
          <w:bCs/>
          <w:sz w:val="20"/>
        </w:rPr>
      </w:pPr>
      <w:r w:rsidRPr="00FE77C9">
        <w:rPr>
          <w:rFonts w:ascii="Verdana" w:hAnsi="Verdana"/>
          <w:b/>
          <w:bCs/>
          <w:sz w:val="20"/>
        </w:rPr>
        <w:t>2.</w:t>
      </w:r>
      <w:r w:rsidRPr="00FE77C9">
        <w:rPr>
          <w:rFonts w:ascii="Verdana" w:hAnsi="Verdana"/>
          <w:bCs/>
          <w:sz w:val="20"/>
        </w:rPr>
        <w:t>     Canales de comunicación.</w:t>
      </w:r>
    </w:p>
    <w:p w:rsidR="00FE77C9" w:rsidRPr="00FE77C9" w:rsidRDefault="00FE77C9" w:rsidP="00FE77C9">
      <w:pPr>
        <w:jc w:val="both"/>
        <w:rPr>
          <w:rFonts w:ascii="Verdana" w:hAnsi="Verdana"/>
          <w:bCs/>
          <w:sz w:val="20"/>
        </w:rPr>
      </w:pPr>
      <w:r w:rsidRPr="00FE77C9">
        <w:rPr>
          <w:rFonts w:ascii="Verdana" w:hAnsi="Verdana"/>
          <w:b/>
          <w:bCs/>
          <w:sz w:val="20"/>
        </w:rPr>
        <w:t>3.</w:t>
      </w:r>
      <w:r w:rsidRPr="00FE77C9">
        <w:rPr>
          <w:rFonts w:ascii="Verdana" w:hAnsi="Verdana"/>
          <w:bCs/>
          <w:sz w:val="20"/>
        </w:rPr>
        <w:t>     UCC.</w:t>
      </w:r>
    </w:p>
    <w:p w:rsidR="00FE77C9" w:rsidRPr="00FE77C9" w:rsidRDefault="00FE77C9" w:rsidP="00FE77C9">
      <w:pPr>
        <w:jc w:val="both"/>
        <w:rPr>
          <w:rFonts w:ascii="Verdana" w:hAnsi="Verdana"/>
          <w:bCs/>
          <w:sz w:val="20"/>
        </w:rPr>
      </w:pPr>
      <w:r w:rsidRPr="00FE77C9">
        <w:rPr>
          <w:rFonts w:ascii="Verdana" w:hAnsi="Verdana"/>
          <w:b/>
          <w:bCs/>
          <w:sz w:val="20"/>
        </w:rPr>
        <w:t>VII.</w:t>
      </w:r>
      <w:r w:rsidRPr="00FE77C9">
        <w:rPr>
          <w:rFonts w:ascii="Verdana" w:hAnsi="Verdana"/>
          <w:bCs/>
          <w:sz w:val="20"/>
        </w:rPr>
        <w:t>   Debe registrar en una bitácora todos los eventos relacionados con la configuración y operación del mismo, con las siguientes especificaciones:</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xml:space="preserve">   Los registros deben generarse de manera automática, para todos los eventos clasificados que se listan en el inciso g) de la presente fracción. Adicionalmente, los </w:t>
      </w:r>
      <w:r w:rsidRPr="00FE77C9">
        <w:rPr>
          <w:rFonts w:ascii="Verdana" w:hAnsi="Verdana"/>
          <w:bCs/>
          <w:sz w:val="20"/>
        </w:rPr>
        <w:lastRenderedPageBreak/>
        <w:t>usuarios deben tener la posibilidad de registrar eventos no clasificados, pero que requieren su registro.</w:t>
      </w:r>
    </w:p>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Se deben almacenar todos los registros en la bitácora.</w:t>
      </w:r>
    </w:p>
    <w:p w:rsidR="00FE77C9" w:rsidRPr="00FE77C9" w:rsidRDefault="00FE77C9" w:rsidP="00FE77C9">
      <w:pPr>
        <w:jc w:val="both"/>
        <w:rPr>
          <w:rFonts w:ascii="Verdana" w:hAnsi="Verdana"/>
          <w:bCs/>
          <w:sz w:val="20"/>
        </w:rPr>
      </w:pPr>
      <w:r w:rsidRPr="00FE77C9">
        <w:rPr>
          <w:rFonts w:ascii="Verdana" w:hAnsi="Verdana"/>
          <w:b/>
          <w:bCs/>
          <w:sz w:val="20"/>
        </w:rPr>
        <w:t>c)</w:t>
      </w:r>
      <w:r w:rsidRPr="00FE77C9">
        <w:rPr>
          <w:rFonts w:ascii="Verdana" w:hAnsi="Verdana"/>
          <w:bCs/>
          <w:sz w:val="20"/>
        </w:rPr>
        <w:t>   Todos los usuarios deben tener acceso a la bitácora para su visualización. Los perfiles de administrador, supervisor y operador, además, deben tener acceso para el registro de eventos.</w:t>
      </w:r>
    </w:p>
    <w:p w:rsidR="00FE77C9" w:rsidRPr="00FE77C9" w:rsidRDefault="00FE77C9" w:rsidP="00FE77C9">
      <w:pPr>
        <w:jc w:val="both"/>
        <w:rPr>
          <w:rFonts w:ascii="Verdana" w:hAnsi="Verdana"/>
          <w:bCs/>
          <w:sz w:val="20"/>
        </w:rPr>
      </w:pPr>
      <w:r w:rsidRPr="00FE77C9">
        <w:rPr>
          <w:rFonts w:ascii="Verdana" w:hAnsi="Verdana"/>
          <w:b/>
          <w:bCs/>
          <w:sz w:val="20"/>
        </w:rPr>
        <w:t>d)</w:t>
      </w:r>
      <w:r w:rsidRPr="00FE77C9">
        <w:rPr>
          <w:rFonts w:ascii="Verdana" w:hAnsi="Verdana"/>
          <w:bCs/>
          <w:sz w:val="20"/>
        </w:rPr>
        <w:t>   Todos los registros de la bitácora deben estar protegidos para evitar su modificación o eliminación.</w:t>
      </w:r>
    </w:p>
    <w:p w:rsidR="00FE77C9" w:rsidRPr="00FE77C9" w:rsidRDefault="00FE77C9" w:rsidP="00FE77C9">
      <w:pPr>
        <w:jc w:val="both"/>
        <w:rPr>
          <w:rFonts w:ascii="Verdana" w:hAnsi="Verdana"/>
          <w:bCs/>
          <w:sz w:val="20"/>
        </w:rPr>
      </w:pPr>
      <w:r w:rsidRPr="00FE77C9">
        <w:rPr>
          <w:rFonts w:ascii="Verdana" w:hAnsi="Verdana"/>
          <w:b/>
          <w:bCs/>
          <w:sz w:val="20"/>
        </w:rPr>
        <w:t>e)</w:t>
      </w:r>
      <w:r w:rsidRPr="00FE77C9">
        <w:rPr>
          <w:rFonts w:ascii="Verdana" w:hAnsi="Verdana"/>
          <w:bCs/>
          <w:sz w:val="20"/>
        </w:rPr>
        <w:t>   Cualquier intento de modificación o eliminación de un registro de la bitácora debe registrarse de forma automática en la misma bitácora y generar una alarma.</w:t>
      </w:r>
    </w:p>
    <w:p w:rsidR="00FE77C9" w:rsidRPr="00FE77C9" w:rsidRDefault="00FE77C9" w:rsidP="00FE77C9">
      <w:pPr>
        <w:jc w:val="both"/>
        <w:rPr>
          <w:rFonts w:ascii="Verdana" w:hAnsi="Verdana"/>
          <w:bCs/>
          <w:sz w:val="20"/>
        </w:rPr>
      </w:pPr>
      <w:r w:rsidRPr="00FE77C9">
        <w:rPr>
          <w:rFonts w:ascii="Verdana" w:hAnsi="Verdana"/>
          <w:b/>
          <w:bCs/>
          <w:sz w:val="20"/>
        </w:rPr>
        <w:t>f)</w:t>
      </w:r>
      <w:r w:rsidRPr="00FE77C9">
        <w:rPr>
          <w:rFonts w:ascii="Verdana" w:hAnsi="Verdana"/>
          <w:bCs/>
          <w:sz w:val="20"/>
        </w:rPr>
        <w:t>    Los datos que deben incluirse en el registro de la bitácora son:</w:t>
      </w:r>
    </w:p>
    <w:p w:rsidR="00FE77C9" w:rsidRPr="00FE77C9" w:rsidRDefault="00FE77C9" w:rsidP="00FE77C9">
      <w:pPr>
        <w:jc w:val="both"/>
        <w:rPr>
          <w:rFonts w:ascii="Verdana" w:hAnsi="Verdana"/>
          <w:bCs/>
          <w:sz w:val="20"/>
        </w:rPr>
      </w:pPr>
      <w:r w:rsidRPr="00FE77C9">
        <w:rPr>
          <w:rFonts w:ascii="Verdana" w:hAnsi="Verdana"/>
          <w:b/>
          <w:bCs/>
          <w:sz w:val="20"/>
        </w:rPr>
        <w:t>1.</w:t>
      </w:r>
      <w:r w:rsidRPr="00FE77C9">
        <w:rPr>
          <w:rFonts w:ascii="Verdana" w:hAnsi="Verdana"/>
          <w:bCs/>
          <w:sz w:val="20"/>
        </w:rPr>
        <w:t>     Número de registro, único y consecutivo.</w:t>
      </w:r>
    </w:p>
    <w:p w:rsidR="00FE77C9" w:rsidRPr="00FE77C9" w:rsidRDefault="00FE77C9" w:rsidP="00FE77C9">
      <w:pPr>
        <w:jc w:val="both"/>
        <w:rPr>
          <w:rFonts w:ascii="Verdana" w:hAnsi="Verdana"/>
          <w:bCs/>
          <w:sz w:val="20"/>
        </w:rPr>
      </w:pPr>
      <w:r w:rsidRPr="00FE77C9">
        <w:rPr>
          <w:rFonts w:ascii="Verdana" w:hAnsi="Verdana"/>
          <w:b/>
          <w:bCs/>
          <w:sz w:val="20"/>
        </w:rPr>
        <w:t>2.</w:t>
      </w:r>
      <w:r w:rsidRPr="00FE77C9">
        <w:rPr>
          <w:rFonts w:ascii="Verdana" w:hAnsi="Verdana"/>
          <w:bCs/>
          <w:sz w:val="20"/>
        </w:rPr>
        <w:t>     Fecha del evento.</w:t>
      </w:r>
    </w:p>
    <w:p w:rsidR="00FE77C9" w:rsidRPr="00FE77C9" w:rsidRDefault="00FE77C9" w:rsidP="00FE77C9">
      <w:pPr>
        <w:jc w:val="both"/>
        <w:rPr>
          <w:rFonts w:ascii="Verdana" w:hAnsi="Verdana"/>
          <w:bCs/>
          <w:sz w:val="20"/>
        </w:rPr>
      </w:pPr>
      <w:r w:rsidRPr="00FE77C9">
        <w:rPr>
          <w:rFonts w:ascii="Verdana" w:hAnsi="Verdana"/>
          <w:b/>
          <w:bCs/>
          <w:sz w:val="20"/>
        </w:rPr>
        <w:t>3.</w:t>
      </w:r>
      <w:r w:rsidRPr="00FE77C9">
        <w:rPr>
          <w:rFonts w:ascii="Verdana" w:hAnsi="Verdana"/>
          <w:bCs/>
          <w:sz w:val="20"/>
        </w:rPr>
        <w:t>     Hora del evento.</w:t>
      </w:r>
    </w:p>
    <w:p w:rsidR="00FE77C9" w:rsidRPr="00FE77C9" w:rsidRDefault="00FE77C9" w:rsidP="00FE77C9">
      <w:pPr>
        <w:jc w:val="both"/>
        <w:rPr>
          <w:rFonts w:ascii="Verdana" w:hAnsi="Verdana"/>
          <w:bCs/>
          <w:sz w:val="20"/>
        </w:rPr>
      </w:pPr>
      <w:r w:rsidRPr="00FE77C9">
        <w:rPr>
          <w:rFonts w:ascii="Verdana" w:hAnsi="Verdana"/>
          <w:b/>
          <w:bCs/>
          <w:sz w:val="20"/>
        </w:rPr>
        <w:t>4.</w:t>
      </w:r>
      <w:r w:rsidRPr="00FE77C9">
        <w:rPr>
          <w:rFonts w:ascii="Verdana" w:hAnsi="Verdana"/>
          <w:bCs/>
          <w:sz w:val="20"/>
        </w:rPr>
        <w:t>     Usuario responsable (campo en blanco en caso de tratarse de un registro generado automáticamente).</w:t>
      </w:r>
    </w:p>
    <w:p w:rsidR="00FE77C9" w:rsidRPr="00FE77C9" w:rsidRDefault="00FE77C9" w:rsidP="00FE77C9">
      <w:pPr>
        <w:jc w:val="both"/>
        <w:rPr>
          <w:rFonts w:ascii="Verdana" w:hAnsi="Verdana"/>
          <w:bCs/>
          <w:sz w:val="20"/>
        </w:rPr>
      </w:pPr>
      <w:r w:rsidRPr="00FE77C9">
        <w:rPr>
          <w:rFonts w:ascii="Verdana" w:hAnsi="Verdana"/>
          <w:b/>
          <w:bCs/>
          <w:sz w:val="20"/>
        </w:rPr>
        <w:t>5.</w:t>
      </w:r>
      <w:r w:rsidRPr="00FE77C9">
        <w:rPr>
          <w:rFonts w:ascii="Verdana" w:hAnsi="Verdana"/>
          <w:bCs/>
          <w:sz w:val="20"/>
        </w:rPr>
        <w:t>     Tipo de evento.</w:t>
      </w:r>
    </w:p>
    <w:p w:rsidR="00FE77C9" w:rsidRPr="00FE77C9" w:rsidRDefault="00FE77C9" w:rsidP="00FE77C9">
      <w:pPr>
        <w:jc w:val="both"/>
        <w:rPr>
          <w:rFonts w:ascii="Verdana" w:hAnsi="Verdana"/>
          <w:bCs/>
          <w:sz w:val="20"/>
        </w:rPr>
      </w:pPr>
      <w:r w:rsidRPr="00FE77C9">
        <w:rPr>
          <w:rFonts w:ascii="Verdana" w:hAnsi="Verdana"/>
          <w:bCs/>
          <w:sz w:val="20"/>
        </w:rPr>
        <w:t>       Ejemplos:</w:t>
      </w:r>
    </w:p>
    <w:p w:rsidR="00FE77C9" w:rsidRPr="00FE77C9" w:rsidRDefault="00FE77C9" w:rsidP="00FE77C9">
      <w:pPr>
        <w:jc w:val="both"/>
        <w:rPr>
          <w:rFonts w:ascii="Verdana" w:hAnsi="Verdana"/>
          <w:bCs/>
          <w:sz w:val="20"/>
        </w:rPr>
      </w:pPr>
      <w:r w:rsidRPr="00FE77C9">
        <w:rPr>
          <w:rFonts w:ascii="Verdana" w:hAnsi="Verdana"/>
          <w:bCs/>
          <w:sz w:val="20"/>
        </w:rPr>
        <w:t>       ADM   Administración de sistema.</w:t>
      </w:r>
    </w:p>
    <w:p w:rsidR="00FE77C9" w:rsidRPr="00FE77C9" w:rsidRDefault="00FE77C9" w:rsidP="00FE77C9">
      <w:pPr>
        <w:jc w:val="both"/>
        <w:rPr>
          <w:rFonts w:ascii="Verdana" w:hAnsi="Verdana"/>
          <w:bCs/>
          <w:sz w:val="20"/>
        </w:rPr>
      </w:pPr>
      <w:r w:rsidRPr="00FE77C9">
        <w:rPr>
          <w:rFonts w:ascii="Verdana" w:hAnsi="Verdana"/>
          <w:bCs/>
          <w:sz w:val="20"/>
        </w:rPr>
        <w:t>       UCC   Eventos de la UCC.</w:t>
      </w:r>
    </w:p>
    <w:p w:rsidR="00FE77C9" w:rsidRPr="00FE77C9" w:rsidRDefault="00FE77C9" w:rsidP="00FE77C9">
      <w:pPr>
        <w:jc w:val="both"/>
        <w:rPr>
          <w:rFonts w:ascii="Verdana" w:hAnsi="Verdana"/>
          <w:bCs/>
          <w:sz w:val="20"/>
        </w:rPr>
      </w:pPr>
      <w:r w:rsidRPr="00FE77C9">
        <w:rPr>
          <w:rFonts w:ascii="Verdana" w:hAnsi="Verdana"/>
          <w:bCs/>
          <w:sz w:val="20"/>
        </w:rPr>
        <w:t>       PIN     Eventos de los programas informáticos.</w:t>
      </w:r>
    </w:p>
    <w:p w:rsidR="00FE77C9" w:rsidRPr="00FE77C9" w:rsidRDefault="00FE77C9" w:rsidP="00FE77C9">
      <w:pPr>
        <w:jc w:val="both"/>
        <w:rPr>
          <w:rFonts w:ascii="Verdana" w:hAnsi="Verdana"/>
          <w:bCs/>
          <w:sz w:val="20"/>
        </w:rPr>
      </w:pPr>
      <w:r w:rsidRPr="00FE77C9">
        <w:rPr>
          <w:rFonts w:ascii="Verdana" w:hAnsi="Verdana"/>
          <w:bCs/>
          <w:sz w:val="20"/>
        </w:rPr>
        <w:t>       COM   Eventos de comunicación.</w:t>
      </w:r>
    </w:p>
    <w:p w:rsidR="00FE77C9" w:rsidRPr="00FE77C9" w:rsidRDefault="00FE77C9" w:rsidP="00FE77C9">
      <w:pPr>
        <w:jc w:val="both"/>
        <w:rPr>
          <w:rFonts w:ascii="Verdana" w:hAnsi="Verdana"/>
          <w:bCs/>
          <w:sz w:val="20"/>
        </w:rPr>
      </w:pPr>
      <w:r w:rsidRPr="00FE77C9">
        <w:rPr>
          <w:rFonts w:ascii="Verdana" w:hAnsi="Verdana"/>
          <w:b/>
          <w:bCs/>
          <w:sz w:val="20"/>
        </w:rPr>
        <w:t>6.</w:t>
      </w:r>
      <w:r w:rsidRPr="00FE77C9">
        <w:rPr>
          <w:rFonts w:ascii="Verdana" w:hAnsi="Verdana"/>
          <w:bCs/>
          <w:sz w:val="20"/>
        </w:rPr>
        <w:t>     Descripción del evento.</w:t>
      </w:r>
    </w:p>
    <w:p w:rsidR="00FE77C9" w:rsidRPr="00FE77C9" w:rsidRDefault="00FE77C9" w:rsidP="00FE77C9">
      <w:pPr>
        <w:jc w:val="both"/>
        <w:rPr>
          <w:rFonts w:ascii="Verdana" w:hAnsi="Verdana"/>
          <w:bCs/>
          <w:sz w:val="20"/>
        </w:rPr>
      </w:pPr>
      <w:r w:rsidRPr="00FE77C9">
        <w:rPr>
          <w:rFonts w:ascii="Verdana" w:hAnsi="Verdana"/>
          <w:bCs/>
          <w:sz w:val="20"/>
        </w:rPr>
        <w:t> </w:t>
      </w:r>
    </w:p>
    <w:p w:rsidR="00FE77C9" w:rsidRPr="00FE77C9" w:rsidRDefault="00FE77C9" w:rsidP="00FE77C9">
      <w:pPr>
        <w:jc w:val="both"/>
        <w:rPr>
          <w:rFonts w:ascii="Verdana" w:hAnsi="Verdana"/>
          <w:bCs/>
          <w:sz w:val="20"/>
        </w:rPr>
      </w:pPr>
      <w:r w:rsidRPr="00FE77C9">
        <w:rPr>
          <w:rFonts w:ascii="Verdana" w:hAnsi="Verdana"/>
          <w:b/>
          <w:bCs/>
          <w:sz w:val="20"/>
        </w:rPr>
        <w:t>g)</w:t>
      </w:r>
      <w:r w:rsidRPr="00FE77C9">
        <w:rPr>
          <w:rFonts w:ascii="Verdana" w:hAnsi="Verdana"/>
          <w:bCs/>
          <w:sz w:val="20"/>
        </w:rPr>
        <w:t>   Los tipos de eventos que se deben registrar en la bitácora son:</w:t>
      </w:r>
    </w:p>
    <w:p w:rsidR="00FE77C9" w:rsidRPr="00FE77C9" w:rsidRDefault="00FE77C9" w:rsidP="00FE77C9">
      <w:pPr>
        <w:jc w:val="both"/>
        <w:rPr>
          <w:rFonts w:ascii="Verdana" w:hAnsi="Verdana"/>
          <w:bCs/>
          <w:sz w:val="20"/>
        </w:rPr>
      </w:pPr>
      <w:r w:rsidRPr="00FE77C9">
        <w:rPr>
          <w:rFonts w:ascii="Verdana" w:hAnsi="Verdana"/>
          <w:b/>
          <w:bCs/>
          <w:sz w:val="20"/>
        </w:rPr>
        <w:t>1.</w:t>
      </w:r>
      <w:r w:rsidRPr="00FE77C9">
        <w:rPr>
          <w:rFonts w:ascii="Verdana" w:hAnsi="Verdana"/>
          <w:bCs/>
          <w:sz w:val="20"/>
        </w:rPr>
        <w:t>     Administración del sistema. Respaldos de la información, cambio en la configuración, cambio de versión del algoritmo de cálculo del volumen, alta/baja de usuarios e incorporación, reemplazo o baja de equipos.</w:t>
      </w:r>
    </w:p>
    <w:p w:rsidR="00FE77C9" w:rsidRPr="00FE77C9" w:rsidRDefault="00FE77C9" w:rsidP="00FE77C9">
      <w:pPr>
        <w:jc w:val="both"/>
        <w:rPr>
          <w:rFonts w:ascii="Verdana" w:hAnsi="Verdana"/>
          <w:bCs/>
          <w:sz w:val="20"/>
        </w:rPr>
      </w:pPr>
      <w:r w:rsidRPr="00FE77C9">
        <w:rPr>
          <w:rFonts w:ascii="Verdana" w:hAnsi="Verdana"/>
          <w:b/>
          <w:bCs/>
          <w:sz w:val="20"/>
        </w:rPr>
        <w:t>2.</w:t>
      </w:r>
      <w:r w:rsidRPr="00FE77C9">
        <w:rPr>
          <w:rFonts w:ascii="Verdana" w:hAnsi="Verdana"/>
          <w:bCs/>
          <w:sz w:val="20"/>
        </w:rPr>
        <w:t>     Eventos de la UCC. Reinicio o apagado, desconexión de dispositivos y acceso a la información del control volumétrico por otro medio distinto del programa informático.</w:t>
      </w:r>
    </w:p>
    <w:p w:rsidR="00FE77C9" w:rsidRPr="00FE77C9" w:rsidRDefault="00FE77C9" w:rsidP="00FE77C9">
      <w:pPr>
        <w:jc w:val="both"/>
        <w:rPr>
          <w:rFonts w:ascii="Verdana" w:hAnsi="Verdana"/>
          <w:bCs/>
          <w:sz w:val="20"/>
        </w:rPr>
      </w:pPr>
      <w:r w:rsidRPr="00FE77C9">
        <w:rPr>
          <w:rFonts w:ascii="Verdana" w:hAnsi="Verdana"/>
          <w:b/>
          <w:bCs/>
          <w:sz w:val="20"/>
        </w:rPr>
        <w:lastRenderedPageBreak/>
        <w:t>3.</w:t>
      </w:r>
      <w:r w:rsidRPr="00FE77C9">
        <w:rPr>
          <w:rFonts w:ascii="Verdana" w:hAnsi="Verdana"/>
          <w:bCs/>
          <w:sz w:val="20"/>
        </w:rPr>
        <w:t>     Eventos relacionados a los programas informáticos. Actualización de versión, cambio de parámetros o reinicio del programa informático.</w:t>
      </w:r>
    </w:p>
    <w:p w:rsidR="00FE77C9" w:rsidRPr="00FE77C9" w:rsidRDefault="00FE77C9" w:rsidP="00FE77C9">
      <w:pPr>
        <w:jc w:val="both"/>
        <w:rPr>
          <w:rFonts w:ascii="Verdana" w:hAnsi="Verdana"/>
          <w:bCs/>
          <w:sz w:val="20"/>
        </w:rPr>
      </w:pPr>
      <w:r w:rsidRPr="00FE77C9">
        <w:rPr>
          <w:rFonts w:ascii="Verdana" w:hAnsi="Verdana"/>
          <w:b/>
          <w:bCs/>
          <w:sz w:val="20"/>
        </w:rPr>
        <w:t>4.</w:t>
      </w:r>
      <w:r w:rsidRPr="00FE77C9">
        <w:rPr>
          <w:rFonts w:ascii="Verdana" w:hAnsi="Verdana"/>
          <w:bCs/>
          <w:sz w:val="20"/>
        </w:rPr>
        <w:t>     Eventos de comunicación. Error de comunicación del dispositivo de medición, error de transmisión y/o recepción de archivos y falla en la red interna.</w:t>
      </w:r>
    </w:p>
    <w:p w:rsidR="00FE77C9" w:rsidRPr="00FE77C9" w:rsidRDefault="00FE77C9" w:rsidP="00FE77C9">
      <w:pPr>
        <w:jc w:val="both"/>
        <w:rPr>
          <w:rFonts w:ascii="Verdana" w:hAnsi="Verdana"/>
          <w:bCs/>
          <w:sz w:val="20"/>
        </w:rPr>
      </w:pPr>
      <w:r w:rsidRPr="00FE77C9">
        <w:rPr>
          <w:rFonts w:ascii="Verdana" w:hAnsi="Verdana"/>
          <w:b/>
          <w:bCs/>
          <w:sz w:val="20"/>
        </w:rPr>
        <w:t>5.</w:t>
      </w:r>
      <w:r w:rsidRPr="00FE77C9">
        <w:rPr>
          <w:rFonts w:ascii="Verdana" w:hAnsi="Verdana"/>
          <w:bCs/>
          <w:sz w:val="20"/>
        </w:rPr>
        <w:t>     Operaciones cotidianas. Acceso, consulta, revisión de bitácora y registro de alarmas, operaciones de mantenimiento y toma de muestras.</w:t>
      </w:r>
    </w:p>
    <w:p w:rsidR="00FE77C9" w:rsidRPr="00FE77C9" w:rsidRDefault="00FE77C9" w:rsidP="00FE77C9">
      <w:pPr>
        <w:jc w:val="both"/>
        <w:rPr>
          <w:rFonts w:ascii="Verdana" w:hAnsi="Verdana"/>
          <w:bCs/>
          <w:sz w:val="20"/>
        </w:rPr>
      </w:pPr>
      <w:r w:rsidRPr="00FE77C9">
        <w:rPr>
          <w:rFonts w:ascii="Verdana" w:hAnsi="Verdana"/>
          <w:b/>
          <w:bCs/>
          <w:sz w:val="20"/>
        </w:rPr>
        <w:t>6.</w:t>
      </w:r>
      <w:r w:rsidRPr="00FE77C9">
        <w:rPr>
          <w:rFonts w:ascii="Verdana" w:hAnsi="Verdana"/>
          <w:bCs/>
          <w:sz w:val="20"/>
        </w:rPr>
        <w:t>     Verificaciones realizadas por la autoridad fiscal o por proveedores autorizados por el SAT.</w:t>
      </w:r>
    </w:p>
    <w:p w:rsidR="00FE77C9" w:rsidRPr="00FE77C9" w:rsidRDefault="00FE77C9" w:rsidP="00FE77C9">
      <w:pPr>
        <w:jc w:val="both"/>
        <w:rPr>
          <w:rFonts w:ascii="Verdana" w:hAnsi="Verdana"/>
          <w:bCs/>
          <w:sz w:val="20"/>
        </w:rPr>
      </w:pPr>
      <w:r w:rsidRPr="00FE77C9">
        <w:rPr>
          <w:rFonts w:ascii="Verdana" w:hAnsi="Verdana"/>
          <w:b/>
          <w:bCs/>
          <w:sz w:val="20"/>
        </w:rPr>
        <w:t>7.</w:t>
      </w:r>
      <w:r w:rsidRPr="00FE77C9">
        <w:rPr>
          <w:rFonts w:ascii="Verdana" w:hAnsi="Verdana"/>
          <w:bCs/>
          <w:sz w:val="20"/>
        </w:rPr>
        <w:t>     Inconsistencias en la información volumétrica:</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Exista una diferencia de más de 0.5% tratándose de Hidrocarburos y Petrolíferos líquidos o de 1% tratándose de Hidrocarburos y Petrolíferos gaseosos, en el volumen final del periodo, obtenido de sumar al volumen inicial en dicho periodo, las recepciones de producto y restar las entregas de producto, incluyendo las pérdidas por proceso.</w:t>
      </w:r>
    </w:p>
    <w:p w:rsidR="00FE77C9" w:rsidRPr="00FE77C9" w:rsidRDefault="00FE77C9" w:rsidP="00FE77C9">
      <w:pPr>
        <w:jc w:val="both"/>
        <w:rPr>
          <w:rFonts w:ascii="Verdana" w:hAnsi="Verdana"/>
          <w:bCs/>
          <w:sz w:val="20"/>
        </w:rPr>
      </w:pPr>
      <w:r w:rsidRPr="00FE77C9">
        <w:rPr>
          <w:rFonts w:ascii="Verdana" w:hAnsi="Verdana"/>
          <w:b/>
          <w:bCs/>
          <w:sz w:val="20"/>
        </w:rPr>
        <w:t>ii.</w:t>
      </w:r>
      <w:r w:rsidRPr="00FE77C9">
        <w:rPr>
          <w:rFonts w:ascii="Verdana" w:hAnsi="Verdana"/>
          <w:bCs/>
          <w:sz w:val="20"/>
        </w:rPr>
        <w:t>     El volumen de existencias registrado al corte del día, es igual al registrado en el corte del día anterior y existen registros de entradas o salidas en el corte del día.</w:t>
      </w:r>
    </w:p>
    <w:p w:rsidR="00FE77C9" w:rsidRPr="00FE77C9" w:rsidRDefault="00FE77C9" w:rsidP="00FE77C9">
      <w:pPr>
        <w:jc w:val="both"/>
        <w:rPr>
          <w:rFonts w:ascii="Verdana" w:hAnsi="Verdana"/>
          <w:bCs/>
          <w:sz w:val="20"/>
        </w:rPr>
      </w:pPr>
      <w:r w:rsidRPr="00FE77C9">
        <w:rPr>
          <w:rFonts w:ascii="Verdana" w:hAnsi="Verdana"/>
          <w:b/>
          <w:bCs/>
          <w:sz w:val="20"/>
        </w:rPr>
        <w:t>iii.</w:t>
      </w:r>
      <w:r w:rsidRPr="00FE77C9">
        <w:rPr>
          <w:rFonts w:ascii="Verdana" w:hAnsi="Verdana"/>
          <w:bCs/>
          <w:sz w:val="20"/>
        </w:rPr>
        <w:t>    El volumen de existencias registrado por cada tipo de Hidrocarburo o Petrolífero y sistema de medición es menor a cero.</w:t>
      </w:r>
    </w:p>
    <w:p w:rsidR="00FE77C9" w:rsidRPr="00FE77C9" w:rsidRDefault="00FE77C9" w:rsidP="00FE77C9">
      <w:pPr>
        <w:jc w:val="both"/>
        <w:rPr>
          <w:rFonts w:ascii="Verdana" w:hAnsi="Verdana"/>
          <w:bCs/>
          <w:sz w:val="20"/>
        </w:rPr>
      </w:pPr>
      <w:r w:rsidRPr="00FE77C9">
        <w:rPr>
          <w:rFonts w:ascii="Verdana" w:hAnsi="Verdana"/>
          <w:b/>
          <w:bCs/>
          <w:sz w:val="20"/>
        </w:rPr>
        <w:t>iv.</w:t>
      </w:r>
      <w:r w:rsidRPr="00FE77C9">
        <w:rPr>
          <w:rFonts w:ascii="Verdana" w:hAnsi="Verdana"/>
          <w:bCs/>
          <w:sz w:val="20"/>
        </w:rPr>
        <w:t>    El volumen de existencias registrado en el corte del día varía con respecto al corte del día anterior y no existen registros de entradas o salidas en el corte del día.</w:t>
      </w:r>
    </w:p>
    <w:p w:rsidR="00FE77C9" w:rsidRPr="00FE77C9" w:rsidRDefault="00FE77C9" w:rsidP="00FE77C9">
      <w:pPr>
        <w:jc w:val="both"/>
        <w:rPr>
          <w:rFonts w:ascii="Verdana" w:hAnsi="Verdana"/>
          <w:bCs/>
          <w:sz w:val="20"/>
        </w:rPr>
      </w:pPr>
      <w:r w:rsidRPr="00FE77C9">
        <w:rPr>
          <w:rFonts w:ascii="Verdana" w:hAnsi="Verdana"/>
          <w:b/>
          <w:bCs/>
          <w:sz w:val="20"/>
        </w:rPr>
        <w:t>v.</w:t>
      </w:r>
      <w:r w:rsidRPr="00FE77C9">
        <w:rPr>
          <w:rFonts w:ascii="Verdana" w:hAnsi="Verdana"/>
          <w:bCs/>
          <w:sz w:val="20"/>
        </w:rPr>
        <w:t>     El volumen de salidas en un lapso de veinticuatro horas es mayor al volumen de entradas del mismo lapso más el volumen de existencias del corte del día anterior.</w:t>
      </w:r>
    </w:p>
    <w:p w:rsidR="00FE77C9" w:rsidRPr="00FE77C9" w:rsidRDefault="00FE77C9" w:rsidP="00FE77C9">
      <w:pPr>
        <w:jc w:val="both"/>
        <w:rPr>
          <w:rFonts w:ascii="Verdana" w:hAnsi="Verdana"/>
          <w:bCs/>
          <w:sz w:val="20"/>
        </w:rPr>
      </w:pPr>
      <w:r w:rsidRPr="00FE77C9">
        <w:rPr>
          <w:rFonts w:ascii="Verdana" w:hAnsi="Verdana"/>
          <w:b/>
          <w:bCs/>
          <w:sz w:val="20"/>
        </w:rPr>
        <w:t>VIII.</w:t>
      </w:r>
      <w:r w:rsidRPr="00FE77C9">
        <w:rPr>
          <w:rFonts w:ascii="Verdana" w:hAnsi="Verdana"/>
          <w:bCs/>
          <w:sz w:val="20"/>
        </w:rPr>
        <w:t>  Debe generar alarmas cuando detecte una falla o condición anómala en la operación de los componentes de los equipos y programas informáticos para llevar controles volumétricos y registrarla en el registro de alarmas.</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Los eventos que deben generar una alarma son:</w:t>
      </w:r>
    </w:p>
    <w:p w:rsidR="00FE77C9" w:rsidRPr="00FE77C9" w:rsidRDefault="00FE77C9" w:rsidP="00FE77C9">
      <w:pPr>
        <w:jc w:val="both"/>
        <w:rPr>
          <w:rFonts w:ascii="Verdana" w:hAnsi="Verdana"/>
          <w:bCs/>
          <w:sz w:val="20"/>
        </w:rPr>
      </w:pPr>
      <w:r w:rsidRPr="00FE77C9">
        <w:rPr>
          <w:rFonts w:ascii="Verdana" w:hAnsi="Verdana"/>
          <w:b/>
          <w:bCs/>
          <w:sz w:val="20"/>
        </w:rPr>
        <w:t>1.</w:t>
      </w:r>
      <w:r w:rsidRPr="00FE77C9">
        <w:rPr>
          <w:rFonts w:ascii="Verdana" w:hAnsi="Verdana"/>
          <w:bCs/>
          <w:sz w:val="20"/>
        </w:rPr>
        <w:t>     Calibración no válida.</w:t>
      </w:r>
    </w:p>
    <w:p w:rsidR="00FE77C9" w:rsidRPr="00FE77C9" w:rsidRDefault="00FE77C9" w:rsidP="00FE77C9">
      <w:pPr>
        <w:jc w:val="both"/>
        <w:rPr>
          <w:rFonts w:ascii="Verdana" w:hAnsi="Verdana"/>
          <w:bCs/>
          <w:sz w:val="20"/>
        </w:rPr>
      </w:pPr>
      <w:r w:rsidRPr="00FE77C9">
        <w:rPr>
          <w:rFonts w:ascii="Verdana" w:hAnsi="Verdana"/>
          <w:b/>
          <w:bCs/>
          <w:sz w:val="20"/>
        </w:rPr>
        <w:t>2.</w:t>
      </w:r>
      <w:r w:rsidRPr="00FE77C9">
        <w:rPr>
          <w:rFonts w:ascii="Verdana" w:hAnsi="Verdana"/>
          <w:bCs/>
          <w:sz w:val="20"/>
        </w:rPr>
        <w:t>     Inconsistencias en la información volumétrica a que se refiere el apartado 30.6.1.1., fracción VII, inciso g), numeral 7 del presente Anexo.</w:t>
      </w:r>
    </w:p>
    <w:p w:rsidR="00FE77C9" w:rsidRPr="00FE77C9" w:rsidRDefault="00FE77C9" w:rsidP="00FE77C9">
      <w:pPr>
        <w:jc w:val="both"/>
        <w:rPr>
          <w:rFonts w:ascii="Verdana" w:hAnsi="Verdana"/>
          <w:bCs/>
          <w:sz w:val="20"/>
        </w:rPr>
      </w:pPr>
      <w:r w:rsidRPr="00FE77C9">
        <w:rPr>
          <w:rFonts w:ascii="Verdana" w:hAnsi="Verdana"/>
          <w:b/>
          <w:bCs/>
          <w:sz w:val="20"/>
        </w:rPr>
        <w:t>3.</w:t>
      </w:r>
      <w:r w:rsidRPr="00FE77C9">
        <w:rPr>
          <w:rFonts w:ascii="Verdana" w:hAnsi="Verdana"/>
          <w:bCs/>
          <w:sz w:val="20"/>
        </w:rPr>
        <w:t>     Intento de alteración de cualquier registro.</w:t>
      </w:r>
    </w:p>
    <w:p w:rsidR="00FE77C9" w:rsidRPr="00FE77C9" w:rsidRDefault="00FE77C9" w:rsidP="00FE77C9">
      <w:pPr>
        <w:jc w:val="both"/>
        <w:rPr>
          <w:rFonts w:ascii="Verdana" w:hAnsi="Verdana"/>
          <w:bCs/>
          <w:sz w:val="20"/>
        </w:rPr>
      </w:pPr>
      <w:r w:rsidRPr="00FE77C9">
        <w:rPr>
          <w:rFonts w:ascii="Verdana" w:hAnsi="Verdana"/>
          <w:b/>
          <w:bCs/>
          <w:sz w:val="20"/>
        </w:rPr>
        <w:t>4.</w:t>
      </w:r>
      <w:r w:rsidRPr="00FE77C9">
        <w:rPr>
          <w:rFonts w:ascii="Verdana" w:hAnsi="Verdana"/>
          <w:bCs/>
          <w:sz w:val="20"/>
        </w:rPr>
        <w:t>     Registros incompletos o duplicados.</w:t>
      </w:r>
    </w:p>
    <w:p w:rsidR="00FE77C9" w:rsidRPr="00FE77C9" w:rsidRDefault="00FE77C9" w:rsidP="00FE77C9">
      <w:pPr>
        <w:jc w:val="both"/>
        <w:rPr>
          <w:rFonts w:ascii="Verdana" w:hAnsi="Verdana"/>
          <w:bCs/>
          <w:sz w:val="20"/>
        </w:rPr>
      </w:pPr>
      <w:r w:rsidRPr="00FE77C9">
        <w:rPr>
          <w:rFonts w:ascii="Verdana" w:hAnsi="Verdana"/>
          <w:b/>
          <w:bCs/>
          <w:sz w:val="20"/>
        </w:rPr>
        <w:t>5.</w:t>
      </w:r>
      <w:r w:rsidRPr="00FE77C9">
        <w:rPr>
          <w:rFonts w:ascii="Verdana" w:hAnsi="Verdana"/>
          <w:bCs/>
          <w:sz w:val="20"/>
        </w:rPr>
        <w:t>     Problemas de comunicación.</w:t>
      </w:r>
    </w:p>
    <w:p w:rsidR="00FE77C9" w:rsidRPr="00FE77C9" w:rsidRDefault="00FE77C9" w:rsidP="00FE77C9">
      <w:pPr>
        <w:jc w:val="both"/>
        <w:rPr>
          <w:rFonts w:ascii="Verdana" w:hAnsi="Verdana"/>
          <w:bCs/>
          <w:sz w:val="20"/>
        </w:rPr>
      </w:pPr>
      <w:r w:rsidRPr="00FE77C9">
        <w:rPr>
          <w:rFonts w:ascii="Verdana" w:hAnsi="Verdana"/>
          <w:b/>
          <w:bCs/>
          <w:sz w:val="20"/>
        </w:rPr>
        <w:t>6.</w:t>
      </w:r>
      <w:r w:rsidRPr="00FE77C9">
        <w:rPr>
          <w:rFonts w:ascii="Verdana" w:hAnsi="Verdana"/>
          <w:bCs/>
          <w:sz w:val="20"/>
        </w:rPr>
        <w:t>     Falla del medio de almacenamiento.</w:t>
      </w:r>
    </w:p>
    <w:p w:rsidR="00FE77C9" w:rsidRPr="00FE77C9" w:rsidRDefault="00FE77C9" w:rsidP="00FE77C9">
      <w:pPr>
        <w:jc w:val="both"/>
        <w:rPr>
          <w:rFonts w:ascii="Verdana" w:hAnsi="Verdana"/>
          <w:bCs/>
          <w:sz w:val="20"/>
        </w:rPr>
      </w:pPr>
      <w:r w:rsidRPr="00FE77C9">
        <w:rPr>
          <w:rFonts w:ascii="Verdana" w:hAnsi="Verdana"/>
          <w:b/>
          <w:bCs/>
          <w:sz w:val="20"/>
        </w:rPr>
        <w:lastRenderedPageBreak/>
        <w:t>7.</w:t>
      </w:r>
      <w:r w:rsidRPr="00FE77C9">
        <w:rPr>
          <w:rFonts w:ascii="Verdana" w:hAnsi="Verdana"/>
          <w:bCs/>
          <w:sz w:val="20"/>
        </w:rPr>
        <w:t>     Falla en la red de comunicación.</w:t>
      </w:r>
    </w:p>
    <w:p w:rsidR="00FE77C9" w:rsidRPr="00FE77C9" w:rsidRDefault="00FE77C9" w:rsidP="00FE77C9">
      <w:pPr>
        <w:jc w:val="both"/>
        <w:rPr>
          <w:rFonts w:ascii="Verdana" w:hAnsi="Verdana"/>
          <w:bCs/>
          <w:sz w:val="20"/>
        </w:rPr>
      </w:pPr>
      <w:r w:rsidRPr="00FE77C9">
        <w:rPr>
          <w:rFonts w:ascii="Verdana" w:hAnsi="Verdana"/>
          <w:b/>
          <w:bCs/>
          <w:sz w:val="20"/>
        </w:rPr>
        <w:t>8.</w:t>
      </w:r>
      <w:r w:rsidRPr="00FE77C9">
        <w:rPr>
          <w:rFonts w:ascii="Verdana" w:hAnsi="Verdana"/>
          <w:bCs/>
          <w:sz w:val="20"/>
        </w:rPr>
        <w:t>     Falla de energía.</w:t>
      </w:r>
    </w:p>
    <w:p w:rsidR="00FE77C9" w:rsidRPr="00FE77C9" w:rsidRDefault="00FE77C9" w:rsidP="00FE77C9">
      <w:pPr>
        <w:jc w:val="both"/>
        <w:rPr>
          <w:rFonts w:ascii="Verdana" w:hAnsi="Verdana"/>
          <w:bCs/>
          <w:sz w:val="20"/>
        </w:rPr>
      </w:pPr>
      <w:r w:rsidRPr="00FE77C9">
        <w:rPr>
          <w:rFonts w:ascii="Verdana" w:hAnsi="Verdana"/>
          <w:b/>
          <w:bCs/>
          <w:sz w:val="20"/>
        </w:rPr>
        <w:t>9.</w:t>
      </w:r>
      <w:r w:rsidRPr="00FE77C9">
        <w:rPr>
          <w:rFonts w:ascii="Verdana" w:hAnsi="Verdana"/>
          <w:bCs/>
          <w:sz w:val="20"/>
        </w:rPr>
        <w:t>     Error en la transmisión de información.</w:t>
      </w:r>
    </w:p>
    <w:p w:rsidR="00FE77C9" w:rsidRPr="00FE77C9" w:rsidRDefault="00FE77C9" w:rsidP="00FE77C9">
      <w:pPr>
        <w:jc w:val="both"/>
        <w:rPr>
          <w:rFonts w:ascii="Verdana" w:hAnsi="Verdana"/>
          <w:bCs/>
          <w:sz w:val="20"/>
        </w:rPr>
      </w:pPr>
      <w:r w:rsidRPr="00FE77C9">
        <w:rPr>
          <w:rFonts w:ascii="Verdana" w:hAnsi="Verdana"/>
          <w:b/>
          <w:bCs/>
          <w:sz w:val="20"/>
        </w:rPr>
        <w:t>10.</w:t>
      </w:r>
      <w:r w:rsidRPr="00FE77C9">
        <w:rPr>
          <w:rFonts w:ascii="Verdana" w:hAnsi="Verdana"/>
          <w:bCs/>
          <w:sz w:val="20"/>
        </w:rPr>
        <w:t>   Rechazos de inicio de sesión.</w:t>
      </w:r>
    </w:p>
    <w:p w:rsidR="00FE77C9" w:rsidRPr="00FE77C9" w:rsidRDefault="00FE77C9" w:rsidP="00FE77C9">
      <w:pPr>
        <w:jc w:val="both"/>
        <w:rPr>
          <w:rFonts w:ascii="Verdana" w:hAnsi="Verdana"/>
          <w:bCs/>
          <w:sz w:val="20"/>
        </w:rPr>
      </w:pPr>
      <w:r w:rsidRPr="00FE77C9">
        <w:rPr>
          <w:rFonts w:ascii="Verdana" w:hAnsi="Verdana"/>
          <w:b/>
          <w:bCs/>
          <w:sz w:val="20"/>
        </w:rPr>
        <w:t>11.</w:t>
      </w:r>
      <w:r w:rsidRPr="00FE77C9">
        <w:rPr>
          <w:rFonts w:ascii="Verdana" w:hAnsi="Verdana"/>
          <w:bCs/>
          <w:sz w:val="20"/>
        </w:rPr>
        <w:t>   Paro de emergencia.</w:t>
      </w:r>
    </w:p>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Los datos que deben incluirse para cada registro de alarma son:</w:t>
      </w:r>
    </w:p>
    <w:p w:rsidR="00FE77C9" w:rsidRPr="00FE77C9" w:rsidRDefault="00FE77C9" w:rsidP="00FE77C9">
      <w:pPr>
        <w:jc w:val="both"/>
        <w:rPr>
          <w:rFonts w:ascii="Verdana" w:hAnsi="Verdana"/>
          <w:bCs/>
          <w:sz w:val="20"/>
        </w:rPr>
      </w:pPr>
      <w:r w:rsidRPr="00FE77C9">
        <w:rPr>
          <w:rFonts w:ascii="Verdana" w:hAnsi="Verdana"/>
          <w:b/>
          <w:bCs/>
          <w:sz w:val="20"/>
        </w:rPr>
        <w:t>1.</w:t>
      </w:r>
      <w:r w:rsidRPr="00FE77C9">
        <w:rPr>
          <w:rFonts w:ascii="Verdana" w:hAnsi="Verdana"/>
          <w:bCs/>
          <w:sz w:val="20"/>
        </w:rPr>
        <w:t>     Número de registro, único y consecutivo.</w:t>
      </w:r>
    </w:p>
    <w:p w:rsidR="00FE77C9" w:rsidRPr="00FE77C9" w:rsidRDefault="00FE77C9" w:rsidP="00FE77C9">
      <w:pPr>
        <w:jc w:val="both"/>
        <w:rPr>
          <w:rFonts w:ascii="Verdana" w:hAnsi="Verdana"/>
          <w:bCs/>
          <w:sz w:val="20"/>
        </w:rPr>
      </w:pPr>
      <w:r w:rsidRPr="00FE77C9">
        <w:rPr>
          <w:rFonts w:ascii="Verdana" w:hAnsi="Verdana"/>
          <w:b/>
          <w:bCs/>
          <w:sz w:val="20"/>
        </w:rPr>
        <w:t>2.</w:t>
      </w:r>
      <w:r w:rsidRPr="00FE77C9">
        <w:rPr>
          <w:rFonts w:ascii="Verdana" w:hAnsi="Verdana"/>
          <w:bCs/>
          <w:sz w:val="20"/>
        </w:rPr>
        <w:t>     Fecha del evento.</w:t>
      </w:r>
    </w:p>
    <w:p w:rsidR="00FE77C9" w:rsidRPr="00FE77C9" w:rsidRDefault="00FE77C9" w:rsidP="00FE77C9">
      <w:pPr>
        <w:jc w:val="both"/>
        <w:rPr>
          <w:rFonts w:ascii="Verdana" w:hAnsi="Verdana"/>
          <w:bCs/>
          <w:sz w:val="20"/>
        </w:rPr>
      </w:pPr>
      <w:r w:rsidRPr="00FE77C9">
        <w:rPr>
          <w:rFonts w:ascii="Verdana" w:hAnsi="Verdana"/>
          <w:b/>
          <w:bCs/>
          <w:sz w:val="20"/>
        </w:rPr>
        <w:t>3.</w:t>
      </w:r>
      <w:r w:rsidRPr="00FE77C9">
        <w:rPr>
          <w:rFonts w:ascii="Verdana" w:hAnsi="Verdana"/>
          <w:bCs/>
          <w:sz w:val="20"/>
        </w:rPr>
        <w:t>     Hora del evento.</w:t>
      </w:r>
    </w:p>
    <w:p w:rsidR="00FE77C9" w:rsidRPr="00FE77C9" w:rsidRDefault="00FE77C9" w:rsidP="00FE77C9">
      <w:pPr>
        <w:jc w:val="both"/>
        <w:rPr>
          <w:rFonts w:ascii="Verdana" w:hAnsi="Verdana"/>
          <w:bCs/>
          <w:sz w:val="20"/>
        </w:rPr>
      </w:pPr>
      <w:r w:rsidRPr="00FE77C9">
        <w:rPr>
          <w:rFonts w:ascii="Verdana" w:hAnsi="Verdana"/>
          <w:bCs/>
          <w:sz w:val="20"/>
        </w:rPr>
        <w:t> </w:t>
      </w:r>
    </w:p>
    <w:p w:rsidR="00FE77C9" w:rsidRPr="00FE77C9" w:rsidRDefault="00FE77C9" w:rsidP="00FE77C9">
      <w:pPr>
        <w:jc w:val="both"/>
        <w:rPr>
          <w:rFonts w:ascii="Verdana" w:hAnsi="Verdana"/>
          <w:bCs/>
          <w:sz w:val="20"/>
        </w:rPr>
      </w:pPr>
      <w:r w:rsidRPr="00FE77C9">
        <w:rPr>
          <w:rFonts w:ascii="Verdana" w:hAnsi="Verdana"/>
          <w:b/>
          <w:bCs/>
          <w:sz w:val="20"/>
        </w:rPr>
        <w:t>4.</w:t>
      </w:r>
      <w:r w:rsidRPr="00FE77C9">
        <w:rPr>
          <w:rFonts w:ascii="Verdana" w:hAnsi="Verdana"/>
          <w:bCs/>
          <w:sz w:val="20"/>
        </w:rPr>
        <w:t>     Identificación del componente que origina la alarma.</w:t>
      </w:r>
    </w:p>
    <w:p w:rsidR="00FE77C9" w:rsidRPr="00FE77C9" w:rsidRDefault="00FE77C9" w:rsidP="00FE77C9">
      <w:pPr>
        <w:jc w:val="both"/>
        <w:rPr>
          <w:rFonts w:ascii="Verdana" w:hAnsi="Verdana"/>
          <w:bCs/>
          <w:sz w:val="20"/>
        </w:rPr>
      </w:pPr>
      <w:r w:rsidRPr="00FE77C9">
        <w:rPr>
          <w:rFonts w:ascii="Verdana" w:hAnsi="Verdana"/>
          <w:bCs/>
          <w:sz w:val="20"/>
        </w:rPr>
        <w:t>       Ejemplos:</w:t>
      </w:r>
    </w:p>
    <w:p w:rsidR="00FE77C9" w:rsidRPr="00FE77C9" w:rsidRDefault="00FE77C9" w:rsidP="00FE77C9">
      <w:pPr>
        <w:jc w:val="both"/>
        <w:rPr>
          <w:rFonts w:ascii="Verdana" w:hAnsi="Verdana"/>
          <w:bCs/>
          <w:sz w:val="20"/>
        </w:rPr>
      </w:pPr>
      <w:r w:rsidRPr="00FE77C9">
        <w:rPr>
          <w:rFonts w:ascii="Verdana" w:hAnsi="Verdana"/>
          <w:bCs/>
          <w:sz w:val="20"/>
        </w:rPr>
        <w:t>       C##    Canal de comunicación.</w:t>
      </w:r>
    </w:p>
    <w:p w:rsidR="00FE77C9" w:rsidRPr="00FE77C9" w:rsidRDefault="00FE77C9" w:rsidP="00FE77C9">
      <w:pPr>
        <w:jc w:val="both"/>
        <w:rPr>
          <w:rFonts w:ascii="Verdana" w:hAnsi="Verdana"/>
          <w:bCs/>
          <w:sz w:val="20"/>
        </w:rPr>
      </w:pPr>
      <w:r w:rsidRPr="00FE77C9">
        <w:rPr>
          <w:rFonts w:ascii="Verdana" w:hAnsi="Verdana"/>
          <w:bCs/>
          <w:sz w:val="20"/>
        </w:rPr>
        <w:t>       D##    Dispensarios.</w:t>
      </w:r>
    </w:p>
    <w:p w:rsidR="00FE77C9" w:rsidRPr="00FE77C9" w:rsidRDefault="00FE77C9" w:rsidP="00FE77C9">
      <w:pPr>
        <w:jc w:val="both"/>
        <w:rPr>
          <w:rFonts w:ascii="Verdana" w:hAnsi="Verdana"/>
          <w:bCs/>
          <w:sz w:val="20"/>
        </w:rPr>
      </w:pPr>
      <w:r w:rsidRPr="00FE77C9">
        <w:rPr>
          <w:rFonts w:ascii="Verdana" w:hAnsi="Verdana"/>
          <w:bCs/>
          <w:sz w:val="20"/>
        </w:rPr>
        <w:t>       S##    Sistemas de medición.</w:t>
      </w:r>
    </w:p>
    <w:p w:rsidR="00FE77C9" w:rsidRPr="00FE77C9" w:rsidRDefault="00FE77C9" w:rsidP="00FE77C9">
      <w:pPr>
        <w:jc w:val="both"/>
        <w:rPr>
          <w:rFonts w:ascii="Verdana" w:hAnsi="Verdana"/>
          <w:bCs/>
          <w:sz w:val="20"/>
        </w:rPr>
      </w:pPr>
      <w:r w:rsidRPr="00FE77C9">
        <w:rPr>
          <w:rFonts w:ascii="Verdana" w:hAnsi="Verdana"/>
          <w:b/>
          <w:bCs/>
          <w:sz w:val="20"/>
        </w:rPr>
        <w:t>5.</w:t>
      </w:r>
      <w:r w:rsidRPr="00FE77C9">
        <w:rPr>
          <w:rFonts w:ascii="Verdana" w:hAnsi="Verdana"/>
          <w:bCs/>
          <w:sz w:val="20"/>
        </w:rPr>
        <w:t>     Tipo de evento.</w:t>
      </w:r>
    </w:p>
    <w:p w:rsidR="00FE77C9" w:rsidRPr="00FE77C9" w:rsidRDefault="00FE77C9" w:rsidP="00FE77C9">
      <w:pPr>
        <w:jc w:val="both"/>
        <w:rPr>
          <w:rFonts w:ascii="Verdana" w:hAnsi="Verdana"/>
          <w:bCs/>
          <w:sz w:val="20"/>
        </w:rPr>
      </w:pPr>
      <w:r w:rsidRPr="00FE77C9">
        <w:rPr>
          <w:rFonts w:ascii="Verdana" w:hAnsi="Verdana"/>
          <w:bCs/>
          <w:sz w:val="20"/>
        </w:rPr>
        <w:t>       Ejemplos:</w:t>
      </w:r>
    </w:p>
    <w:p w:rsidR="00FE77C9" w:rsidRPr="00FE77C9" w:rsidRDefault="00FE77C9" w:rsidP="00FE77C9">
      <w:pPr>
        <w:jc w:val="both"/>
        <w:rPr>
          <w:rFonts w:ascii="Verdana" w:hAnsi="Verdana"/>
          <w:bCs/>
          <w:sz w:val="20"/>
        </w:rPr>
      </w:pPr>
      <w:r w:rsidRPr="00FE77C9">
        <w:rPr>
          <w:rFonts w:ascii="Verdana" w:hAnsi="Verdana"/>
          <w:bCs/>
          <w:sz w:val="20"/>
        </w:rPr>
        <w:t>       CAL    Problemas de calibración.</w:t>
      </w:r>
    </w:p>
    <w:p w:rsidR="00FE77C9" w:rsidRPr="00FE77C9" w:rsidRDefault="00FE77C9" w:rsidP="00FE77C9">
      <w:pPr>
        <w:jc w:val="both"/>
        <w:rPr>
          <w:rFonts w:ascii="Verdana" w:hAnsi="Verdana"/>
          <w:bCs/>
          <w:sz w:val="20"/>
        </w:rPr>
      </w:pPr>
      <w:r w:rsidRPr="00FE77C9">
        <w:rPr>
          <w:rFonts w:ascii="Verdana" w:hAnsi="Verdana"/>
          <w:bCs/>
          <w:sz w:val="20"/>
        </w:rPr>
        <w:t>       FSM    Falla en sistema de medición.</w:t>
      </w:r>
    </w:p>
    <w:p w:rsidR="00FE77C9" w:rsidRPr="00FE77C9" w:rsidRDefault="00FE77C9" w:rsidP="00FE77C9">
      <w:pPr>
        <w:jc w:val="both"/>
        <w:rPr>
          <w:rFonts w:ascii="Verdana" w:hAnsi="Verdana"/>
          <w:bCs/>
          <w:sz w:val="20"/>
        </w:rPr>
      </w:pPr>
      <w:r w:rsidRPr="00FE77C9">
        <w:rPr>
          <w:rFonts w:ascii="Verdana" w:hAnsi="Verdana"/>
          <w:bCs/>
          <w:sz w:val="20"/>
        </w:rPr>
        <w:t>       FEE    Falla de energía eléctrica.</w:t>
      </w:r>
    </w:p>
    <w:p w:rsidR="00FE77C9" w:rsidRPr="00FE77C9" w:rsidRDefault="00FE77C9" w:rsidP="00FE77C9">
      <w:pPr>
        <w:jc w:val="both"/>
        <w:rPr>
          <w:rFonts w:ascii="Verdana" w:hAnsi="Verdana"/>
          <w:bCs/>
          <w:sz w:val="20"/>
        </w:rPr>
      </w:pPr>
      <w:r w:rsidRPr="00FE77C9">
        <w:rPr>
          <w:rFonts w:ascii="Verdana" w:hAnsi="Verdana"/>
          <w:b/>
          <w:bCs/>
          <w:sz w:val="20"/>
        </w:rPr>
        <w:t>6.</w:t>
      </w:r>
      <w:r w:rsidRPr="00FE77C9">
        <w:rPr>
          <w:rFonts w:ascii="Verdana" w:hAnsi="Verdana"/>
          <w:bCs/>
          <w:sz w:val="20"/>
        </w:rPr>
        <w:t>     Descripción del evento.</w:t>
      </w:r>
    </w:p>
    <w:p w:rsidR="00FE77C9" w:rsidRPr="00FE77C9" w:rsidRDefault="00FE77C9" w:rsidP="00FE77C9">
      <w:pPr>
        <w:jc w:val="both"/>
        <w:rPr>
          <w:rFonts w:ascii="Verdana" w:hAnsi="Verdana"/>
          <w:bCs/>
          <w:sz w:val="20"/>
        </w:rPr>
      </w:pPr>
      <w:r w:rsidRPr="00FE77C9">
        <w:rPr>
          <w:rFonts w:ascii="Verdana" w:hAnsi="Verdana"/>
          <w:b/>
          <w:bCs/>
          <w:sz w:val="20"/>
        </w:rPr>
        <w:t>30.6.1.2.</w:t>
      </w:r>
      <w:r w:rsidRPr="00FE77C9">
        <w:rPr>
          <w:rFonts w:ascii="Verdana" w:hAnsi="Verdana"/>
          <w:bCs/>
          <w:sz w:val="20"/>
        </w:rPr>
        <w:t> </w:t>
      </w:r>
      <w:r w:rsidRPr="00FE77C9">
        <w:rPr>
          <w:rFonts w:ascii="Verdana" w:hAnsi="Verdana"/>
          <w:b/>
          <w:bCs/>
          <w:sz w:val="20"/>
        </w:rPr>
        <w:t>Información a recopilar.</w:t>
      </w:r>
    </w:p>
    <w:p w:rsidR="00FE77C9" w:rsidRPr="00FE77C9" w:rsidRDefault="00FE77C9" w:rsidP="00FE77C9">
      <w:pPr>
        <w:jc w:val="both"/>
        <w:rPr>
          <w:rFonts w:ascii="Verdana" w:hAnsi="Verdana"/>
          <w:bCs/>
          <w:sz w:val="20"/>
        </w:rPr>
      </w:pPr>
      <w:r w:rsidRPr="00FE77C9">
        <w:rPr>
          <w:rFonts w:ascii="Verdana" w:hAnsi="Verdana"/>
          <w:bCs/>
          <w:sz w:val="20"/>
        </w:rPr>
        <w:t>La información que debe recopilar el programa informático es la siguiente:</w:t>
      </w:r>
    </w:p>
    <w:p w:rsidR="00FE77C9" w:rsidRPr="00FE77C9" w:rsidRDefault="00FE77C9" w:rsidP="00FE77C9">
      <w:pPr>
        <w:jc w:val="both"/>
        <w:rPr>
          <w:rFonts w:ascii="Verdana" w:hAnsi="Verdana"/>
          <w:bCs/>
          <w:sz w:val="20"/>
        </w:rPr>
      </w:pPr>
      <w:r w:rsidRPr="00FE77C9">
        <w:rPr>
          <w:rFonts w:ascii="Verdana" w:hAnsi="Verdana"/>
          <w:b/>
          <w:bCs/>
          <w:sz w:val="20"/>
        </w:rPr>
        <w:t>30.6.1.2.1.</w:t>
      </w:r>
      <w:r w:rsidRPr="00FE77C9">
        <w:rPr>
          <w:rFonts w:ascii="Verdana" w:hAnsi="Verdana"/>
          <w:bCs/>
          <w:sz w:val="20"/>
        </w:rPr>
        <w:t>    </w:t>
      </w:r>
      <w:r w:rsidRPr="00FE77C9">
        <w:rPr>
          <w:rFonts w:ascii="Verdana" w:hAnsi="Verdana"/>
          <w:b/>
          <w:bCs/>
          <w:sz w:val="20"/>
        </w:rPr>
        <w:t>Datos generales.</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Identificación del contribuyente:</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Nombre, denominación o razón social.</w:t>
      </w:r>
    </w:p>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Clave en el RFC.</w:t>
      </w:r>
    </w:p>
    <w:p w:rsidR="00FE77C9" w:rsidRPr="00FE77C9" w:rsidRDefault="00FE77C9" w:rsidP="00FE77C9">
      <w:pPr>
        <w:jc w:val="both"/>
        <w:rPr>
          <w:rFonts w:ascii="Verdana" w:hAnsi="Verdana"/>
          <w:bCs/>
          <w:sz w:val="20"/>
        </w:rPr>
      </w:pPr>
      <w:r w:rsidRPr="00FE77C9">
        <w:rPr>
          <w:rFonts w:ascii="Verdana" w:hAnsi="Verdana"/>
          <w:b/>
          <w:bCs/>
          <w:sz w:val="20"/>
        </w:rPr>
        <w:lastRenderedPageBreak/>
        <w:t>c)</w:t>
      </w:r>
      <w:r w:rsidRPr="00FE77C9">
        <w:rPr>
          <w:rFonts w:ascii="Verdana" w:hAnsi="Verdana"/>
          <w:bCs/>
          <w:sz w:val="20"/>
        </w:rPr>
        <w:t>   Domicilio fiscal.</w:t>
      </w:r>
    </w:p>
    <w:p w:rsidR="00FE77C9" w:rsidRPr="00FE77C9" w:rsidRDefault="00FE77C9" w:rsidP="00FE77C9">
      <w:pPr>
        <w:jc w:val="both"/>
        <w:rPr>
          <w:rFonts w:ascii="Verdana" w:hAnsi="Verdana"/>
          <w:bCs/>
          <w:sz w:val="20"/>
        </w:rPr>
      </w:pPr>
      <w:r w:rsidRPr="00FE77C9">
        <w:rPr>
          <w:rFonts w:ascii="Verdana" w:hAnsi="Verdana"/>
          <w:b/>
          <w:bCs/>
          <w:sz w:val="20"/>
        </w:rPr>
        <w:t>d)</w:t>
      </w:r>
      <w:r w:rsidRPr="00FE77C9">
        <w:rPr>
          <w:rFonts w:ascii="Verdana" w:hAnsi="Verdana"/>
          <w:bCs/>
          <w:sz w:val="20"/>
        </w:rPr>
        <w:t>   Nombre del representante legal.</w:t>
      </w:r>
    </w:p>
    <w:p w:rsidR="00FE77C9" w:rsidRPr="00FE77C9" w:rsidRDefault="00FE77C9" w:rsidP="00FE77C9">
      <w:pPr>
        <w:jc w:val="both"/>
        <w:rPr>
          <w:rFonts w:ascii="Verdana" w:hAnsi="Verdana"/>
          <w:bCs/>
          <w:sz w:val="20"/>
        </w:rPr>
      </w:pPr>
      <w:r w:rsidRPr="00FE77C9">
        <w:rPr>
          <w:rFonts w:ascii="Verdana" w:hAnsi="Verdana"/>
          <w:b/>
          <w:bCs/>
          <w:sz w:val="20"/>
        </w:rPr>
        <w:t>II.</w:t>
      </w:r>
      <w:r w:rsidRPr="00FE77C9">
        <w:rPr>
          <w:rFonts w:ascii="Verdana" w:hAnsi="Verdana"/>
          <w:bCs/>
          <w:sz w:val="20"/>
        </w:rPr>
        <w:t>     Instalación o proceso donde deban instalarse sistemas de medición:</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Clave de identificación.</w:t>
      </w:r>
    </w:p>
    <w:p w:rsidR="00FE77C9" w:rsidRPr="00FE77C9" w:rsidRDefault="00FE77C9" w:rsidP="00FE77C9">
      <w:pPr>
        <w:jc w:val="both"/>
        <w:rPr>
          <w:rFonts w:ascii="Verdana" w:hAnsi="Verdana"/>
          <w:bCs/>
          <w:sz w:val="20"/>
        </w:rPr>
      </w:pPr>
      <w:r w:rsidRPr="00FE77C9">
        <w:rPr>
          <w:rFonts w:ascii="Verdana" w:hAnsi="Verdana"/>
          <w:bCs/>
          <w:sz w:val="20"/>
        </w:rPr>
        <w:t>      Ejemplos:</w:t>
      </w:r>
    </w:p>
    <w:p w:rsidR="00FE77C9" w:rsidRPr="00FE77C9" w:rsidRDefault="00FE77C9" w:rsidP="00FE77C9">
      <w:pPr>
        <w:jc w:val="both"/>
        <w:rPr>
          <w:rFonts w:ascii="Verdana" w:hAnsi="Verdana"/>
          <w:bCs/>
          <w:sz w:val="20"/>
        </w:rPr>
      </w:pPr>
      <w:r w:rsidRPr="00FE77C9">
        <w:rPr>
          <w:rFonts w:ascii="Verdana" w:hAnsi="Verdana"/>
          <w:bCs/>
          <w:sz w:val="20"/>
        </w:rPr>
        <w:t>      TA002        Terminal de Almacenamiento No. 002</w:t>
      </w:r>
    </w:p>
    <w:p w:rsidR="00FE77C9" w:rsidRPr="00FE77C9" w:rsidRDefault="00FE77C9" w:rsidP="00FE77C9">
      <w:pPr>
        <w:jc w:val="both"/>
        <w:rPr>
          <w:rFonts w:ascii="Verdana" w:hAnsi="Verdana"/>
          <w:bCs/>
          <w:sz w:val="20"/>
        </w:rPr>
      </w:pPr>
      <w:r w:rsidRPr="00FE77C9">
        <w:rPr>
          <w:rFonts w:ascii="Verdana" w:hAnsi="Verdana"/>
          <w:bCs/>
          <w:sz w:val="20"/>
        </w:rPr>
        <w:t>      ES023        Estación de Servicio No. 023</w:t>
      </w:r>
    </w:p>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Descripción.</w:t>
      </w:r>
    </w:p>
    <w:p w:rsidR="00FE77C9" w:rsidRPr="00FE77C9" w:rsidRDefault="00FE77C9" w:rsidP="00FE77C9">
      <w:pPr>
        <w:jc w:val="both"/>
        <w:rPr>
          <w:rFonts w:ascii="Verdana" w:hAnsi="Verdana"/>
          <w:bCs/>
          <w:sz w:val="20"/>
        </w:rPr>
      </w:pPr>
      <w:r w:rsidRPr="00FE77C9">
        <w:rPr>
          <w:rFonts w:ascii="Verdana" w:hAnsi="Verdana"/>
          <w:bCs/>
          <w:sz w:val="20"/>
        </w:rPr>
        <w:t>      Ejemplos:</w:t>
      </w:r>
    </w:p>
    <w:p w:rsidR="00FE77C9" w:rsidRPr="00FE77C9" w:rsidRDefault="00FE77C9" w:rsidP="00FE77C9">
      <w:pPr>
        <w:jc w:val="both"/>
        <w:rPr>
          <w:rFonts w:ascii="Verdana" w:hAnsi="Verdana"/>
          <w:bCs/>
          <w:sz w:val="20"/>
        </w:rPr>
      </w:pPr>
      <w:r w:rsidRPr="00FE77C9">
        <w:rPr>
          <w:rFonts w:ascii="Verdana" w:hAnsi="Verdana"/>
          <w:bCs/>
          <w:sz w:val="20"/>
        </w:rPr>
        <w:t>      Terminal de Almacenamiento de Diésel en la Refinería Salamanca.</w:t>
      </w:r>
    </w:p>
    <w:p w:rsidR="00FE77C9" w:rsidRPr="00FE77C9" w:rsidRDefault="00FE77C9" w:rsidP="00FE77C9">
      <w:pPr>
        <w:jc w:val="both"/>
        <w:rPr>
          <w:rFonts w:ascii="Verdana" w:hAnsi="Verdana"/>
          <w:bCs/>
          <w:sz w:val="20"/>
        </w:rPr>
      </w:pPr>
      <w:r w:rsidRPr="00FE77C9">
        <w:rPr>
          <w:rFonts w:ascii="Verdana" w:hAnsi="Verdana"/>
          <w:bCs/>
          <w:sz w:val="20"/>
        </w:rPr>
        <w:t>      Estación de Servicio No. 24 en Veracruz, Veracruz.</w:t>
      </w:r>
    </w:p>
    <w:p w:rsidR="00FE77C9" w:rsidRPr="00FE77C9" w:rsidRDefault="00FE77C9" w:rsidP="00FE77C9">
      <w:pPr>
        <w:jc w:val="both"/>
        <w:rPr>
          <w:rFonts w:ascii="Verdana" w:hAnsi="Verdana"/>
          <w:bCs/>
          <w:sz w:val="20"/>
        </w:rPr>
      </w:pPr>
      <w:r w:rsidRPr="00FE77C9">
        <w:rPr>
          <w:rFonts w:ascii="Verdana" w:hAnsi="Verdana"/>
          <w:b/>
          <w:bCs/>
          <w:sz w:val="20"/>
        </w:rPr>
        <w:t>c)</w:t>
      </w:r>
      <w:r w:rsidRPr="00FE77C9">
        <w:rPr>
          <w:rFonts w:ascii="Verdana" w:hAnsi="Verdana"/>
          <w:bCs/>
          <w:sz w:val="20"/>
        </w:rPr>
        <w:t>   Clave de identificación del Hidrocarburo o Petrolífero de que se trate.</w:t>
      </w:r>
    </w:p>
    <w:p w:rsidR="00FE77C9" w:rsidRPr="00FE77C9" w:rsidRDefault="00FE77C9" w:rsidP="00FE77C9">
      <w:pPr>
        <w:jc w:val="both"/>
        <w:rPr>
          <w:rFonts w:ascii="Verdana" w:hAnsi="Verdana"/>
          <w:bCs/>
          <w:sz w:val="20"/>
        </w:rPr>
      </w:pPr>
      <w:r w:rsidRPr="00FE77C9">
        <w:rPr>
          <w:rFonts w:ascii="Verdana" w:hAnsi="Verdana"/>
          <w:bCs/>
          <w:sz w:val="20"/>
        </w:rPr>
        <w:t>      Ejemplos:</w:t>
      </w:r>
    </w:p>
    <w:p w:rsidR="00FE77C9" w:rsidRPr="00FE77C9" w:rsidRDefault="00FE77C9" w:rsidP="00FE77C9">
      <w:pPr>
        <w:jc w:val="both"/>
        <w:rPr>
          <w:rFonts w:ascii="Verdana" w:hAnsi="Verdana"/>
          <w:bCs/>
          <w:sz w:val="20"/>
        </w:rPr>
      </w:pPr>
      <w:r w:rsidRPr="00FE77C9">
        <w:rPr>
          <w:rFonts w:ascii="Verdana" w:hAnsi="Verdana"/>
          <w:bCs/>
          <w:sz w:val="20"/>
        </w:rPr>
        <w:t>      P          Petróleo.</w:t>
      </w:r>
    </w:p>
    <w:p w:rsidR="00FE77C9" w:rsidRPr="00FE77C9" w:rsidRDefault="00FE77C9" w:rsidP="00FE77C9">
      <w:pPr>
        <w:jc w:val="both"/>
        <w:rPr>
          <w:rFonts w:ascii="Verdana" w:hAnsi="Verdana"/>
          <w:bCs/>
          <w:sz w:val="20"/>
        </w:rPr>
      </w:pPr>
      <w:r w:rsidRPr="00FE77C9">
        <w:rPr>
          <w:rFonts w:ascii="Verdana" w:hAnsi="Verdana"/>
          <w:bCs/>
          <w:sz w:val="20"/>
        </w:rPr>
        <w:t>      Gn        Gas Natural.</w:t>
      </w:r>
    </w:p>
    <w:p w:rsidR="00FE77C9" w:rsidRPr="00FE77C9" w:rsidRDefault="00FE77C9" w:rsidP="00FE77C9">
      <w:pPr>
        <w:jc w:val="both"/>
        <w:rPr>
          <w:rFonts w:ascii="Verdana" w:hAnsi="Verdana"/>
          <w:bCs/>
          <w:sz w:val="20"/>
        </w:rPr>
      </w:pPr>
      <w:r w:rsidRPr="00FE77C9">
        <w:rPr>
          <w:rFonts w:ascii="Verdana" w:hAnsi="Verdana"/>
          <w:bCs/>
          <w:sz w:val="20"/>
        </w:rPr>
        <w:t>      C          Condensados.</w:t>
      </w:r>
    </w:p>
    <w:p w:rsidR="00FE77C9" w:rsidRPr="00FE77C9" w:rsidRDefault="00FE77C9" w:rsidP="00FE77C9">
      <w:pPr>
        <w:jc w:val="both"/>
        <w:rPr>
          <w:rFonts w:ascii="Verdana" w:hAnsi="Verdana"/>
          <w:bCs/>
          <w:sz w:val="20"/>
        </w:rPr>
      </w:pPr>
      <w:r w:rsidRPr="00FE77C9">
        <w:rPr>
          <w:rFonts w:ascii="Verdana" w:hAnsi="Verdana"/>
          <w:bCs/>
          <w:sz w:val="20"/>
        </w:rPr>
        <w:t>      Ga        Gasolinas.</w:t>
      </w:r>
    </w:p>
    <w:p w:rsidR="00FE77C9" w:rsidRPr="00FE77C9" w:rsidRDefault="00FE77C9" w:rsidP="00FE77C9">
      <w:pPr>
        <w:jc w:val="both"/>
        <w:rPr>
          <w:rFonts w:ascii="Verdana" w:hAnsi="Verdana"/>
          <w:bCs/>
          <w:sz w:val="20"/>
        </w:rPr>
      </w:pPr>
      <w:r w:rsidRPr="00FE77C9">
        <w:rPr>
          <w:rFonts w:ascii="Verdana" w:hAnsi="Verdana"/>
          <w:bCs/>
          <w:sz w:val="20"/>
        </w:rPr>
        <w:t>      Di         Diésel.</w:t>
      </w:r>
    </w:p>
    <w:p w:rsidR="00FE77C9" w:rsidRPr="00FE77C9" w:rsidRDefault="00FE77C9" w:rsidP="00FE77C9">
      <w:pPr>
        <w:jc w:val="both"/>
        <w:rPr>
          <w:rFonts w:ascii="Verdana" w:hAnsi="Verdana"/>
          <w:bCs/>
          <w:sz w:val="20"/>
        </w:rPr>
      </w:pPr>
      <w:r w:rsidRPr="00FE77C9">
        <w:rPr>
          <w:rFonts w:ascii="Verdana" w:hAnsi="Verdana"/>
          <w:bCs/>
          <w:sz w:val="20"/>
        </w:rPr>
        <w:t>      Tu        Turbosina.</w:t>
      </w:r>
    </w:p>
    <w:p w:rsidR="00FE77C9" w:rsidRPr="00FE77C9" w:rsidRDefault="00FE77C9" w:rsidP="00FE77C9">
      <w:pPr>
        <w:jc w:val="both"/>
        <w:rPr>
          <w:rFonts w:ascii="Verdana" w:hAnsi="Verdana"/>
          <w:bCs/>
          <w:sz w:val="20"/>
        </w:rPr>
      </w:pPr>
      <w:r w:rsidRPr="00FE77C9">
        <w:rPr>
          <w:rFonts w:ascii="Verdana" w:hAnsi="Verdana"/>
          <w:bCs/>
          <w:sz w:val="20"/>
        </w:rPr>
        <w:t>      Lp        Gas licuado de petróleo.</w:t>
      </w:r>
    </w:p>
    <w:p w:rsidR="00FE77C9" w:rsidRPr="00FE77C9" w:rsidRDefault="00FE77C9" w:rsidP="00FE77C9">
      <w:pPr>
        <w:jc w:val="both"/>
        <w:rPr>
          <w:rFonts w:ascii="Verdana" w:hAnsi="Verdana"/>
          <w:bCs/>
          <w:sz w:val="20"/>
        </w:rPr>
      </w:pPr>
      <w:r w:rsidRPr="00FE77C9">
        <w:rPr>
          <w:rFonts w:ascii="Verdana" w:hAnsi="Verdana"/>
          <w:bCs/>
          <w:sz w:val="20"/>
        </w:rPr>
        <w:t>      Pr         Propano.</w:t>
      </w:r>
    </w:p>
    <w:p w:rsidR="00FE77C9" w:rsidRPr="00FE77C9" w:rsidRDefault="00FE77C9" w:rsidP="00FE77C9">
      <w:pPr>
        <w:jc w:val="both"/>
        <w:rPr>
          <w:rFonts w:ascii="Verdana" w:hAnsi="Verdana"/>
          <w:bCs/>
          <w:sz w:val="20"/>
        </w:rPr>
      </w:pPr>
      <w:r w:rsidRPr="00FE77C9">
        <w:rPr>
          <w:rFonts w:ascii="Verdana" w:hAnsi="Verdana"/>
          <w:b/>
          <w:bCs/>
          <w:sz w:val="20"/>
        </w:rPr>
        <w:t>d)</w:t>
      </w:r>
      <w:r w:rsidRPr="00FE77C9">
        <w:rPr>
          <w:rFonts w:ascii="Verdana" w:hAnsi="Verdana"/>
          <w:bCs/>
          <w:sz w:val="20"/>
        </w:rPr>
        <w:t>   Número(s) de permiso(s), expedido(s) por la CRE o la Secretaría de Energía.</w:t>
      </w:r>
    </w:p>
    <w:p w:rsidR="00FE77C9" w:rsidRPr="00FE77C9" w:rsidRDefault="00FE77C9" w:rsidP="00FE77C9">
      <w:pPr>
        <w:jc w:val="both"/>
        <w:rPr>
          <w:rFonts w:ascii="Verdana" w:hAnsi="Verdana"/>
          <w:bCs/>
          <w:sz w:val="20"/>
        </w:rPr>
      </w:pPr>
      <w:r w:rsidRPr="00FE77C9">
        <w:rPr>
          <w:rFonts w:ascii="Verdana" w:hAnsi="Verdana"/>
          <w:b/>
          <w:bCs/>
          <w:sz w:val="20"/>
        </w:rPr>
        <w:t>e)</w:t>
      </w:r>
      <w:r w:rsidRPr="00FE77C9">
        <w:rPr>
          <w:rFonts w:ascii="Verdana" w:hAnsi="Verdana"/>
          <w:bCs/>
          <w:sz w:val="20"/>
        </w:rPr>
        <w:t>   Carácter con el que actúa para efectos regulatorios.</w:t>
      </w:r>
    </w:p>
    <w:p w:rsidR="00FE77C9" w:rsidRPr="00FE77C9" w:rsidRDefault="00FE77C9" w:rsidP="00FE77C9">
      <w:pPr>
        <w:jc w:val="both"/>
        <w:rPr>
          <w:rFonts w:ascii="Verdana" w:hAnsi="Verdana"/>
          <w:bCs/>
          <w:sz w:val="20"/>
        </w:rPr>
      </w:pPr>
      <w:r w:rsidRPr="00FE77C9">
        <w:rPr>
          <w:rFonts w:ascii="Verdana" w:hAnsi="Verdana"/>
          <w:bCs/>
          <w:sz w:val="20"/>
        </w:rPr>
        <w:t> </w:t>
      </w:r>
    </w:p>
    <w:p w:rsidR="00FE77C9" w:rsidRPr="00FE77C9" w:rsidRDefault="00FE77C9" w:rsidP="00FE77C9">
      <w:pPr>
        <w:jc w:val="both"/>
        <w:rPr>
          <w:rFonts w:ascii="Verdana" w:hAnsi="Verdana"/>
          <w:bCs/>
          <w:sz w:val="20"/>
        </w:rPr>
      </w:pPr>
      <w:r w:rsidRPr="00FE77C9">
        <w:rPr>
          <w:rFonts w:ascii="Verdana" w:hAnsi="Verdana"/>
          <w:b/>
          <w:bCs/>
          <w:sz w:val="20"/>
        </w:rPr>
        <w:t>III.</w:t>
      </w:r>
      <w:r w:rsidRPr="00FE77C9">
        <w:rPr>
          <w:rFonts w:ascii="Verdana" w:hAnsi="Verdana"/>
          <w:bCs/>
          <w:sz w:val="20"/>
        </w:rPr>
        <w:t>    Equipos:</w:t>
      </w:r>
    </w:p>
    <w:p w:rsidR="00FE77C9" w:rsidRPr="00FE77C9" w:rsidRDefault="00FE77C9" w:rsidP="00FE77C9">
      <w:pPr>
        <w:jc w:val="both"/>
        <w:rPr>
          <w:rFonts w:ascii="Verdana" w:hAnsi="Verdana"/>
          <w:bCs/>
          <w:sz w:val="20"/>
        </w:rPr>
      </w:pPr>
      <w:r w:rsidRPr="00FE77C9">
        <w:rPr>
          <w:rFonts w:ascii="Verdana" w:hAnsi="Verdana"/>
          <w:bCs/>
          <w:sz w:val="20"/>
        </w:rPr>
        <w:t>       Todos los equipos o componentes utilizados para llevar el control volumétrico deben tener un código de identificación único y generado de manera automática al momento de darse de alta.</w:t>
      </w:r>
    </w:p>
    <w:p w:rsidR="00FE77C9" w:rsidRPr="00FE77C9" w:rsidRDefault="00FE77C9" w:rsidP="00FE77C9">
      <w:pPr>
        <w:jc w:val="both"/>
        <w:rPr>
          <w:rFonts w:ascii="Verdana" w:hAnsi="Verdana"/>
          <w:bCs/>
          <w:sz w:val="20"/>
        </w:rPr>
      </w:pPr>
      <w:r w:rsidRPr="00FE77C9">
        <w:rPr>
          <w:rFonts w:ascii="Verdana" w:hAnsi="Verdana"/>
          <w:bCs/>
          <w:sz w:val="20"/>
        </w:rPr>
        <w:lastRenderedPageBreak/>
        <w:t>       La información que se debe recopilar es la siguiente:</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Sistemas de medición:</w:t>
      </w:r>
    </w:p>
    <w:p w:rsidR="00FE77C9" w:rsidRPr="00FE77C9" w:rsidRDefault="00FE77C9" w:rsidP="00FE77C9">
      <w:pPr>
        <w:jc w:val="both"/>
        <w:rPr>
          <w:rFonts w:ascii="Verdana" w:hAnsi="Verdana"/>
          <w:bCs/>
          <w:sz w:val="20"/>
        </w:rPr>
      </w:pPr>
      <w:r w:rsidRPr="00FE77C9">
        <w:rPr>
          <w:rFonts w:ascii="Verdana" w:hAnsi="Verdana"/>
          <w:b/>
          <w:bCs/>
          <w:sz w:val="20"/>
        </w:rPr>
        <w:t>1.</w:t>
      </w:r>
      <w:r w:rsidRPr="00FE77C9">
        <w:rPr>
          <w:rFonts w:ascii="Verdana" w:hAnsi="Verdana"/>
          <w:bCs/>
          <w:sz w:val="20"/>
        </w:rPr>
        <w:t>     Clave de identificación.</w:t>
      </w:r>
    </w:p>
    <w:p w:rsidR="00FE77C9" w:rsidRPr="00FE77C9" w:rsidRDefault="00FE77C9" w:rsidP="00FE77C9">
      <w:pPr>
        <w:jc w:val="both"/>
        <w:rPr>
          <w:rFonts w:ascii="Verdana" w:hAnsi="Verdana"/>
          <w:bCs/>
          <w:sz w:val="20"/>
        </w:rPr>
      </w:pPr>
      <w:r w:rsidRPr="00FE77C9">
        <w:rPr>
          <w:rFonts w:ascii="Verdana" w:hAnsi="Verdana"/>
          <w:bCs/>
          <w:sz w:val="20"/>
        </w:rPr>
        <w:t>       Ejemplos:</w:t>
      </w:r>
    </w:p>
    <w:p w:rsidR="00FE77C9" w:rsidRPr="00FE77C9" w:rsidRDefault="00FE77C9" w:rsidP="00FE77C9">
      <w:pPr>
        <w:jc w:val="both"/>
        <w:rPr>
          <w:rFonts w:ascii="Verdana" w:hAnsi="Verdana"/>
          <w:bCs/>
          <w:sz w:val="20"/>
        </w:rPr>
      </w:pPr>
      <w:r w:rsidRPr="00FE77C9">
        <w:rPr>
          <w:rFonts w:ascii="Verdana" w:hAnsi="Verdana"/>
          <w:bCs/>
          <w:sz w:val="20"/>
        </w:rPr>
        <w:t>       SME01 Sistema de Medición estática número 01.</w:t>
      </w:r>
    </w:p>
    <w:p w:rsidR="00FE77C9" w:rsidRPr="00FE77C9" w:rsidRDefault="00FE77C9" w:rsidP="00FE77C9">
      <w:pPr>
        <w:jc w:val="both"/>
        <w:rPr>
          <w:rFonts w:ascii="Verdana" w:hAnsi="Verdana"/>
          <w:bCs/>
          <w:sz w:val="20"/>
        </w:rPr>
      </w:pPr>
      <w:r w:rsidRPr="00FE77C9">
        <w:rPr>
          <w:rFonts w:ascii="Verdana" w:hAnsi="Verdana"/>
          <w:bCs/>
          <w:sz w:val="20"/>
        </w:rPr>
        <w:t>       SMD07 Sistema de Medición dinámica número 07.</w:t>
      </w:r>
    </w:p>
    <w:p w:rsidR="00FE77C9" w:rsidRPr="00FE77C9" w:rsidRDefault="00FE77C9" w:rsidP="00FE77C9">
      <w:pPr>
        <w:jc w:val="both"/>
        <w:rPr>
          <w:rFonts w:ascii="Verdana" w:hAnsi="Verdana"/>
          <w:bCs/>
          <w:sz w:val="20"/>
        </w:rPr>
      </w:pPr>
      <w:r w:rsidRPr="00FE77C9">
        <w:rPr>
          <w:rFonts w:ascii="Verdana" w:hAnsi="Verdana"/>
          <w:bCs/>
          <w:sz w:val="20"/>
        </w:rPr>
        <w:t>       M2D03 Manguera 2 del dispensario 03.</w:t>
      </w:r>
    </w:p>
    <w:p w:rsidR="00FE77C9" w:rsidRPr="00FE77C9" w:rsidRDefault="00FE77C9" w:rsidP="00FE77C9">
      <w:pPr>
        <w:jc w:val="both"/>
        <w:rPr>
          <w:rFonts w:ascii="Verdana" w:hAnsi="Verdana"/>
          <w:bCs/>
          <w:sz w:val="20"/>
        </w:rPr>
      </w:pPr>
      <w:r w:rsidRPr="00FE77C9">
        <w:rPr>
          <w:rFonts w:ascii="Verdana" w:hAnsi="Verdana"/>
          <w:b/>
          <w:bCs/>
          <w:sz w:val="20"/>
        </w:rPr>
        <w:t>2.</w:t>
      </w:r>
      <w:r w:rsidRPr="00FE77C9">
        <w:rPr>
          <w:rFonts w:ascii="Verdana" w:hAnsi="Verdana"/>
          <w:bCs/>
          <w:sz w:val="20"/>
        </w:rPr>
        <w:t>     Localización y/o descripción.</w:t>
      </w:r>
    </w:p>
    <w:p w:rsidR="00FE77C9" w:rsidRPr="00FE77C9" w:rsidRDefault="00FE77C9" w:rsidP="00FE77C9">
      <w:pPr>
        <w:jc w:val="both"/>
        <w:rPr>
          <w:rFonts w:ascii="Verdana" w:hAnsi="Verdana"/>
          <w:bCs/>
          <w:sz w:val="20"/>
        </w:rPr>
      </w:pPr>
      <w:r w:rsidRPr="00FE77C9">
        <w:rPr>
          <w:rFonts w:ascii="Verdana" w:hAnsi="Verdana"/>
          <w:bCs/>
          <w:sz w:val="20"/>
        </w:rPr>
        <w:t>       Ejemplos:</w:t>
      </w:r>
    </w:p>
    <w:p w:rsidR="00FE77C9" w:rsidRPr="00FE77C9" w:rsidRDefault="00FE77C9" w:rsidP="00FE77C9">
      <w:pPr>
        <w:jc w:val="both"/>
        <w:rPr>
          <w:rFonts w:ascii="Verdana" w:hAnsi="Verdana"/>
          <w:bCs/>
          <w:sz w:val="20"/>
        </w:rPr>
      </w:pPr>
      <w:r w:rsidRPr="00FE77C9">
        <w:rPr>
          <w:rFonts w:ascii="Verdana" w:hAnsi="Verdana"/>
          <w:bCs/>
          <w:sz w:val="20"/>
        </w:rPr>
        <w:t>       Llegada a tanque de almacenamiento vertical TAV03.</w:t>
      </w:r>
    </w:p>
    <w:p w:rsidR="00FE77C9" w:rsidRPr="00FE77C9" w:rsidRDefault="00FE77C9" w:rsidP="00FE77C9">
      <w:pPr>
        <w:jc w:val="both"/>
        <w:rPr>
          <w:rFonts w:ascii="Verdana" w:hAnsi="Verdana"/>
          <w:bCs/>
          <w:sz w:val="20"/>
        </w:rPr>
      </w:pPr>
      <w:r w:rsidRPr="00FE77C9">
        <w:rPr>
          <w:rFonts w:ascii="Verdana" w:hAnsi="Verdana"/>
          <w:bCs/>
          <w:sz w:val="20"/>
        </w:rPr>
        <w:t>       Manguera 2 del dispensario de gasolina 03.</w:t>
      </w:r>
    </w:p>
    <w:p w:rsidR="00FE77C9" w:rsidRPr="00FE77C9" w:rsidRDefault="00FE77C9" w:rsidP="00FE77C9">
      <w:pPr>
        <w:jc w:val="both"/>
        <w:rPr>
          <w:rFonts w:ascii="Verdana" w:hAnsi="Verdana"/>
          <w:bCs/>
          <w:sz w:val="20"/>
        </w:rPr>
      </w:pPr>
      <w:r w:rsidRPr="00FE77C9">
        <w:rPr>
          <w:rFonts w:ascii="Verdana" w:hAnsi="Verdana"/>
          <w:b/>
          <w:bCs/>
          <w:sz w:val="20"/>
        </w:rPr>
        <w:t>3.</w:t>
      </w:r>
      <w:r w:rsidRPr="00FE77C9">
        <w:rPr>
          <w:rFonts w:ascii="Verdana" w:hAnsi="Verdana"/>
          <w:bCs/>
          <w:sz w:val="20"/>
        </w:rPr>
        <w:t>     Vigencia de Calibración.</w:t>
      </w:r>
    </w:p>
    <w:p w:rsidR="00FE77C9" w:rsidRPr="00FE77C9" w:rsidRDefault="00FE77C9" w:rsidP="00FE77C9">
      <w:pPr>
        <w:jc w:val="both"/>
        <w:rPr>
          <w:rFonts w:ascii="Verdana" w:hAnsi="Verdana"/>
          <w:bCs/>
          <w:sz w:val="20"/>
        </w:rPr>
      </w:pPr>
      <w:r w:rsidRPr="00FE77C9">
        <w:rPr>
          <w:rFonts w:ascii="Verdana" w:hAnsi="Verdana"/>
          <w:b/>
          <w:bCs/>
          <w:sz w:val="20"/>
        </w:rPr>
        <w:t>4.</w:t>
      </w:r>
      <w:r w:rsidRPr="00FE77C9">
        <w:rPr>
          <w:rFonts w:ascii="Verdana" w:hAnsi="Verdana"/>
          <w:bCs/>
          <w:sz w:val="20"/>
        </w:rPr>
        <w:t>     Incertidumbre de la medición.</w:t>
      </w:r>
    </w:p>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Medio de almacenamiento:</w:t>
      </w:r>
    </w:p>
    <w:p w:rsidR="00FE77C9" w:rsidRPr="00FE77C9" w:rsidRDefault="00FE77C9" w:rsidP="00FE77C9">
      <w:pPr>
        <w:jc w:val="both"/>
        <w:rPr>
          <w:rFonts w:ascii="Verdana" w:hAnsi="Verdana"/>
          <w:bCs/>
          <w:sz w:val="20"/>
        </w:rPr>
      </w:pPr>
      <w:r w:rsidRPr="00FE77C9">
        <w:rPr>
          <w:rFonts w:ascii="Verdana" w:hAnsi="Verdana"/>
          <w:b/>
          <w:bCs/>
          <w:sz w:val="20"/>
        </w:rPr>
        <w:t>1.</w:t>
      </w:r>
      <w:r w:rsidRPr="00FE77C9">
        <w:rPr>
          <w:rFonts w:ascii="Verdana" w:hAnsi="Verdana"/>
          <w:bCs/>
          <w:sz w:val="20"/>
        </w:rPr>
        <w:t>     Clave de identificación.</w:t>
      </w:r>
    </w:p>
    <w:p w:rsidR="00FE77C9" w:rsidRPr="00FE77C9" w:rsidRDefault="00FE77C9" w:rsidP="00FE77C9">
      <w:pPr>
        <w:jc w:val="both"/>
        <w:rPr>
          <w:rFonts w:ascii="Verdana" w:hAnsi="Verdana"/>
          <w:bCs/>
          <w:sz w:val="20"/>
        </w:rPr>
      </w:pPr>
      <w:r w:rsidRPr="00FE77C9">
        <w:rPr>
          <w:rFonts w:ascii="Verdana" w:hAnsi="Verdana"/>
          <w:bCs/>
          <w:sz w:val="20"/>
        </w:rPr>
        <w:t>       Ejemplos:</w:t>
      </w:r>
    </w:p>
    <w:p w:rsidR="00FE77C9" w:rsidRPr="00FE77C9" w:rsidRDefault="00FE77C9" w:rsidP="00FE77C9">
      <w:pPr>
        <w:jc w:val="both"/>
        <w:rPr>
          <w:rFonts w:ascii="Verdana" w:hAnsi="Verdana"/>
          <w:bCs/>
          <w:sz w:val="20"/>
        </w:rPr>
      </w:pPr>
      <w:r w:rsidRPr="00FE77C9">
        <w:rPr>
          <w:rFonts w:ascii="Verdana" w:hAnsi="Verdana"/>
          <w:bCs/>
          <w:sz w:val="20"/>
        </w:rPr>
        <w:t>       TAV01 Tanque de almacenamiento vertical 01.</w:t>
      </w:r>
    </w:p>
    <w:p w:rsidR="00FE77C9" w:rsidRPr="00FE77C9" w:rsidRDefault="00FE77C9" w:rsidP="00FE77C9">
      <w:pPr>
        <w:jc w:val="both"/>
        <w:rPr>
          <w:rFonts w:ascii="Verdana" w:hAnsi="Verdana"/>
          <w:bCs/>
          <w:sz w:val="20"/>
        </w:rPr>
      </w:pPr>
      <w:r w:rsidRPr="00FE77C9">
        <w:rPr>
          <w:rFonts w:ascii="Verdana" w:hAnsi="Verdana"/>
          <w:b/>
          <w:bCs/>
          <w:sz w:val="20"/>
        </w:rPr>
        <w:t>2.</w:t>
      </w:r>
      <w:r w:rsidRPr="00FE77C9">
        <w:rPr>
          <w:rFonts w:ascii="Verdana" w:hAnsi="Verdana"/>
          <w:bCs/>
          <w:sz w:val="20"/>
        </w:rPr>
        <w:t>     Localización y/o descripción.</w:t>
      </w:r>
    </w:p>
    <w:p w:rsidR="00FE77C9" w:rsidRPr="00FE77C9" w:rsidRDefault="00FE77C9" w:rsidP="00FE77C9">
      <w:pPr>
        <w:jc w:val="both"/>
        <w:rPr>
          <w:rFonts w:ascii="Verdana" w:hAnsi="Verdana"/>
          <w:bCs/>
          <w:sz w:val="20"/>
        </w:rPr>
      </w:pPr>
      <w:r w:rsidRPr="00FE77C9">
        <w:rPr>
          <w:rFonts w:ascii="Verdana" w:hAnsi="Verdana"/>
          <w:bCs/>
          <w:sz w:val="20"/>
        </w:rPr>
        <w:t>       Ejemplos:</w:t>
      </w:r>
    </w:p>
    <w:p w:rsidR="00FE77C9" w:rsidRPr="00FE77C9" w:rsidRDefault="00FE77C9" w:rsidP="00FE77C9">
      <w:pPr>
        <w:jc w:val="both"/>
        <w:rPr>
          <w:rFonts w:ascii="Verdana" w:hAnsi="Verdana"/>
          <w:bCs/>
          <w:sz w:val="20"/>
        </w:rPr>
      </w:pPr>
      <w:r w:rsidRPr="00FE77C9">
        <w:rPr>
          <w:rFonts w:ascii="Verdana" w:hAnsi="Verdana"/>
          <w:bCs/>
          <w:sz w:val="20"/>
        </w:rPr>
        <w:t>       Terminal de almacenamiento Pajaritos.</w:t>
      </w:r>
    </w:p>
    <w:p w:rsidR="00FE77C9" w:rsidRPr="00FE77C9" w:rsidRDefault="00FE77C9" w:rsidP="00FE77C9">
      <w:pPr>
        <w:jc w:val="both"/>
        <w:rPr>
          <w:rFonts w:ascii="Verdana" w:hAnsi="Verdana"/>
          <w:bCs/>
          <w:sz w:val="20"/>
        </w:rPr>
      </w:pPr>
      <w:r w:rsidRPr="00FE77C9">
        <w:rPr>
          <w:rFonts w:ascii="Verdana" w:hAnsi="Verdana"/>
          <w:bCs/>
          <w:sz w:val="20"/>
        </w:rPr>
        <w:t>       Tanque de gasolina premium.</w:t>
      </w:r>
    </w:p>
    <w:p w:rsidR="00FE77C9" w:rsidRPr="00FE77C9" w:rsidRDefault="00FE77C9" w:rsidP="00FE77C9">
      <w:pPr>
        <w:jc w:val="both"/>
        <w:rPr>
          <w:rFonts w:ascii="Verdana" w:hAnsi="Verdana"/>
          <w:bCs/>
          <w:sz w:val="20"/>
        </w:rPr>
      </w:pPr>
      <w:r w:rsidRPr="00FE77C9">
        <w:rPr>
          <w:rFonts w:ascii="Verdana" w:hAnsi="Verdana"/>
          <w:bCs/>
          <w:sz w:val="20"/>
        </w:rPr>
        <w:t>       Crudo para exportación Dos Bocas.</w:t>
      </w:r>
    </w:p>
    <w:p w:rsidR="00FE77C9" w:rsidRPr="00FE77C9" w:rsidRDefault="00FE77C9" w:rsidP="00FE77C9">
      <w:pPr>
        <w:jc w:val="both"/>
        <w:rPr>
          <w:rFonts w:ascii="Verdana" w:hAnsi="Verdana"/>
          <w:bCs/>
          <w:sz w:val="20"/>
        </w:rPr>
      </w:pPr>
      <w:r w:rsidRPr="00FE77C9">
        <w:rPr>
          <w:rFonts w:ascii="Verdana" w:hAnsi="Verdana"/>
          <w:b/>
          <w:bCs/>
          <w:sz w:val="20"/>
        </w:rPr>
        <w:t>3.</w:t>
      </w:r>
      <w:r w:rsidRPr="00FE77C9">
        <w:rPr>
          <w:rFonts w:ascii="Verdana" w:hAnsi="Verdana"/>
          <w:bCs/>
          <w:sz w:val="20"/>
        </w:rPr>
        <w:t>     Capacidad total de almacenamiento.</w:t>
      </w:r>
    </w:p>
    <w:p w:rsidR="00FE77C9" w:rsidRPr="00FE77C9" w:rsidRDefault="00FE77C9" w:rsidP="00FE77C9">
      <w:pPr>
        <w:jc w:val="both"/>
        <w:rPr>
          <w:rFonts w:ascii="Verdana" w:hAnsi="Verdana"/>
          <w:bCs/>
          <w:sz w:val="20"/>
        </w:rPr>
      </w:pPr>
      <w:r w:rsidRPr="00FE77C9">
        <w:rPr>
          <w:rFonts w:ascii="Verdana" w:hAnsi="Verdana"/>
          <w:b/>
          <w:bCs/>
          <w:sz w:val="20"/>
        </w:rPr>
        <w:t>4.</w:t>
      </w:r>
      <w:r w:rsidRPr="00FE77C9">
        <w:rPr>
          <w:rFonts w:ascii="Verdana" w:hAnsi="Verdana"/>
          <w:bCs/>
          <w:sz w:val="20"/>
        </w:rPr>
        <w:t>     Vigencia de Calibración.</w:t>
      </w:r>
    </w:p>
    <w:p w:rsidR="00FE77C9" w:rsidRPr="00FE77C9" w:rsidRDefault="00FE77C9" w:rsidP="00FE77C9">
      <w:pPr>
        <w:jc w:val="both"/>
        <w:rPr>
          <w:rFonts w:ascii="Verdana" w:hAnsi="Verdana"/>
          <w:bCs/>
          <w:sz w:val="20"/>
        </w:rPr>
      </w:pPr>
      <w:r w:rsidRPr="00FE77C9">
        <w:rPr>
          <w:rFonts w:ascii="Verdana" w:hAnsi="Verdana"/>
          <w:b/>
          <w:bCs/>
          <w:sz w:val="20"/>
        </w:rPr>
        <w:t>c)</w:t>
      </w:r>
      <w:r w:rsidRPr="00FE77C9">
        <w:rPr>
          <w:rFonts w:ascii="Verdana" w:hAnsi="Verdana"/>
          <w:bCs/>
          <w:sz w:val="20"/>
        </w:rPr>
        <w:t>   Ductos para transporte o distribución:</w:t>
      </w:r>
    </w:p>
    <w:p w:rsidR="00FE77C9" w:rsidRPr="00FE77C9" w:rsidRDefault="00FE77C9" w:rsidP="00FE77C9">
      <w:pPr>
        <w:jc w:val="both"/>
        <w:rPr>
          <w:rFonts w:ascii="Verdana" w:hAnsi="Verdana"/>
          <w:bCs/>
          <w:sz w:val="20"/>
        </w:rPr>
      </w:pPr>
      <w:r w:rsidRPr="00FE77C9">
        <w:rPr>
          <w:rFonts w:ascii="Verdana" w:hAnsi="Verdana"/>
          <w:b/>
          <w:bCs/>
          <w:sz w:val="20"/>
        </w:rPr>
        <w:t>1.</w:t>
      </w:r>
      <w:r w:rsidRPr="00FE77C9">
        <w:rPr>
          <w:rFonts w:ascii="Verdana" w:hAnsi="Verdana"/>
          <w:bCs/>
          <w:sz w:val="20"/>
        </w:rPr>
        <w:t>     Clave de identificación.</w:t>
      </w:r>
    </w:p>
    <w:p w:rsidR="00FE77C9" w:rsidRPr="00FE77C9" w:rsidRDefault="00FE77C9" w:rsidP="00FE77C9">
      <w:pPr>
        <w:jc w:val="both"/>
        <w:rPr>
          <w:rFonts w:ascii="Verdana" w:hAnsi="Verdana"/>
          <w:bCs/>
          <w:sz w:val="20"/>
        </w:rPr>
      </w:pPr>
      <w:r w:rsidRPr="00FE77C9">
        <w:rPr>
          <w:rFonts w:ascii="Verdana" w:hAnsi="Verdana"/>
          <w:bCs/>
          <w:sz w:val="20"/>
        </w:rPr>
        <w:t>       Ejemplos:</w:t>
      </w:r>
    </w:p>
    <w:p w:rsidR="00FE77C9" w:rsidRPr="00FE77C9" w:rsidRDefault="00FE77C9" w:rsidP="00FE77C9">
      <w:pPr>
        <w:jc w:val="both"/>
        <w:rPr>
          <w:rFonts w:ascii="Verdana" w:hAnsi="Verdana"/>
          <w:bCs/>
          <w:sz w:val="20"/>
        </w:rPr>
      </w:pPr>
      <w:r w:rsidRPr="00FE77C9">
        <w:rPr>
          <w:rFonts w:ascii="Verdana" w:hAnsi="Verdana"/>
          <w:bCs/>
          <w:sz w:val="20"/>
        </w:rPr>
        <w:lastRenderedPageBreak/>
        <w:t>       ODR01           Oleoducto de recepción 01.</w:t>
      </w:r>
    </w:p>
    <w:p w:rsidR="00FE77C9" w:rsidRPr="00FE77C9" w:rsidRDefault="00FE77C9" w:rsidP="00FE77C9">
      <w:pPr>
        <w:jc w:val="both"/>
        <w:rPr>
          <w:rFonts w:ascii="Verdana" w:hAnsi="Verdana"/>
          <w:bCs/>
          <w:sz w:val="20"/>
        </w:rPr>
      </w:pPr>
      <w:r w:rsidRPr="00FE77C9">
        <w:rPr>
          <w:rFonts w:ascii="Verdana" w:hAnsi="Verdana"/>
          <w:bCs/>
          <w:sz w:val="20"/>
        </w:rPr>
        <w:t>       GDE04           Gasoducto de entrega 04.</w:t>
      </w:r>
    </w:p>
    <w:p w:rsidR="00FE77C9" w:rsidRPr="00FE77C9" w:rsidRDefault="00FE77C9" w:rsidP="00FE77C9">
      <w:pPr>
        <w:jc w:val="both"/>
        <w:rPr>
          <w:rFonts w:ascii="Verdana" w:hAnsi="Verdana"/>
          <w:bCs/>
          <w:sz w:val="20"/>
        </w:rPr>
      </w:pPr>
      <w:r w:rsidRPr="00FE77C9">
        <w:rPr>
          <w:rFonts w:ascii="Verdana" w:hAnsi="Verdana"/>
          <w:bCs/>
          <w:sz w:val="20"/>
        </w:rPr>
        <w:t>       PDR02           Poliducto de recepción 02.</w:t>
      </w:r>
    </w:p>
    <w:p w:rsidR="00FE77C9" w:rsidRPr="00FE77C9" w:rsidRDefault="00FE77C9" w:rsidP="00FE77C9">
      <w:pPr>
        <w:jc w:val="both"/>
        <w:rPr>
          <w:rFonts w:ascii="Verdana" w:hAnsi="Verdana"/>
          <w:bCs/>
          <w:sz w:val="20"/>
        </w:rPr>
      </w:pPr>
      <w:r w:rsidRPr="00FE77C9">
        <w:rPr>
          <w:rFonts w:ascii="Verdana" w:hAnsi="Verdana"/>
          <w:b/>
          <w:bCs/>
          <w:sz w:val="20"/>
        </w:rPr>
        <w:t>2.</w:t>
      </w:r>
      <w:r w:rsidRPr="00FE77C9">
        <w:rPr>
          <w:rFonts w:ascii="Verdana" w:hAnsi="Verdana"/>
          <w:bCs/>
          <w:sz w:val="20"/>
        </w:rPr>
        <w:t>     Descripción.</w:t>
      </w:r>
    </w:p>
    <w:p w:rsidR="00FE77C9" w:rsidRPr="00FE77C9" w:rsidRDefault="00FE77C9" w:rsidP="00FE77C9">
      <w:pPr>
        <w:jc w:val="both"/>
        <w:rPr>
          <w:rFonts w:ascii="Verdana" w:hAnsi="Verdana"/>
          <w:bCs/>
          <w:sz w:val="20"/>
        </w:rPr>
      </w:pPr>
      <w:r w:rsidRPr="00FE77C9">
        <w:rPr>
          <w:rFonts w:ascii="Verdana" w:hAnsi="Verdana"/>
          <w:bCs/>
          <w:sz w:val="20"/>
        </w:rPr>
        <w:t>       Ejemplos:</w:t>
      </w:r>
    </w:p>
    <w:p w:rsidR="00FE77C9" w:rsidRPr="00FE77C9" w:rsidRDefault="00FE77C9" w:rsidP="00FE77C9">
      <w:pPr>
        <w:jc w:val="both"/>
        <w:rPr>
          <w:rFonts w:ascii="Verdana" w:hAnsi="Verdana"/>
          <w:bCs/>
          <w:sz w:val="20"/>
        </w:rPr>
      </w:pPr>
      <w:r w:rsidRPr="00FE77C9">
        <w:rPr>
          <w:rFonts w:ascii="Verdana" w:hAnsi="Verdana"/>
          <w:bCs/>
          <w:sz w:val="20"/>
        </w:rPr>
        <w:t>       Llegada de centro procesador de gas.</w:t>
      </w:r>
    </w:p>
    <w:p w:rsidR="00FE77C9" w:rsidRPr="00FE77C9" w:rsidRDefault="00FE77C9" w:rsidP="00FE77C9">
      <w:pPr>
        <w:jc w:val="both"/>
        <w:rPr>
          <w:rFonts w:ascii="Verdana" w:hAnsi="Verdana"/>
          <w:bCs/>
          <w:sz w:val="20"/>
        </w:rPr>
      </w:pPr>
      <w:r w:rsidRPr="00FE77C9">
        <w:rPr>
          <w:rFonts w:ascii="Verdana" w:hAnsi="Verdana"/>
          <w:bCs/>
          <w:sz w:val="20"/>
        </w:rPr>
        <w:t>       Salida de crudo ligero para exportación.</w:t>
      </w:r>
    </w:p>
    <w:p w:rsidR="00FE77C9" w:rsidRPr="00FE77C9" w:rsidRDefault="00FE77C9" w:rsidP="00FE77C9">
      <w:pPr>
        <w:jc w:val="both"/>
        <w:rPr>
          <w:rFonts w:ascii="Verdana" w:hAnsi="Verdana"/>
          <w:bCs/>
          <w:sz w:val="20"/>
        </w:rPr>
      </w:pPr>
      <w:r w:rsidRPr="00FE77C9">
        <w:rPr>
          <w:rFonts w:ascii="Verdana" w:hAnsi="Verdana"/>
          <w:b/>
          <w:bCs/>
          <w:sz w:val="20"/>
        </w:rPr>
        <w:t>3.</w:t>
      </w:r>
      <w:r w:rsidRPr="00FE77C9">
        <w:rPr>
          <w:rFonts w:ascii="Verdana" w:hAnsi="Verdana"/>
          <w:bCs/>
          <w:sz w:val="20"/>
        </w:rPr>
        <w:t>     Diámetro nominal, en pulgadas.</w:t>
      </w:r>
    </w:p>
    <w:p w:rsidR="00FE77C9" w:rsidRPr="00FE77C9" w:rsidRDefault="00FE77C9" w:rsidP="00FE77C9">
      <w:pPr>
        <w:jc w:val="both"/>
        <w:rPr>
          <w:rFonts w:ascii="Verdana" w:hAnsi="Verdana"/>
          <w:bCs/>
          <w:sz w:val="20"/>
        </w:rPr>
      </w:pPr>
      <w:r w:rsidRPr="00FE77C9">
        <w:rPr>
          <w:rFonts w:ascii="Verdana" w:hAnsi="Verdana"/>
          <w:b/>
          <w:bCs/>
          <w:sz w:val="20"/>
        </w:rPr>
        <w:t>d)</w:t>
      </w:r>
      <w:r w:rsidRPr="00FE77C9">
        <w:rPr>
          <w:rFonts w:ascii="Verdana" w:hAnsi="Verdana"/>
          <w:bCs/>
          <w:sz w:val="20"/>
        </w:rPr>
        <w:t>   Medios distintos a ductos, para transporte o distribución:</w:t>
      </w:r>
    </w:p>
    <w:p w:rsidR="00FE77C9" w:rsidRPr="00FE77C9" w:rsidRDefault="00FE77C9" w:rsidP="00FE77C9">
      <w:pPr>
        <w:jc w:val="both"/>
        <w:rPr>
          <w:rFonts w:ascii="Verdana" w:hAnsi="Verdana"/>
          <w:bCs/>
          <w:sz w:val="20"/>
        </w:rPr>
      </w:pPr>
      <w:r w:rsidRPr="00FE77C9">
        <w:rPr>
          <w:rFonts w:ascii="Verdana" w:hAnsi="Verdana"/>
          <w:b/>
          <w:bCs/>
          <w:sz w:val="20"/>
        </w:rPr>
        <w:t>1.</w:t>
      </w:r>
      <w:r w:rsidRPr="00FE77C9">
        <w:rPr>
          <w:rFonts w:ascii="Verdana" w:hAnsi="Verdana"/>
          <w:bCs/>
          <w:sz w:val="20"/>
        </w:rPr>
        <w:t>     Clave de identificación.</w:t>
      </w:r>
    </w:p>
    <w:p w:rsidR="00FE77C9" w:rsidRPr="00FE77C9" w:rsidRDefault="00FE77C9" w:rsidP="00FE77C9">
      <w:pPr>
        <w:jc w:val="both"/>
        <w:rPr>
          <w:rFonts w:ascii="Verdana" w:hAnsi="Verdana"/>
          <w:bCs/>
          <w:sz w:val="20"/>
        </w:rPr>
      </w:pPr>
      <w:r w:rsidRPr="00FE77C9">
        <w:rPr>
          <w:rFonts w:ascii="Verdana" w:hAnsi="Verdana"/>
          <w:bCs/>
          <w:sz w:val="20"/>
        </w:rPr>
        <w:t>       Ejemplos:</w:t>
      </w:r>
    </w:p>
    <w:p w:rsidR="00FE77C9" w:rsidRPr="00FE77C9" w:rsidRDefault="00FE77C9" w:rsidP="00FE77C9">
      <w:pPr>
        <w:jc w:val="both"/>
        <w:rPr>
          <w:rFonts w:ascii="Verdana" w:hAnsi="Verdana"/>
          <w:bCs/>
          <w:sz w:val="20"/>
        </w:rPr>
      </w:pPr>
      <w:r w:rsidRPr="00FE77C9">
        <w:rPr>
          <w:rFonts w:ascii="Verdana" w:hAnsi="Verdana"/>
          <w:bCs/>
          <w:sz w:val="20"/>
        </w:rPr>
        <w:t>       ATA01 Autotanque atmosférico 01.</w:t>
      </w:r>
    </w:p>
    <w:p w:rsidR="00FE77C9" w:rsidRPr="00FE77C9" w:rsidRDefault="00FE77C9" w:rsidP="00FE77C9">
      <w:pPr>
        <w:jc w:val="both"/>
        <w:rPr>
          <w:rFonts w:ascii="Verdana" w:hAnsi="Verdana"/>
          <w:bCs/>
          <w:sz w:val="20"/>
        </w:rPr>
      </w:pPr>
      <w:r w:rsidRPr="00FE77C9">
        <w:rPr>
          <w:rFonts w:ascii="Verdana" w:hAnsi="Verdana"/>
          <w:bCs/>
          <w:sz w:val="20"/>
        </w:rPr>
        <w:t>       CTP03 Carrotanque presurizado 03.</w:t>
      </w:r>
    </w:p>
    <w:p w:rsidR="00FE77C9" w:rsidRPr="00FE77C9" w:rsidRDefault="00FE77C9" w:rsidP="00FE77C9">
      <w:pPr>
        <w:jc w:val="both"/>
        <w:rPr>
          <w:rFonts w:ascii="Verdana" w:hAnsi="Verdana"/>
          <w:bCs/>
          <w:sz w:val="20"/>
        </w:rPr>
      </w:pPr>
      <w:r w:rsidRPr="00FE77C9">
        <w:rPr>
          <w:rFonts w:ascii="Verdana" w:hAnsi="Verdana"/>
          <w:bCs/>
          <w:sz w:val="20"/>
        </w:rPr>
        <w:t> </w:t>
      </w:r>
    </w:p>
    <w:p w:rsidR="00FE77C9" w:rsidRPr="00FE77C9" w:rsidRDefault="00FE77C9" w:rsidP="00FE77C9">
      <w:pPr>
        <w:jc w:val="both"/>
        <w:rPr>
          <w:rFonts w:ascii="Verdana" w:hAnsi="Verdana"/>
          <w:bCs/>
          <w:sz w:val="20"/>
        </w:rPr>
      </w:pPr>
      <w:r w:rsidRPr="00FE77C9">
        <w:rPr>
          <w:rFonts w:ascii="Verdana" w:hAnsi="Verdana"/>
          <w:b/>
          <w:bCs/>
          <w:sz w:val="20"/>
        </w:rPr>
        <w:t>2.</w:t>
      </w:r>
      <w:r w:rsidRPr="00FE77C9">
        <w:rPr>
          <w:rFonts w:ascii="Verdana" w:hAnsi="Verdana"/>
          <w:bCs/>
          <w:sz w:val="20"/>
        </w:rPr>
        <w:t>     Servicio.</w:t>
      </w:r>
    </w:p>
    <w:p w:rsidR="00FE77C9" w:rsidRPr="00FE77C9" w:rsidRDefault="00FE77C9" w:rsidP="00FE77C9">
      <w:pPr>
        <w:jc w:val="both"/>
        <w:rPr>
          <w:rFonts w:ascii="Verdana" w:hAnsi="Verdana"/>
          <w:bCs/>
          <w:sz w:val="20"/>
        </w:rPr>
      </w:pPr>
      <w:r w:rsidRPr="00FE77C9">
        <w:rPr>
          <w:rFonts w:ascii="Verdana" w:hAnsi="Verdana"/>
          <w:bCs/>
          <w:sz w:val="20"/>
        </w:rPr>
        <w:t>       Ejemplos:</w:t>
      </w:r>
    </w:p>
    <w:p w:rsidR="00FE77C9" w:rsidRPr="00FE77C9" w:rsidRDefault="00FE77C9" w:rsidP="00FE77C9">
      <w:pPr>
        <w:jc w:val="both"/>
        <w:rPr>
          <w:rFonts w:ascii="Verdana" w:hAnsi="Verdana"/>
          <w:bCs/>
          <w:sz w:val="20"/>
        </w:rPr>
      </w:pPr>
      <w:r w:rsidRPr="00FE77C9">
        <w:rPr>
          <w:rFonts w:ascii="Verdana" w:hAnsi="Verdana"/>
          <w:bCs/>
          <w:sz w:val="20"/>
        </w:rPr>
        <w:t>       P        Petróleo.</w:t>
      </w:r>
    </w:p>
    <w:p w:rsidR="00FE77C9" w:rsidRPr="00FE77C9" w:rsidRDefault="00FE77C9" w:rsidP="00FE77C9">
      <w:pPr>
        <w:jc w:val="both"/>
        <w:rPr>
          <w:rFonts w:ascii="Verdana" w:hAnsi="Verdana"/>
          <w:bCs/>
          <w:sz w:val="20"/>
        </w:rPr>
      </w:pPr>
      <w:r w:rsidRPr="00FE77C9">
        <w:rPr>
          <w:rFonts w:ascii="Verdana" w:hAnsi="Verdana"/>
          <w:bCs/>
          <w:sz w:val="20"/>
        </w:rPr>
        <w:t>       Gn      Gas Natural.</w:t>
      </w:r>
    </w:p>
    <w:p w:rsidR="00FE77C9" w:rsidRPr="00FE77C9" w:rsidRDefault="00FE77C9" w:rsidP="00FE77C9">
      <w:pPr>
        <w:jc w:val="both"/>
        <w:rPr>
          <w:rFonts w:ascii="Verdana" w:hAnsi="Verdana"/>
          <w:bCs/>
          <w:sz w:val="20"/>
        </w:rPr>
      </w:pPr>
      <w:r w:rsidRPr="00FE77C9">
        <w:rPr>
          <w:rFonts w:ascii="Verdana" w:hAnsi="Verdana"/>
          <w:bCs/>
          <w:sz w:val="20"/>
        </w:rPr>
        <w:t>       C        Condensados.</w:t>
      </w:r>
    </w:p>
    <w:p w:rsidR="00FE77C9" w:rsidRPr="00FE77C9" w:rsidRDefault="00FE77C9" w:rsidP="00FE77C9">
      <w:pPr>
        <w:jc w:val="both"/>
        <w:rPr>
          <w:rFonts w:ascii="Verdana" w:hAnsi="Verdana"/>
          <w:bCs/>
          <w:sz w:val="20"/>
        </w:rPr>
      </w:pPr>
      <w:r w:rsidRPr="00FE77C9">
        <w:rPr>
          <w:rFonts w:ascii="Verdana" w:hAnsi="Verdana"/>
          <w:bCs/>
          <w:sz w:val="20"/>
        </w:rPr>
        <w:t>       Ga      Gasolinas.</w:t>
      </w:r>
    </w:p>
    <w:p w:rsidR="00FE77C9" w:rsidRPr="00FE77C9" w:rsidRDefault="00FE77C9" w:rsidP="00FE77C9">
      <w:pPr>
        <w:jc w:val="both"/>
        <w:rPr>
          <w:rFonts w:ascii="Verdana" w:hAnsi="Verdana"/>
          <w:bCs/>
          <w:sz w:val="20"/>
        </w:rPr>
      </w:pPr>
      <w:r w:rsidRPr="00FE77C9">
        <w:rPr>
          <w:rFonts w:ascii="Verdana" w:hAnsi="Verdana"/>
          <w:bCs/>
          <w:sz w:val="20"/>
        </w:rPr>
        <w:t>       Di       Diésel.</w:t>
      </w:r>
    </w:p>
    <w:p w:rsidR="00FE77C9" w:rsidRPr="00FE77C9" w:rsidRDefault="00FE77C9" w:rsidP="00FE77C9">
      <w:pPr>
        <w:jc w:val="both"/>
        <w:rPr>
          <w:rFonts w:ascii="Verdana" w:hAnsi="Verdana"/>
          <w:bCs/>
          <w:sz w:val="20"/>
        </w:rPr>
      </w:pPr>
      <w:r w:rsidRPr="00FE77C9">
        <w:rPr>
          <w:rFonts w:ascii="Verdana" w:hAnsi="Verdana"/>
          <w:bCs/>
          <w:sz w:val="20"/>
        </w:rPr>
        <w:t>       Tu      Turbosina.</w:t>
      </w:r>
    </w:p>
    <w:p w:rsidR="00FE77C9" w:rsidRPr="00FE77C9" w:rsidRDefault="00FE77C9" w:rsidP="00FE77C9">
      <w:pPr>
        <w:jc w:val="both"/>
        <w:rPr>
          <w:rFonts w:ascii="Verdana" w:hAnsi="Verdana"/>
          <w:bCs/>
          <w:sz w:val="20"/>
        </w:rPr>
      </w:pPr>
      <w:r w:rsidRPr="00FE77C9">
        <w:rPr>
          <w:rFonts w:ascii="Verdana" w:hAnsi="Verdana"/>
          <w:bCs/>
          <w:sz w:val="20"/>
        </w:rPr>
        <w:t>       Lp      Gas licuado de petróleo.</w:t>
      </w:r>
    </w:p>
    <w:p w:rsidR="00FE77C9" w:rsidRPr="00FE77C9" w:rsidRDefault="00FE77C9" w:rsidP="00FE77C9">
      <w:pPr>
        <w:jc w:val="both"/>
        <w:rPr>
          <w:rFonts w:ascii="Verdana" w:hAnsi="Verdana"/>
          <w:bCs/>
          <w:sz w:val="20"/>
        </w:rPr>
      </w:pPr>
      <w:r w:rsidRPr="00FE77C9">
        <w:rPr>
          <w:rFonts w:ascii="Verdana" w:hAnsi="Verdana"/>
          <w:bCs/>
          <w:sz w:val="20"/>
        </w:rPr>
        <w:t>       Pr       Propano.</w:t>
      </w:r>
    </w:p>
    <w:p w:rsidR="00FE77C9" w:rsidRPr="00FE77C9" w:rsidRDefault="00FE77C9" w:rsidP="00FE77C9">
      <w:pPr>
        <w:jc w:val="both"/>
        <w:rPr>
          <w:rFonts w:ascii="Verdana" w:hAnsi="Verdana"/>
          <w:bCs/>
          <w:sz w:val="20"/>
        </w:rPr>
      </w:pPr>
      <w:r w:rsidRPr="00FE77C9">
        <w:rPr>
          <w:rFonts w:ascii="Verdana" w:hAnsi="Verdana"/>
          <w:b/>
          <w:bCs/>
          <w:sz w:val="20"/>
        </w:rPr>
        <w:t>3.</w:t>
      </w:r>
      <w:r w:rsidRPr="00FE77C9">
        <w:rPr>
          <w:rFonts w:ascii="Verdana" w:hAnsi="Verdana"/>
          <w:bCs/>
          <w:sz w:val="20"/>
        </w:rPr>
        <w:t>     Capacidad de almacenamiento.</w:t>
      </w:r>
    </w:p>
    <w:p w:rsidR="00FE77C9" w:rsidRPr="00FE77C9" w:rsidRDefault="00FE77C9" w:rsidP="00FE77C9">
      <w:pPr>
        <w:jc w:val="both"/>
        <w:rPr>
          <w:rFonts w:ascii="Verdana" w:hAnsi="Verdana"/>
          <w:bCs/>
          <w:sz w:val="20"/>
        </w:rPr>
      </w:pPr>
      <w:r w:rsidRPr="00FE77C9">
        <w:rPr>
          <w:rFonts w:ascii="Verdana" w:hAnsi="Verdana"/>
          <w:b/>
          <w:bCs/>
          <w:sz w:val="20"/>
        </w:rPr>
        <w:t>4.</w:t>
      </w:r>
      <w:r w:rsidRPr="00FE77C9">
        <w:rPr>
          <w:rFonts w:ascii="Verdana" w:hAnsi="Verdana"/>
          <w:bCs/>
          <w:sz w:val="20"/>
        </w:rPr>
        <w:t>     Vigencia de Calibración.</w:t>
      </w:r>
    </w:p>
    <w:p w:rsidR="00FE77C9" w:rsidRPr="00FE77C9" w:rsidRDefault="00FE77C9" w:rsidP="00FE77C9">
      <w:pPr>
        <w:jc w:val="both"/>
        <w:rPr>
          <w:rFonts w:ascii="Verdana" w:hAnsi="Verdana"/>
          <w:bCs/>
          <w:sz w:val="20"/>
        </w:rPr>
      </w:pPr>
      <w:r w:rsidRPr="00FE77C9">
        <w:rPr>
          <w:rFonts w:ascii="Verdana" w:hAnsi="Verdana"/>
          <w:b/>
          <w:bCs/>
          <w:sz w:val="20"/>
        </w:rPr>
        <w:t>e)</w:t>
      </w:r>
      <w:r w:rsidRPr="00FE77C9">
        <w:rPr>
          <w:rFonts w:ascii="Verdana" w:hAnsi="Verdana"/>
          <w:bCs/>
          <w:sz w:val="20"/>
        </w:rPr>
        <w:t>   Otros equipos y componentes.</w:t>
      </w:r>
    </w:p>
    <w:p w:rsidR="00FE77C9" w:rsidRPr="00FE77C9" w:rsidRDefault="00FE77C9" w:rsidP="00FE77C9">
      <w:pPr>
        <w:jc w:val="both"/>
        <w:rPr>
          <w:rFonts w:ascii="Verdana" w:hAnsi="Verdana"/>
          <w:bCs/>
          <w:sz w:val="20"/>
        </w:rPr>
      </w:pPr>
      <w:r w:rsidRPr="00FE77C9">
        <w:rPr>
          <w:rFonts w:ascii="Verdana" w:hAnsi="Verdana"/>
          <w:b/>
          <w:bCs/>
          <w:sz w:val="20"/>
        </w:rPr>
        <w:lastRenderedPageBreak/>
        <w:t>30.6.1.2.2.</w:t>
      </w:r>
      <w:r w:rsidRPr="00FE77C9">
        <w:rPr>
          <w:rFonts w:ascii="Verdana" w:hAnsi="Verdana"/>
          <w:bCs/>
          <w:sz w:val="20"/>
        </w:rPr>
        <w:t>    </w:t>
      </w:r>
      <w:r w:rsidRPr="00FE77C9">
        <w:rPr>
          <w:rFonts w:ascii="Verdana" w:hAnsi="Verdana"/>
          <w:b/>
          <w:bCs/>
          <w:sz w:val="20"/>
        </w:rPr>
        <w:t>Información sobre los registros del volumen de los Hidrocarburos y Petrolíferos.</w:t>
      </w:r>
    </w:p>
    <w:p w:rsidR="00FE77C9" w:rsidRPr="00FE77C9" w:rsidRDefault="00FE77C9" w:rsidP="00FE77C9">
      <w:pPr>
        <w:jc w:val="both"/>
        <w:rPr>
          <w:rFonts w:ascii="Verdana" w:hAnsi="Verdana"/>
          <w:bCs/>
          <w:sz w:val="20"/>
        </w:rPr>
      </w:pPr>
      <w:r w:rsidRPr="00FE77C9">
        <w:rPr>
          <w:rFonts w:ascii="Verdana" w:hAnsi="Verdana"/>
          <w:bCs/>
          <w:sz w:val="20"/>
        </w:rPr>
        <w:t>La fuente de los registros del volumen de todas las operaciones de recepción o entrega de los Hidrocarburos y Petrolíferos debe ser el Elemento terciario de los sistemas de medición; o tratándose de los comercializadores que enajenen gas natural o Petrolíferos en los términos del artículo 19, fracción I del Reglamento de las actividades a que se refiere el Título Tercero de la Ley de Hidrocarburos, debe ser la información de los registros del volumen que les proporcionen los contribuyentes a que se refiere la regla 2.6.1.2., fracciones III, IV, V y VII, que les presten servicios.</w:t>
      </w:r>
    </w:p>
    <w:p w:rsidR="00FE77C9" w:rsidRPr="00FE77C9" w:rsidRDefault="00FE77C9" w:rsidP="00FE77C9">
      <w:pPr>
        <w:jc w:val="both"/>
        <w:rPr>
          <w:rFonts w:ascii="Verdana" w:hAnsi="Verdana"/>
          <w:bCs/>
          <w:sz w:val="20"/>
        </w:rPr>
      </w:pPr>
      <w:r w:rsidRPr="00FE77C9">
        <w:rPr>
          <w:rFonts w:ascii="Verdana" w:hAnsi="Verdana"/>
          <w:bCs/>
          <w:sz w:val="20"/>
        </w:rPr>
        <w:t>Los tipos de registros que se deben recopilar son:</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Por operación. Se debe realizar al término de cada operación de recepción o entrega.</w:t>
      </w:r>
    </w:p>
    <w:p w:rsidR="00FE77C9" w:rsidRPr="00FE77C9" w:rsidRDefault="00FE77C9" w:rsidP="00FE77C9">
      <w:pPr>
        <w:jc w:val="both"/>
        <w:rPr>
          <w:rFonts w:ascii="Verdana" w:hAnsi="Verdana"/>
          <w:bCs/>
          <w:sz w:val="20"/>
        </w:rPr>
      </w:pPr>
      <w:r w:rsidRPr="00FE77C9">
        <w:rPr>
          <w:rFonts w:ascii="Verdana" w:hAnsi="Verdana"/>
          <w:b/>
          <w:bCs/>
          <w:sz w:val="20"/>
        </w:rPr>
        <w:t>II.</w:t>
      </w:r>
      <w:r w:rsidRPr="00FE77C9">
        <w:rPr>
          <w:rFonts w:ascii="Verdana" w:hAnsi="Verdana"/>
          <w:bCs/>
          <w:sz w:val="20"/>
        </w:rPr>
        <w:t>     Acumulado. Se debe realizar diariamente, a una misma hora prefijada y debe incluir el acumulado de los volúmenes recibidos y los volúmenes transferidos.</w:t>
      </w:r>
    </w:p>
    <w:p w:rsidR="00FE77C9" w:rsidRPr="00FE77C9" w:rsidRDefault="00FE77C9" w:rsidP="00FE77C9">
      <w:pPr>
        <w:jc w:val="both"/>
        <w:rPr>
          <w:rFonts w:ascii="Verdana" w:hAnsi="Verdana"/>
          <w:bCs/>
          <w:sz w:val="20"/>
        </w:rPr>
      </w:pPr>
      <w:r w:rsidRPr="00FE77C9">
        <w:rPr>
          <w:rFonts w:ascii="Verdana" w:hAnsi="Verdana"/>
          <w:b/>
          <w:bCs/>
          <w:sz w:val="20"/>
        </w:rPr>
        <w:t>III.</w:t>
      </w:r>
      <w:r w:rsidRPr="00FE77C9">
        <w:rPr>
          <w:rFonts w:ascii="Verdana" w:hAnsi="Verdana"/>
          <w:bCs/>
          <w:sz w:val="20"/>
        </w:rPr>
        <w:t>    La información que se debe incluir en cada registro es la siguiente:</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Número de registro, único y consecutivo.</w:t>
      </w:r>
    </w:p>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Tipo de registro.</w:t>
      </w:r>
    </w:p>
    <w:p w:rsidR="00FE77C9" w:rsidRPr="00FE77C9" w:rsidRDefault="00FE77C9" w:rsidP="00FE77C9">
      <w:pPr>
        <w:jc w:val="both"/>
        <w:rPr>
          <w:rFonts w:ascii="Verdana" w:hAnsi="Verdana"/>
          <w:bCs/>
          <w:sz w:val="20"/>
        </w:rPr>
      </w:pPr>
      <w:r w:rsidRPr="00FE77C9">
        <w:rPr>
          <w:rFonts w:ascii="Verdana" w:hAnsi="Verdana"/>
          <w:bCs/>
          <w:sz w:val="20"/>
        </w:rPr>
        <w:t>      Ejemplos:</w:t>
      </w:r>
    </w:p>
    <w:p w:rsidR="00FE77C9" w:rsidRPr="00FE77C9" w:rsidRDefault="00FE77C9" w:rsidP="00FE77C9">
      <w:pPr>
        <w:jc w:val="both"/>
        <w:rPr>
          <w:rFonts w:ascii="Verdana" w:hAnsi="Verdana"/>
          <w:bCs/>
          <w:sz w:val="20"/>
        </w:rPr>
      </w:pPr>
      <w:r w:rsidRPr="00FE77C9">
        <w:rPr>
          <w:rFonts w:ascii="Verdana" w:hAnsi="Verdana"/>
          <w:bCs/>
          <w:sz w:val="20"/>
        </w:rPr>
        <w:t>      VR            Volumen recibido.</w:t>
      </w:r>
    </w:p>
    <w:p w:rsidR="00FE77C9" w:rsidRPr="00FE77C9" w:rsidRDefault="00FE77C9" w:rsidP="00FE77C9">
      <w:pPr>
        <w:jc w:val="both"/>
        <w:rPr>
          <w:rFonts w:ascii="Verdana" w:hAnsi="Verdana"/>
          <w:bCs/>
          <w:sz w:val="20"/>
        </w:rPr>
      </w:pPr>
      <w:r w:rsidRPr="00FE77C9">
        <w:rPr>
          <w:rFonts w:ascii="Verdana" w:hAnsi="Verdana"/>
          <w:bCs/>
          <w:sz w:val="20"/>
        </w:rPr>
        <w:t>      VT            Volumen transferido.</w:t>
      </w:r>
    </w:p>
    <w:p w:rsidR="00FE77C9" w:rsidRPr="00FE77C9" w:rsidRDefault="00FE77C9" w:rsidP="00FE77C9">
      <w:pPr>
        <w:jc w:val="both"/>
        <w:rPr>
          <w:rFonts w:ascii="Verdana" w:hAnsi="Verdana"/>
          <w:bCs/>
          <w:sz w:val="20"/>
        </w:rPr>
      </w:pPr>
      <w:r w:rsidRPr="00FE77C9">
        <w:rPr>
          <w:rFonts w:ascii="Verdana" w:hAnsi="Verdana"/>
          <w:bCs/>
          <w:sz w:val="20"/>
        </w:rPr>
        <w:t>      TR            Total recibido en el día.</w:t>
      </w:r>
    </w:p>
    <w:p w:rsidR="00FE77C9" w:rsidRPr="00FE77C9" w:rsidRDefault="00FE77C9" w:rsidP="00FE77C9">
      <w:pPr>
        <w:jc w:val="both"/>
        <w:rPr>
          <w:rFonts w:ascii="Verdana" w:hAnsi="Verdana"/>
          <w:bCs/>
          <w:sz w:val="20"/>
        </w:rPr>
      </w:pPr>
      <w:r w:rsidRPr="00FE77C9">
        <w:rPr>
          <w:rFonts w:ascii="Verdana" w:hAnsi="Verdana"/>
          <w:bCs/>
          <w:sz w:val="20"/>
        </w:rPr>
        <w:t>      TT            Total transferido en el día.</w:t>
      </w:r>
    </w:p>
    <w:p w:rsidR="00FE77C9" w:rsidRPr="00FE77C9" w:rsidRDefault="00FE77C9" w:rsidP="00FE77C9">
      <w:pPr>
        <w:jc w:val="both"/>
        <w:rPr>
          <w:rFonts w:ascii="Verdana" w:hAnsi="Verdana"/>
          <w:bCs/>
          <w:sz w:val="20"/>
        </w:rPr>
      </w:pPr>
      <w:r w:rsidRPr="00FE77C9">
        <w:rPr>
          <w:rFonts w:ascii="Verdana" w:hAnsi="Verdana"/>
          <w:b/>
          <w:bCs/>
          <w:sz w:val="20"/>
        </w:rPr>
        <w:t>c)</w:t>
      </w:r>
      <w:r w:rsidRPr="00FE77C9">
        <w:rPr>
          <w:rFonts w:ascii="Verdana" w:hAnsi="Verdana"/>
          <w:bCs/>
          <w:sz w:val="20"/>
        </w:rPr>
        <w:t>   Fecha de la operación.</w:t>
      </w:r>
    </w:p>
    <w:p w:rsidR="00FE77C9" w:rsidRPr="00FE77C9" w:rsidRDefault="00FE77C9" w:rsidP="00FE77C9">
      <w:pPr>
        <w:jc w:val="both"/>
        <w:rPr>
          <w:rFonts w:ascii="Verdana" w:hAnsi="Verdana"/>
          <w:bCs/>
          <w:sz w:val="20"/>
        </w:rPr>
      </w:pPr>
      <w:r w:rsidRPr="00FE77C9">
        <w:rPr>
          <w:rFonts w:ascii="Verdana" w:hAnsi="Verdana"/>
          <w:b/>
          <w:bCs/>
          <w:sz w:val="20"/>
        </w:rPr>
        <w:t>d)</w:t>
      </w:r>
      <w:r w:rsidRPr="00FE77C9">
        <w:rPr>
          <w:rFonts w:ascii="Verdana" w:hAnsi="Verdana"/>
          <w:bCs/>
          <w:sz w:val="20"/>
        </w:rPr>
        <w:t>   Hora de la operación.</w:t>
      </w:r>
    </w:p>
    <w:p w:rsidR="00FE77C9" w:rsidRPr="00FE77C9" w:rsidRDefault="00FE77C9" w:rsidP="00FE77C9">
      <w:pPr>
        <w:jc w:val="both"/>
        <w:rPr>
          <w:rFonts w:ascii="Verdana" w:hAnsi="Verdana"/>
          <w:bCs/>
          <w:sz w:val="20"/>
        </w:rPr>
      </w:pPr>
      <w:r w:rsidRPr="00FE77C9">
        <w:rPr>
          <w:rFonts w:ascii="Verdana" w:hAnsi="Verdana"/>
          <w:b/>
          <w:bCs/>
          <w:sz w:val="20"/>
        </w:rPr>
        <w:t>e)</w:t>
      </w:r>
      <w:r w:rsidRPr="00FE77C9">
        <w:rPr>
          <w:rFonts w:ascii="Verdana" w:hAnsi="Verdana"/>
          <w:bCs/>
          <w:sz w:val="20"/>
        </w:rPr>
        <w:t>   Clave en el RFC del proveedor/cliente (recepción/entrega).</w:t>
      </w:r>
    </w:p>
    <w:p w:rsidR="00FE77C9" w:rsidRPr="00FE77C9" w:rsidRDefault="00FE77C9" w:rsidP="00FE77C9">
      <w:pPr>
        <w:jc w:val="both"/>
        <w:rPr>
          <w:rFonts w:ascii="Verdana" w:hAnsi="Verdana"/>
          <w:bCs/>
          <w:sz w:val="20"/>
        </w:rPr>
      </w:pPr>
      <w:r w:rsidRPr="00FE77C9">
        <w:rPr>
          <w:rFonts w:ascii="Verdana" w:hAnsi="Verdana"/>
          <w:b/>
          <w:bCs/>
          <w:sz w:val="20"/>
        </w:rPr>
        <w:t>f)</w:t>
      </w:r>
      <w:r w:rsidRPr="00FE77C9">
        <w:rPr>
          <w:rFonts w:ascii="Verdana" w:hAnsi="Verdana"/>
          <w:bCs/>
          <w:sz w:val="20"/>
        </w:rPr>
        <w:t>    Clave de identificación del medio de recepción/entrega.</w:t>
      </w:r>
    </w:p>
    <w:p w:rsidR="00FE77C9" w:rsidRPr="00FE77C9" w:rsidRDefault="00FE77C9" w:rsidP="00FE77C9">
      <w:pPr>
        <w:jc w:val="both"/>
        <w:rPr>
          <w:rFonts w:ascii="Verdana" w:hAnsi="Verdana"/>
          <w:bCs/>
          <w:sz w:val="20"/>
        </w:rPr>
      </w:pPr>
      <w:r w:rsidRPr="00FE77C9">
        <w:rPr>
          <w:rFonts w:ascii="Verdana" w:hAnsi="Verdana"/>
          <w:bCs/>
          <w:sz w:val="20"/>
        </w:rPr>
        <w:t>      Ejemplos:</w:t>
      </w:r>
    </w:p>
    <w:p w:rsidR="00FE77C9" w:rsidRPr="00FE77C9" w:rsidRDefault="00FE77C9" w:rsidP="00FE77C9">
      <w:pPr>
        <w:jc w:val="both"/>
        <w:rPr>
          <w:rFonts w:ascii="Verdana" w:hAnsi="Verdana"/>
          <w:bCs/>
          <w:sz w:val="20"/>
        </w:rPr>
      </w:pPr>
      <w:r w:rsidRPr="00FE77C9">
        <w:rPr>
          <w:rFonts w:ascii="Verdana" w:hAnsi="Verdana"/>
          <w:bCs/>
          <w:sz w:val="20"/>
        </w:rPr>
        <w:t>      ODR01       Oleoducto de recepción 01.</w:t>
      </w:r>
    </w:p>
    <w:p w:rsidR="00FE77C9" w:rsidRPr="00FE77C9" w:rsidRDefault="00FE77C9" w:rsidP="00FE77C9">
      <w:pPr>
        <w:jc w:val="both"/>
        <w:rPr>
          <w:rFonts w:ascii="Verdana" w:hAnsi="Verdana"/>
          <w:bCs/>
          <w:sz w:val="20"/>
        </w:rPr>
      </w:pPr>
      <w:r w:rsidRPr="00FE77C9">
        <w:rPr>
          <w:rFonts w:ascii="Verdana" w:hAnsi="Verdana"/>
          <w:bCs/>
          <w:sz w:val="20"/>
        </w:rPr>
        <w:t>      GDE04       Gasoducto de entrega 04.</w:t>
      </w:r>
    </w:p>
    <w:p w:rsidR="00FE77C9" w:rsidRPr="00FE77C9" w:rsidRDefault="00FE77C9" w:rsidP="00FE77C9">
      <w:pPr>
        <w:jc w:val="both"/>
        <w:rPr>
          <w:rFonts w:ascii="Verdana" w:hAnsi="Verdana"/>
          <w:bCs/>
          <w:sz w:val="20"/>
        </w:rPr>
      </w:pPr>
      <w:r w:rsidRPr="00FE77C9">
        <w:rPr>
          <w:rFonts w:ascii="Verdana" w:hAnsi="Verdana"/>
          <w:bCs/>
          <w:sz w:val="20"/>
        </w:rPr>
        <w:t>      PDR02       Poliducto de recepción 02.</w:t>
      </w:r>
    </w:p>
    <w:p w:rsidR="00FE77C9" w:rsidRPr="00FE77C9" w:rsidRDefault="00FE77C9" w:rsidP="00FE77C9">
      <w:pPr>
        <w:jc w:val="both"/>
        <w:rPr>
          <w:rFonts w:ascii="Verdana" w:hAnsi="Verdana"/>
          <w:bCs/>
          <w:sz w:val="20"/>
        </w:rPr>
      </w:pPr>
      <w:r w:rsidRPr="00FE77C9">
        <w:rPr>
          <w:rFonts w:ascii="Verdana" w:hAnsi="Verdana"/>
          <w:bCs/>
          <w:sz w:val="20"/>
        </w:rPr>
        <w:t>      ATA01        Autotanque atmosférico 01.</w:t>
      </w:r>
    </w:p>
    <w:p w:rsidR="00FE77C9" w:rsidRPr="00FE77C9" w:rsidRDefault="00FE77C9" w:rsidP="00FE77C9">
      <w:pPr>
        <w:jc w:val="both"/>
        <w:rPr>
          <w:rFonts w:ascii="Verdana" w:hAnsi="Verdana"/>
          <w:bCs/>
          <w:sz w:val="20"/>
        </w:rPr>
      </w:pPr>
      <w:r w:rsidRPr="00FE77C9">
        <w:rPr>
          <w:rFonts w:ascii="Verdana" w:hAnsi="Verdana"/>
          <w:bCs/>
          <w:sz w:val="20"/>
        </w:rPr>
        <w:lastRenderedPageBreak/>
        <w:t>      CTP03        Carrotanque presurizado 03.</w:t>
      </w:r>
    </w:p>
    <w:p w:rsidR="00FE77C9" w:rsidRPr="00FE77C9" w:rsidRDefault="00FE77C9" w:rsidP="00FE77C9">
      <w:pPr>
        <w:jc w:val="both"/>
        <w:rPr>
          <w:rFonts w:ascii="Verdana" w:hAnsi="Verdana"/>
          <w:bCs/>
          <w:sz w:val="20"/>
        </w:rPr>
      </w:pPr>
      <w:r w:rsidRPr="00FE77C9">
        <w:rPr>
          <w:rFonts w:ascii="Verdana" w:hAnsi="Verdana"/>
          <w:bCs/>
          <w:sz w:val="20"/>
        </w:rPr>
        <w:t> </w:t>
      </w:r>
    </w:p>
    <w:p w:rsidR="00FE77C9" w:rsidRPr="00FE77C9" w:rsidRDefault="00FE77C9" w:rsidP="00FE77C9">
      <w:pPr>
        <w:jc w:val="both"/>
        <w:rPr>
          <w:rFonts w:ascii="Verdana" w:hAnsi="Verdana"/>
          <w:bCs/>
          <w:sz w:val="20"/>
        </w:rPr>
      </w:pPr>
      <w:r w:rsidRPr="00FE77C9">
        <w:rPr>
          <w:rFonts w:ascii="Verdana" w:hAnsi="Verdana"/>
          <w:b/>
          <w:bCs/>
          <w:sz w:val="20"/>
        </w:rPr>
        <w:t>g)</w:t>
      </w:r>
      <w:r w:rsidRPr="00FE77C9">
        <w:rPr>
          <w:rFonts w:ascii="Verdana" w:hAnsi="Verdana"/>
          <w:bCs/>
          <w:sz w:val="20"/>
        </w:rPr>
        <w:t>   Clave de identificación del sistema de medición.</w:t>
      </w:r>
    </w:p>
    <w:p w:rsidR="00FE77C9" w:rsidRPr="00FE77C9" w:rsidRDefault="00FE77C9" w:rsidP="00FE77C9">
      <w:pPr>
        <w:jc w:val="both"/>
        <w:rPr>
          <w:rFonts w:ascii="Verdana" w:hAnsi="Verdana"/>
          <w:bCs/>
          <w:sz w:val="20"/>
        </w:rPr>
      </w:pPr>
      <w:r w:rsidRPr="00FE77C9">
        <w:rPr>
          <w:rFonts w:ascii="Verdana" w:hAnsi="Verdana"/>
          <w:bCs/>
          <w:sz w:val="20"/>
        </w:rPr>
        <w:t>      Ejemplos:</w:t>
      </w:r>
    </w:p>
    <w:p w:rsidR="00FE77C9" w:rsidRPr="00FE77C9" w:rsidRDefault="00FE77C9" w:rsidP="00FE77C9">
      <w:pPr>
        <w:jc w:val="both"/>
        <w:rPr>
          <w:rFonts w:ascii="Verdana" w:hAnsi="Verdana"/>
          <w:bCs/>
          <w:sz w:val="20"/>
        </w:rPr>
      </w:pPr>
      <w:r w:rsidRPr="00FE77C9">
        <w:rPr>
          <w:rFonts w:ascii="Verdana" w:hAnsi="Verdana"/>
          <w:bCs/>
          <w:sz w:val="20"/>
        </w:rPr>
        <w:t>      SME01       Sistema de medición estático número 001.</w:t>
      </w:r>
    </w:p>
    <w:p w:rsidR="00FE77C9" w:rsidRPr="00FE77C9" w:rsidRDefault="00FE77C9" w:rsidP="00FE77C9">
      <w:pPr>
        <w:jc w:val="both"/>
        <w:rPr>
          <w:rFonts w:ascii="Verdana" w:hAnsi="Verdana"/>
          <w:bCs/>
          <w:sz w:val="20"/>
        </w:rPr>
      </w:pPr>
      <w:r w:rsidRPr="00FE77C9">
        <w:rPr>
          <w:rFonts w:ascii="Verdana" w:hAnsi="Verdana"/>
          <w:bCs/>
          <w:sz w:val="20"/>
        </w:rPr>
        <w:t>      SMD07       Sistema de medición dinámico número 007.</w:t>
      </w:r>
    </w:p>
    <w:p w:rsidR="00FE77C9" w:rsidRPr="00FE77C9" w:rsidRDefault="00FE77C9" w:rsidP="00FE77C9">
      <w:pPr>
        <w:jc w:val="both"/>
        <w:rPr>
          <w:rFonts w:ascii="Verdana" w:hAnsi="Verdana"/>
          <w:bCs/>
          <w:sz w:val="20"/>
        </w:rPr>
      </w:pPr>
      <w:r w:rsidRPr="00FE77C9">
        <w:rPr>
          <w:rFonts w:ascii="Verdana" w:hAnsi="Verdana"/>
          <w:bCs/>
          <w:sz w:val="20"/>
        </w:rPr>
        <w:t>      M2D03       Manguera 2 del dispensario 03.</w:t>
      </w:r>
    </w:p>
    <w:p w:rsidR="00FE77C9" w:rsidRPr="00FE77C9" w:rsidRDefault="00FE77C9" w:rsidP="00FE77C9">
      <w:pPr>
        <w:jc w:val="both"/>
        <w:rPr>
          <w:rFonts w:ascii="Verdana" w:hAnsi="Verdana"/>
          <w:bCs/>
          <w:sz w:val="20"/>
        </w:rPr>
      </w:pPr>
      <w:r w:rsidRPr="00FE77C9">
        <w:rPr>
          <w:rFonts w:ascii="Verdana" w:hAnsi="Verdana"/>
          <w:b/>
          <w:bCs/>
          <w:sz w:val="20"/>
        </w:rPr>
        <w:t>h)</w:t>
      </w:r>
      <w:r w:rsidRPr="00FE77C9">
        <w:rPr>
          <w:rFonts w:ascii="Verdana" w:hAnsi="Verdana"/>
          <w:bCs/>
          <w:sz w:val="20"/>
        </w:rPr>
        <w:t>   Clave de identificación del Hidrocarburo o Petrolífero de que se trate.</w:t>
      </w:r>
    </w:p>
    <w:p w:rsidR="00FE77C9" w:rsidRPr="00FE77C9" w:rsidRDefault="00FE77C9" w:rsidP="00FE77C9">
      <w:pPr>
        <w:jc w:val="both"/>
        <w:rPr>
          <w:rFonts w:ascii="Verdana" w:hAnsi="Verdana"/>
          <w:bCs/>
          <w:sz w:val="20"/>
        </w:rPr>
      </w:pPr>
      <w:r w:rsidRPr="00FE77C9">
        <w:rPr>
          <w:rFonts w:ascii="Verdana" w:hAnsi="Verdana"/>
          <w:bCs/>
          <w:sz w:val="20"/>
        </w:rPr>
        <w:t>      Ejemplos:</w:t>
      </w:r>
    </w:p>
    <w:p w:rsidR="00FE77C9" w:rsidRPr="00FE77C9" w:rsidRDefault="00FE77C9" w:rsidP="00FE77C9">
      <w:pPr>
        <w:jc w:val="both"/>
        <w:rPr>
          <w:rFonts w:ascii="Verdana" w:hAnsi="Verdana"/>
          <w:bCs/>
          <w:sz w:val="20"/>
        </w:rPr>
      </w:pPr>
      <w:r w:rsidRPr="00FE77C9">
        <w:rPr>
          <w:rFonts w:ascii="Verdana" w:hAnsi="Verdana"/>
          <w:bCs/>
          <w:sz w:val="20"/>
        </w:rPr>
        <w:t>      P           Petróleo.</w:t>
      </w:r>
    </w:p>
    <w:p w:rsidR="00FE77C9" w:rsidRPr="00FE77C9" w:rsidRDefault="00FE77C9" w:rsidP="00FE77C9">
      <w:pPr>
        <w:jc w:val="both"/>
        <w:rPr>
          <w:rFonts w:ascii="Verdana" w:hAnsi="Verdana"/>
          <w:bCs/>
          <w:sz w:val="20"/>
        </w:rPr>
      </w:pPr>
      <w:r w:rsidRPr="00FE77C9">
        <w:rPr>
          <w:rFonts w:ascii="Verdana" w:hAnsi="Verdana"/>
          <w:bCs/>
          <w:sz w:val="20"/>
        </w:rPr>
        <w:t>      Gn         Gas Natural.</w:t>
      </w:r>
    </w:p>
    <w:p w:rsidR="00FE77C9" w:rsidRPr="00FE77C9" w:rsidRDefault="00FE77C9" w:rsidP="00FE77C9">
      <w:pPr>
        <w:jc w:val="both"/>
        <w:rPr>
          <w:rFonts w:ascii="Verdana" w:hAnsi="Verdana"/>
          <w:bCs/>
          <w:sz w:val="20"/>
        </w:rPr>
      </w:pPr>
      <w:r w:rsidRPr="00FE77C9">
        <w:rPr>
          <w:rFonts w:ascii="Verdana" w:hAnsi="Verdana"/>
          <w:bCs/>
          <w:sz w:val="20"/>
        </w:rPr>
        <w:t>      C           Condensados.</w:t>
      </w:r>
    </w:p>
    <w:p w:rsidR="00FE77C9" w:rsidRPr="00FE77C9" w:rsidRDefault="00FE77C9" w:rsidP="00FE77C9">
      <w:pPr>
        <w:jc w:val="both"/>
        <w:rPr>
          <w:rFonts w:ascii="Verdana" w:hAnsi="Verdana"/>
          <w:bCs/>
          <w:sz w:val="20"/>
        </w:rPr>
      </w:pPr>
      <w:r w:rsidRPr="00FE77C9">
        <w:rPr>
          <w:rFonts w:ascii="Verdana" w:hAnsi="Verdana"/>
          <w:bCs/>
          <w:sz w:val="20"/>
        </w:rPr>
        <w:t>      Ga         Gasolinas.</w:t>
      </w:r>
    </w:p>
    <w:p w:rsidR="00FE77C9" w:rsidRPr="00FE77C9" w:rsidRDefault="00FE77C9" w:rsidP="00FE77C9">
      <w:pPr>
        <w:jc w:val="both"/>
        <w:rPr>
          <w:rFonts w:ascii="Verdana" w:hAnsi="Verdana"/>
          <w:bCs/>
          <w:sz w:val="20"/>
        </w:rPr>
      </w:pPr>
      <w:r w:rsidRPr="00FE77C9">
        <w:rPr>
          <w:rFonts w:ascii="Verdana" w:hAnsi="Verdana"/>
          <w:bCs/>
          <w:sz w:val="20"/>
        </w:rPr>
        <w:t>      Di          Diésel.</w:t>
      </w:r>
    </w:p>
    <w:p w:rsidR="00FE77C9" w:rsidRPr="00FE77C9" w:rsidRDefault="00FE77C9" w:rsidP="00FE77C9">
      <w:pPr>
        <w:jc w:val="both"/>
        <w:rPr>
          <w:rFonts w:ascii="Verdana" w:hAnsi="Verdana"/>
          <w:bCs/>
          <w:sz w:val="20"/>
        </w:rPr>
      </w:pPr>
      <w:r w:rsidRPr="00FE77C9">
        <w:rPr>
          <w:rFonts w:ascii="Verdana" w:hAnsi="Verdana"/>
          <w:bCs/>
          <w:sz w:val="20"/>
        </w:rPr>
        <w:t>      Tu          Turbosina.</w:t>
      </w:r>
    </w:p>
    <w:p w:rsidR="00FE77C9" w:rsidRPr="00FE77C9" w:rsidRDefault="00FE77C9" w:rsidP="00FE77C9">
      <w:pPr>
        <w:jc w:val="both"/>
        <w:rPr>
          <w:rFonts w:ascii="Verdana" w:hAnsi="Verdana"/>
          <w:bCs/>
          <w:sz w:val="20"/>
        </w:rPr>
      </w:pPr>
      <w:r w:rsidRPr="00FE77C9">
        <w:rPr>
          <w:rFonts w:ascii="Verdana" w:hAnsi="Verdana"/>
          <w:bCs/>
          <w:sz w:val="20"/>
        </w:rPr>
        <w:t>      Lp          Gas licuado de petróleo.</w:t>
      </w:r>
    </w:p>
    <w:p w:rsidR="00FE77C9" w:rsidRPr="00FE77C9" w:rsidRDefault="00FE77C9" w:rsidP="00FE77C9">
      <w:pPr>
        <w:jc w:val="both"/>
        <w:rPr>
          <w:rFonts w:ascii="Verdana" w:hAnsi="Verdana"/>
          <w:bCs/>
          <w:sz w:val="20"/>
        </w:rPr>
      </w:pPr>
      <w:r w:rsidRPr="00FE77C9">
        <w:rPr>
          <w:rFonts w:ascii="Verdana" w:hAnsi="Verdana"/>
          <w:bCs/>
          <w:sz w:val="20"/>
        </w:rPr>
        <w:t>      Pr          Propano.</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Volumen recibido/entregado expresado en la unidad de medida que corresponda, conforme a lo siguiente:</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Tratándose de petróleo y condensados, la unidad de medida es el barril.</w:t>
      </w:r>
    </w:p>
    <w:p w:rsidR="00FE77C9" w:rsidRPr="00FE77C9" w:rsidRDefault="00FE77C9" w:rsidP="00FE77C9">
      <w:pPr>
        <w:jc w:val="both"/>
        <w:rPr>
          <w:rFonts w:ascii="Verdana" w:hAnsi="Verdana"/>
          <w:bCs/>
          <w:sz w:val="20"/>
        </w:rPr>
      </w:pPr>
      <w:r w:rsidRPr="00FE77C9">
        <w:rPr>
          <w:rFonts w:ascii="Verdana" w:hAnsi="Verdana"/>
          <w:b/>
          <w:bCs/>
          <w:sz w:val="20"/>
        </w:rPr>
        <w:t>ii.</w:t>
      </w:r>
      <w:r w:rsidRPr="00FE77C9">
        <w:rPr>
          <w:rFonts w:ascii="Verdana" w:hAnsi="Verdana"/>
          <w:bCs/>
          <w:sz w:val="20"/>
        </w:rPr>
        <w:t>     Tratándose de gas natural, la unidad de medida es el metro cúbico. Excepto para los contribuyentes a que se refiere la regla 2.6.1.2., fracción I, para los que la unidad de medida es el pie cúbico.</w:t>
      </w:r>
    </w:p>
    <w:p w:rsidR="00FE77C9" w:rsidRPr="00FE77C9" w:rsidRDefault="00FE77C9" w:rsidP="00FE77C9">
      <w:pPr>
        <w:jc w:val="both"/>
        <w:rPr>
          <w:rFonts w:ascii="Verdana" w:hAnsi="Verdana"/>
          <w:bCs/>
          <w:sz w:val="20"/>
        </w:rPr>
      </w:pPr>
      <w:r w:rsidRPr="00FE77C9">
        <w:rPr>
          <w:rFonts w:ascii="Verdana" w:hAnsi="Verdana"/>
          <w:b/>
          <w:bCs/>
          <w:sz w:val="20"/>
        </w:rPr>
        <w:t>iii.</w:t>
      </w:r>
      <w:r w:rsidRPr="00FE77C9">
        <w:rPr>
          <w:rFonts w:ascii="Verdana" w:hAnsi="Verdana"/>
          <w:bCs/>
          <w:sz w:val="20"/>
        </w:rPr>
        <w:t>    Tratándose de Petrolíferos, la unidad de medida es el litro.</w:t>
      </w:r>
    </w:p>
    <w:p w:rsidR="00FE77C9" w:rsidRPr="00FE77C9" w:rsidRDefault="00FE77C9" w:rsidP="00FE77C9">
      <w:pPr>
        <w:jc w:val="both"/>
        <w:rPr>
          <w:rFonts w:ascii="Verdana" w:hAnsi="Verdana"/>
          <w:bCs/>
          <w:sz w:val="20"/>
        </w:rPr>
      </w:pPr>
      <w:r w:rsidRPr="00FE77C9">
        <w:rPr>
          <w:rFonts w:ascii="Verdana" w:hAnsi="Verdana"/>
          <w:bCs/>
          <w:sz w:val="20"/>
        </w:rPr>
        <w:t>       Cuando se haya realizado la medición en una unidad de medida distinta, deberá realizarse la conversión, describiendo el factor de conversión utilizado, la operación aritmética y el resultado.</w:t>
      </w:r>
    </w:p>
    <w:p w:rsidR="00FE77C9" w:rsidRPr="00FE77C9" w:rsidRDefault="00FE77C9" w:rsidP="00FE77C9">
      <w:pPr>
        <w:jc w:val="both"/>
        <w:rPr>
          <w:rFonts w:ascii="Verdana" w:hAnsi="Verdana"/>
          <w:bCs/>
          <w:sz w:val="20"/>
        </w:rPr>
      </w:pPr>
      <w:r w:rsidRPr="00FE77C9">
        <w:rPr>
          <w:rFonts w:ascii="Verdana" w:hAnsi="Verdana"/>
          <w:b/>
          <w:bCs/>
          <w:sz w:val="20"/>
        </w:rPr>
        <w:t>IV.</w:t>
      </w:r>
      <w:r w:rsidRPr="00FE77C9">
        <w:rPr>
          <w:rFonts w:ascii="Verdana" w:hAnsi="Verdana"/>
          <w:bCs/>
          <w:sz w:val="20"/>
        </w:rPr>
        <w:t xml:space="preserve">   El programa informático para una instalación o proceso que incluya almacenamiento de Hidrocarburos o Petrolíferos, adicionalmente, debe realizar el </w:t>
      </w:r>
      <w:r w:rsidRPr="00FE77C9">
        <w:rPr>
          <w:rFonts w:ascii="Verdana" w:hAnsi="Verdana"/>
          <w:bCs/>
          <w:sz w:val="20"/>
        </w:rPr>
        <w:lastRenderedPageBreak/>
        <w:t>registro del control de existencias, con la información del volumen y tipo del producto almacenado, de conformidad con lo siguiente:</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El registro del control de existencias se debe realizar diariamente, de manera automática, a una misma hora.</w:t>
      </w:r>
    </w:p>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El programa informático debe realizar el cálculo de existencias del día n (Existencias</w:t>
      </w:r>
      <w:r w:rsidRPr="00FE77C9">
        <w:rPr>
          <w:rFonts w:ascii="Verdana" w:hAnsi="Verdana"/>
          <w:bCs/>
          <w:sz w:val="20"/>
          <w:vertAlign w:val="subscript"/>
        </w:rPr>
        <w:t>n</w:t>
      </w:r>
      <w:r w:rsidRPr="00FE77C9">
        <w:rPr>
          <w:rFonts w:ascii="Verdana" w:hAnsi="Verdana"/>
          <w:bCs/>
          <w:sz w:val="20"/>
        </w:rPr>
        <w:t>), sumando a las existencias del día n-1 (Existencias</w:t>
      </w:r>
      <w:r w:rsidRPr="00FE77C9">
        <w:rPr>
          <w:rFonts w:ascii="Verdana" w:hAnsi="Verdana"/>
          <w:bCs/>
          <w:sz w:val="20"/>
          <w:vertAlign w:val="subscript"/>
        </w:rPr>
        <w:t>n-</w:t>
      </w:r>
      <w:r w:rsidRPr="00FE77C9">
        <w:rPr>
          <w:rFonts w:ascii="Verdana" w:hAnsi="Verdana"/>
          <w:bCs/>
          <w:sz w:val="20"/>
        </w:rPr>
        <w:t>1) el volumen total de las operaciones de recepción realizadas en las 24 horas anteriores (Vol Acum Op Recepción</w:t>
      </w:r>
      <w:r w:rsidRPr="00FE77C9">
        <w:rPr>
          <w:rFonts w:ascii="Verdana" w:hAnsi="Verdana"/>
          <w:bCs/>
          <w:sz w:val="20"/>
          <w:vertAlign w:val="subscript"/>
        </w:rPr>
        <w:t>n</w:t>
      </w:r>
      <w:r w:rsidRPr="00FE77C9">
        <w:rPr>
          <w:rFonts w:ascii="Verdana" w:hAnsi="Verdana"/>
          <w:bCs/>
          <w:sz w:val="20"/>
        </w:rPr>
        <w:t>) y restando el volumen total de las operaciones de entrega realizadas en las 24 hrs. anteriores (Vol Acum Op Entrega</w:t>
      </w:r>
      <w:r w:rsidRPr="00FE77C9">
        <w:rPr>
          <w:rFonts w:ascii="Verdana" w:hAnsi="Verdana"/>
          <w:bCs/>
          <w:sz w:val="20"/>
          <w:vertAlign w:val="subscript"/>
        </w:rPr>
        <w:t>n</w:t>
      </w:r>
      <w:r w:rsidRPr="00FE77C9">
        <w:rPr>
          <w:rFonts w:ascii="Verdana" w:hAnsi="Verdana"/>
          <w:bCs/>
          <w:sz w:val="20"/>
        </w:rPr>
        <w:t>):</w:t>
      </w:r>
    </w:p>
    <w:p w:rsidR="00FE77C9" w:rsidRPr="00FE77C9" w:rsidRDefault="00FE77C9" w:rsidP="00FE77C9">
      <w:pPr>
        <w:jc w:val="both"/>
        <w:rPr>
          <w:rFonts w:ascii="Verdana" w:hAnsi="Verdana"/>
          <w:bCs/>
          <w:sz w:val="20"/>
        </w:rPr>
      </w:pPr>
      <w:r w:rsidRPr="00FE77C9">
        <w:rPr>
          <w:rFonts w:ascii="Verdana" w:hAnsi="Verdana"/>
          <w:bCs/>
          <w:sz w:val="20"/>
        </w:rPr>
        <w:drawing>
          <wp:inline distT="0" distB="0" distL="0" distR="0">
            <wp:extent cx="4802505" cy="168910"/>
            <wp:effectExtent l="0" t="0" r="0" b="2540"/>
            <wp:docPr id="2" name="Imagen 2" descr="http://www.dof.gob.mx/imagenes_diarios/2020/01/20/MAT/shcp1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20/01/20/MAT/shcp1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2505" cy="168910"/>
                    </a:xfrm>
                    <a:prstGeom prst="rect">
                      <a:avLst/>
                    </a:prstGeom>
                    <a:noFill/>
                    <a:ln>
                      <a:noFill/>
                    </a:ln>
                  </pic:spPr>
                </pic:pic>
              </a:graphicData>
            </a:graphic>
          </wp:inline>
        </w:drawing>
      </w:r>
    </w:p>
    <w:p w:rsidR="00FE77C9" w:rsidRPr="00FE77C9" w:rsidRDefault="00FE77C9" w:rsidP="00FE77C9">
      <w:pPr>
        <w:jc w:val="both"/>
        <w:rPr>
          <w:rFonts w:ascii="Verdana" w:hAnsi="Verdana"/>
          <w:bCs/>
          <w:sz w:val="20"/>
        </w:rPr>
      </w:pPr>
      <w:r w:rsidRPr="00FE77C9">
        <w:rPr>
          <w:rFonts w:ascii="Verdana" w:hAnsi="Verdana"/>
          <w:b/>
          <w:bCs/>
          <w:sz w:val="20"/>
        </w:rPr>
        <w:t>c)</w:t>
      </w:r>
      <w:r w:rsidRPr="00FE77C9">
        <w:rPr>
          <w:rFonts w:ascii="Verdana" w:hAnsi="Verdana"/>
          <w:bCs/>
          <w:sz w:val="20"/>
        </w:rPr>
        <w:t>   El valor calculado de existencias, como se describe en el inciso anterior, se debe verificar comparándolo con el valor que entregue el sistema de medición estático. Si se presenta una diferencia entre el valor medido y el valor calculado se debe generar un registro de alarma.</w:t>
      </w:r>
    </w:p>
    <w:p w:rsidR="00FE77C9" w:rsidRPr="00FE77C9" w:rsidRDefault="00FE77C9" w:rsidP="00FE77C9">
      <w:pPr>
        <w:jc w:val="both"/>
        <w:rPr>
          <w:rFonts w:ascii="Verdana" w:hAnsi="Verdana"/>
          <w:bCs/>
          <w:sz w:val="20"/>
        </w:rPr>
      </w:pPr>
      <w:r w:rsidRPr="00FE77C9">
        <w:rPr>
          <w:rFonts w:ascii="Verdana" w:hAnsi="Verdana"/>
          <w:bCs/>
          <w:sz w:val="20"/>
        </w:rPr>
        <w:t>      El programa informático debe permitir el registro en la bitácora de eventos de la posible causa, así como de las acciones que se tomarán para su corrección y su seguimiento.</w:t>
      </w:r>
    </w:p>
    <w:p w:rsidR="00FE77C9" w:rsidRPr="00FE77C9" w:rsidRDefault="00FE77C9" w:rsidP="00FE77C9">
      <w:pPr>
        <w:jc w:val="both"/>
        <w:rPr>
          <w:rFonts w:ascii="Verdana" w:hAnsi="Verdana"/>
          <w:bCs/>
          <w:sz w:val="20"/>
        </w:rPr>
      </w:pPr>
      <w:r w:rsidRPr="00FE77C9">
        <w:rPr>
          <w:rFonts w:ascii="Verdana" w:hAnsi="Verdana"/>
          <w:b/>
          <w:bCs/>
          <w:sz w:val="20"/>
        </w:rPr>
        <w:t>d)</w:t>
      </w:r>
      <w:r w:rsidRPr="00FE77C9">
        <w:rPr>
          <w:rFonts w:ascii="Verdana" w:hAnsi="Verdana"/>
          <w:bCs/>
          <w:sz w:val="20"/>
        </w:rPr>
        <w:t>   La información que se debe recopilar por cada registro es la siguiente:</w:t>
      </w:r>
    </w:p>
    <w:p w:rsidR="00FE77C9" w:rsidRPr="00FE77C9" w:rsidRDefault="00FE77C9" w:rsidP="00FE77C9">
      <w:pPr>
        <w:jc w:val="both"/>
        <w:rPr>
          <w:rFonts w:ascii="Verdana" w:hAnsi="Verdana"/>
          <w:bCs/>
          <w:sz w:val="20"/>
        </w:rPr>
      </w:pPr>
      <w:r w:rsidRPr="00FE77C9">
        <w:rPr>
          <w:rFonts w:ascii="Verdana" w:hAnsi="Verdana"/>
          <w:b/>
          <w:bCs/>
          <w:sz w:val="20"/>
        </w:rPr>
        <w:t>1.</w:t>
      </w:r>
      <w:r w:rsidRPr="00FE77C9">
        <w:rPr>
          <w:rFonts w:ascii="Verdana" w:hAnsi="Verdana"/>
          <w:bCs/>
          <w:sz w:val="20"/>
        </w:rPr>
        <w:t>     Número de registro, único y consecutivo.</w:t>
      </w:r>
    </w:p>
    <w:p w:rsidR="00FE77C9" w:rsidRPr="00FE77C9" w:rsidRDefault="00FE77C9" w:rsidP="00FE77C9">
      <w:pPr>
        <w:jc w:val="both"/>
        <w:rPr>
          <w:rFonts w:ascii="Verdana" w:hAnsi="Verdana"/>
          <w:bCs/>
          <w:sz w:val="20"/>
        </w:rPr>
      </w:pPr>
      <w:r w:rsidRPr="00FE77C9">
        <w:rPr>
          <w:rFonts w:ascii="Verdana" w:hAnsi="Verdana"/>
          <w:b/>
          <w:bCs/>
          <w:sz w:val="20"/>
        </w:rPr>
        <w:t>2.</w:t>
      </w:r>
      <w:r w:rsidRPr="00FE77C9">
        <w:rPr>
          <w:rFonts w:ascii="Verdana" w:hAnsi="Verdana"/>
          <w:bCs/>
          <w:sz w:val="20"/>
        </w:rPr>
        <w:t>     Tipo de registro.</w:t>
      </w:r>
    </w:p>
    <w:p w:rsidR="00FE77C9" w:rsidRPr="00FE77C9" w:rsidRDefault="00FE77C9" w:rsidP="00FE77C9">
      <w:pPr>
        <w:jc w:val="both"/>
        <w:rPr>
          <w:rFonts w:ascii="Verdana" w:hAnsi="Verdana"/>
          <w:bCs/>
          <w:sz w:val="20"/>
        </w:rPr>
      </w:pPr>
      <w:r w:rsidRPr="00FE77C9">
        <w:rPr>
          <w:rFonts w:ascii="Verdana" w:hAnsi="Verdana"/>
          <w:bCs/>
          <w:sz w:val="20"/>
        </w:rPr>
        <w:t>       Ejemplo:</w:t>
      </w:r>
    </w:p>
    <w:p w:rsidR="00FE77C9" w:rsidRPr="00FE77C9" w:rsidRDefault="00FE77C9" w:rsidP="00FE77C9">
      <w:pPr>
        <w:jc w:val="both"/>
        <w:rPr>
          <w:rFonts w:ascii="Verdana" w:hAnsi="Verdana"/>
          <w:bCs/>
          <w:sz w:val="20"/>
        </w:rPr>
      </w:pPr>
      <w:r w:rsidRPr="00FE77C9">
        <w:rPr>
          <w:rFonts w:ascii="Verdana" w:hAnsi="Verdana"/>
          <w:bCs/>
          <w:sz w:val="20"/>
        </w:rPr>
        <w:t>       CE      Control de existencias.</w:t>
      </w:r>
    </w:p>
    <w:p w:rsidR="00FE77C9" w:rsidRPr="00FE77C9" w:rsidRDefault="00FE77C9" w:rsidP="00FE77C9">
      <w:pPr>
        <w:jc w:val="both"/>
        <w:rPr>
          <w:rFonts w:ascii="Verdana" w:hAnsi="Verdana"/>
          <w:bCs/>
          <w:sz w:val="20"/>
        </w:rPr>
      </w:pPr>
      <w:r w:rsidRPr="00FE77C9">
        <w:rPr>
          <w:rFonts w:ascii="Verdana" w:hAnsi="Verdana"/>
          <w:bCs/>
          <w:sz w:val="20"/>
        </w:rPr>
        <w:t> </w:t>
      </w:r>
    </w:p>
    <w:p w:rsidR="00FE77C9" w:rsidRPr="00FE77C9" w:rsidRDefault="00FE77C9" w:rsidP="00FE77C9">
      <w:pPr>
        <w:jc w:val="both"/>
        <w:rPr>
          <w:rFonts w:ascii="Verdana" w:hAnsi="Verdana"/>
          <w:bCs/>
          <w:sz w:val="20"/>
        </w:rPr>
      </w:pPr>
      <w:r w:rsidRPr="00FE77C9">
        <w:rPr>
          <w:rFonts w:ascii="Verdana" w:hAnsi="Verdana"/>
          <w:b/>
          <w:bCs/>
          <w:sz w:val="20"/>
        </w:rPr>
        <w:t>3.</w:t>
      </w:r>
      <w:r w:rsidRPr="00FE77C9">
        <w:rPr>
          <w:rFonts w:ascii="Verdana" w:hAnsi="Verdana"/>
          <w:bCs/>
          <w:sz w:val="20"/>
        </w:rPr>
        <w:t>     Fecha del registro.</w:t>
      </w:r>
    </w:p>
    <w:p w:rsidR="00FE77C9" w:rsidRPr="00FE77C9" w:rsidRDefault="00FE77C9" w:rsidP="00FE77C9">
      <w:pPr>
        <w:jc w:val="both"/>
        <w:rPr>
          <w:rFonts w:ascii="Verdana" w:hAnsi="Verdana"/>
          <w:bCs/>
          <w:sz w:val="20"/>
        </w:rPr>
      </w:pPr>
      <w:r w:rsidRPr="00FE77C9">
        <w:rPr>
          <w:rFonts w:ascii="Verdana" w:hAnsi="Verdana"/>
          <w:b/>
          <w:bCs/>
          <w:sz w:val="20"/>
        </w:rPr>
        <w:t>4.</w:t>
      </w:r>
      <w:r w:rsidRPr="00FE77C9">
        <w:rPr>
          <w:rFonts w:ascii="Verdana" w:hAnsi="Verdana"/>
          <w:bCs/>
          <w:sz w:val="20"/>
        </w:rPr>
        <w:t>     Hora del registro.</w:t>
      </w:r>
    </w:p>
    <w:p w:rsidR="00FE77C9" w:rsidRPr="00FE77C9" w:rsidRDefault="00FE77C9" w:rsidP="00FE77C9">
      <w:pPr>
        <w:jc w:val="both"/>
        <w:rPr>
          <w:rFonts w:ascii="Verdana" w:hAnsi="Verdana"/>
          <w:bCs/>
          <w:sz w:val="20"/>
        </w:rPr>
      </w:pPr>
      <w:r w:rsidRPr="00FE77C9">
        <w:rPr>
          <w:rFonts w:ascii="Verdana" w:hAnsi="Verdana"/>
          <w:b/>
          <w:bCs/>
          <w:sz w:val="20"/>
        </w:rPr>
        <w:t>5.</w:t>
      </w:r>
      <w:r w:rsidRPr="00FE77C9">
        <w:rPr>
          <w:rFonts w:ascii="Verdana" w:hAnsi="Verdana"/>
          <w:bCs/>
          <w:sz w:val="20"/>
        </w:rPr>
        <w:t>     Clave de identificación del tanque.</w:t>
      </w:r>
    </w:p>
    <w:p w:rsidR="00FE77C9" w:rsidRPr="00FE77C9" w:rsidRDefault="00FE77C9" w:rsidP="00FE77C9">
      <w:pPr>
        <w:jc w:val="both"/>
        <w:rPr>
          <w:rFonts w:ascii="Verdana" w:hAnsi="Verdana"/>
          <w:bCs/>
          <w:sz w:val="20"/>
        </w:rPr>
      </w:pPr>
      <w:r w:rsidRPr="00FE77C9">
        <w:rPr>
          <w:rFonts w:ascii="Verdana" w:hAnsi="Verdana"/>
          <w:bCs/>
          <w:sz w:val="20"/>
        </w:rPr>
        <w:t>       Ejemplo:</w:t>
      </w:r>
    </w:p>
    <w:p w:rsidR="00FE77C9" w:rsidRPr="00FE77C9" w:rsidRDefault="00FE77C9" w:rsidP="00FE77C9">
      <w:pPr>
        <w:jc w:val="both"/>
        <w:rPr>
          <w:rFonts w:ascii="Verdana" w:hAnsi="Verdana"/>
          <w:bCs/>
          <w:sz w:val="20"/>
        </w:rPr>
      </w:pPr>
      <w:r w:rsidRPr="00FE77C9">
        <w:rPr>
          <w:rFonts w:ascii="Verdana" w:hAnsi="Verdana"/>
          <w:bCs/>
          <w:sz w:val="20"/>
        </w:rPr>
        <w:t>       TA01   Tanque de almacenamiento 01.</w:t>
      </w:r>
    </w:p>
    <w:p w:rsidR="00FE77C9" w:rsidRPr="00FE77C9" w:rsidRDefault="00FE77C9" w:rsidP="00FE77C9">
      <w:pPr>
        <w:jc w:val="both"/>
        <w:rPr>
          <w:rFonts w:ascii="Verdana" w:hAnsi="Verdana"/>
          <w:bCs/>
          <w:sz w:val="20"/>
        </w:rPr>
      </w:pPr>
      <w:r w:rsidRPr="00FE77C9">
        <w:rPr>
          <w:rFonts w:ascii="Verdana" w:hAnsi="Verdana"/>
          <w:b/>
          <w:bCs/>
          <w:sz w:val="20"/>
        </w:rPr>
        <w:t>6.</w:t>
      </w:r>
      <w:r w:rsidRPr="00FE77C9">
        <w:rPr>
          <w:rFonts w:ascii="Verdana" w:hAnsi="Verdana"/>
          <w:bCs/>
          <w:sz w:val="20"/>
        </w:rPr>
        <w:t>     Clave de identificación del sistema de medición.</w:t>
      </w:r>
    </w:p>
    <w:p w:rsidR="00FE77C9" w:rsidRPr="00FE77C9" w:rsidRDefault="00FE77C9" w:rsidP="00FE77C9">
      <w:pPr>
        <w:jc w:val="both"/>
        <w:rPr>
          <w:rFonts w:ascii="Verdana" w:hAnsi="Verdana"/>
          <w:bCs/>
          <w:sz w:val="20"/>
        </w:rPr>
      </w:pPr>
      <w:r w:rsidRPr="00FE77C9">
        <w:rPr>
          <w:rFonts w:ascii="Verdana" w:hAnsi="Verdana"/>
          <w:bCs/>
          <w:sz w:val="20"/>
        </w:rPr>
        <w:t>       Ejemplos:</w:t>
      </w:r>
    </w:p>
    <w:p w:rsidR="00FE77C9" w:rsidRPr="00FE77C9" w:rsidRDefault="00FE77C9" w:rsidP="00FE77C9">
      <w:pPr>
        <w:jc w:val="both"/>
        <w:rPr>
          <w:rFonts w:ascii="Verdana" w:hAnsi="Verdana"/>
          <w:bCs/>
          <w:sz w:val="20"/>
        </w:rPr>
      </w:pPr>
      <w:r w:rsidRPr="00FE77C9">
        <w:rPr>
          <w:rFonts w:ascii="Verdana" w:hAnsi="Verdana"/>
          <w:bCs/>
          <w:sz w:val="20"/>
        </w:rPr>
        <w:t>       SME01 Sistema de medición estático número 001.</w:t>
      </w:r>
    </w:p>
    <w:p w:rsidR="00FE77C9" w:rsidRPr="00FE77C9" w:rsidRDefault="00FE77C9" w:rsidP="00FE77C9">
      <w:pPr>
        <w:jc w:val="both"/>
        <w:rPr>
          <w:rFonts w:ascii="Verdana" w:hAnsi="Verdana"/>
          <w:bCs/>
          <w:sz w:val="20"/>
        </w:rPr>
      </w:pPr>
      <w:r w:rsidRPr="00FE77C9">
        <w:rPr>
          <w:rFonts w:ascii="Verdana" w:hAnsi="Verdana"/>
          <w:bCs/>
          <w:sz w:val="20"/>
        </w:rPr>
        <w:t>       SMD07 Sistema de medición dinámico número 007.</w:t>
      </w:r>
    </w:p>
    <w:p w:rsidR="00FE77C9" w:rsidRPr="00FE77C9" w:rsidRDefault="00FE77C9" w:rsidP="00FE77C9">
      <w:pPr>
        <w:jc w:val="both"/>
        <w:rPr>
          <w:rFonts w:ascii="Verdana" w:hAnsi="Verdana"/>
          <w:bCs/>
          <w:sz w:val="20"/>
        </w:rPr>
      </w:pPr>
      <w:r w:rsidRPr="00FE77C9">
        <w:rPr>
          <w:rFonts w:ascii="Verdana" w:hAnsi="Verdana"/>
          <w:bCs/>
          <w:sz w:val="20"/>
        </w:rPr>
        <w:lastRenderedPageBreak/>
        <w:t>       M2D03 Manguera 2 del dispensario 03.</w:t>
      </w:r>
    </w:p>
    <w:p w:rsidR="00FE77C9" w:rsidRPr="00FE77C9" w:rsidRDefault="00FE77C9" w:rsidP="00FE77C9">
      <w:pPr>
        <w:jc w:val="both"/>
        <w:rPr>
          <w:rFonts w:ascii="Verdana" w:hAnsi="Verdana"/>
          <w:bCs/>
          <w:sz w:val="20"/>
        </w:rPr>
      </w:pPr>
      <w:r w:rsidRPr="00FE77C9">
        <w:rPr>
          <w:rFonts w:ascii="Verdana" w:hAnsi="Verdana"/>
          <w:b/>
          <w:bCs/>
          <w:sz w:val="20"/>
        </w:rPr>
        <w:t>7.</w:t>
      </w:r>
      <w:r w:rsidRPr="00FE77C9">
        <w:rPr>
          <w:rFonts w:ascii="Verdana" w:hAnsi="Verdana"/>
          <w:bCs/>
          <w:sz w:val="20"/>
        </w:rPr>
        <w:t>     Clave de identificación del Hidrocarburo o Petrolífero de que se trate.</w:t>
      </w:r>
    </w:p>
    <w:p w:rsidR="00FE77C9" w:rsidRPr="00FE77C9" w:rsidRDefault="00FE77C9" w:rsidP="00FE77C9">
      <w:pPr>
        <w:jc w:val="both"/>
        <w:rPr>
          <w:rFonts w:ascii="Verdana" w:hAnsi="Verdana"/>
          <w:bCs/>
          <w:sz w:val="20"/>
        </w:rPr>
      </w:pPr>
      <w:r w:rsidRPr="00FE77C9">
        <w:rPr>
          <w:rFonts w:ascii="Verdana" w:hAnsi="Verdana"/>
          <w:bCs/>
          <w:sz w:val="20"/>
        </w:rPr>
        <w:t>       Ejemplos:</w:t>
      </w:r>
    </w:p>
    <w:p w:rsidR="00FE77C9" w:rsidRPr="00FE77C9" w:rsidRDefault="00FE77C9" w:rsidP="00FE77C9">
      <w:pPr>
        <w:jc w:val="both"/>
        <w:rPr>
          <w:rFonts w:ascii="Verdana" w:hAnsi="Verdana"/>
          <w:bCs/>
          <w:sz w:val="20"/>
        </w:rPr>
      </w:pPr>
      <w:r w:rsidRPr="00FE77C9">
        <w:rPr>
          <w:rFonts w:ascii="Verdana" w:hAnsi="Verdana"/>
          <w:bCs/>
          <w:sz w:val="20"/>
        </w:rPr>
        <w:t>       P        Petróleo.</w:t>
      </w:r>
    </w:p>
    <w:p w:rsidR="00FE77C9" w:rsidRPr="00FE77C9" w:rsidRDefault="00FE77C9" w:rsidP="00FE77C9">
      <w:pPr>
        <w:jc w:val="both"/>
        <w:rPr>
          <w:rFonts w:ascii="Verdana" w:hAnsi="Verdana"/>
          <w:bCs/>
          <w:sz w:val="20"/>
        </w:rPr>
      </w:pPr>
      <w:r w:rsidRPr="00FE77C9">
        <w:rPr>
          <w:rFonts w:ascii="Verdana" w:hAnsi="Verdana"/>
          <w:bCs/>
          <w:sz w:val="20"/>
        </w:rPr>
        <w:t>       Gn      Gas Natural.</w:t>
      </w:r>
    </w:p>
    <w:p w:rsidR="00FE77C9" w:rsidRPr="00FE77C9" w:rsidRDefault="00FE77C9" w:rsidP="00FE77C9">
      <w:pPr>
        <w:jc w:val="both"/>
        <w:rPr>
          <w:rFonts w:ascii="Verdana" w:hAnsi="Verdana"/>
          <w:bCs/>
          <w:sz w:val="20"/>
        </w:rPr>
      </w:pPr>
      <w:r w:rsidRPr="00FE77C9">
        <w:rPr>
          <w:rFonts w:ascii="Verdana" w:hAnsi="Verdana"/>
          <w:bCs/>
          <w:sz w:val="20"/>
        </w:rPr>
        <w:t>       C        Condensados.</w:t>
      </w:r>
    </w:p>
    <w:p w:rsidR="00FE77C9" w:rsidRPr="00FE77C9" w:rsidRDefault="00FE77C9" w:rsidP="00FE77C9">
      <w:pPr>
        <w:jc w:val="both"/>
        <w:rPr>
          <w:rFonts w:ascii="Verdana" w:hAnsi="Verdana"/>
          <w:bCs/>
          <w:sz w:val="20"/>
        </w:rPr>
      </w:pPr>
      <w:r w:rsidRPr="00FE77C9">
        <w:rPr>
          <w:rFonts w:ascii="Verdana" w:hAnsi="Verdana"/>
          <w:bCs/>
          <w:sz w:val="20"/>
        </w:rPr>
        <w:t>       Ga      Gasolina.</w:t>
      </w:r>
    </w:p>
    <w:p w:rsidR="00FE77C9" w:rsidRPr="00FE77C9" w:rsidRDefault="00FE77C9" w:rsidP="00FE77C9">
      <w:pPr>
        <w:jc w:val="both"/>
        <w:rPr>
          <w:rFonts w:ascii="Verdana" w:hAnsi="Verdana"/>
          <w:bCs/>
          <w:sz w:val="20"/>
        </w:rPr>
      </w:pPr>
      <w:r w:rsidRPr="00FE77C9">
        <w:rPr>
          <w:rFonts w:ascii="Verdana" w:hAnsi="Verdana"/>
          <w:bCs/>
          <w:sz w:val="20"/>
        </w:rPr>
        <w:t>       Di       Diésel.</w:t>
      </w:r>
    </w:p>
    <w:p w:rsidR="00FE77C9" w:rsidRPr="00FE77C9" w:rsidRDefault="00FE77C9" w:rsidP="00FE77C9">
      <w:pPr>
        <w:jc w:val="both"/>
        <w:rPr>
          <w:rFonts w:ascii="Verdana" w:hAnsi="Verdana"/>
          <w:bCs/>
          <w:sz w:val="20"/>
        </w:rPr>
      </w:pPr>
      <w:r w:rsidRPr="00FE77C9">
        <w:rPr>
          <w:rFonts w:ascii="Verdana" w:hAnsi="Verdana"/>
          <w:bCs/>
          <w:sz w:val="20"/>
        </w:rPr>
        <w:t>       Tu      Turbosina.</w:t>
      </w:r>
    </w:p>
    <w:p w:rsidR="00FE77C9" w:rsidRPr="00FE77C9" w:rsidRDefault="00FE77C9" w:rsidP="00FE77C9">
      <w:pPr>
        <w:jc w:val="both"/>
        <w:rPr>
          <w:rFonts w:ascii="Verdana" w:hAnsi="Verdana"/>
          <w:bCs/>
          <w:sz w:val="20"/>
        </w:rPr>
      </w:pPr>
      <w:r w:rsidRPr="00FE77C9">
        <w:rPr>
          <w:rFonts w:ascii="Verdana" w:hAnsi="Verdana"/>
          <w:bCs/>
          <w:sz w:val="20"/>
        </w:rPr>
        <w:t>       Lp      Gas licuado de petróleo.</w:t>
      </w:r>
    </w:p>
    <w:p w:rsidR="00FE77C9" w:rsidRPr="00FE77C9" w:rsidRDefault="00FE77C9" w:rsidP="00FE77C9">
      <w:pPr>
        <w:jc w:val="both"/>
        <w:rPr>
          <w:rFonts w:ascii="Verdana" w:hAnsi="Verdana"/>
          <w:bCs/>
          <w:sz w:val="20"/>
        </w:rPr>
      </w:pPr>
      <w:r w:rsidRPr="00FE77C9">
        <w:rPr>
          <w:rFonts w:ascii="Verdana" w:hAnsi="Verdana"/>
          <w:bCs/>
          <w:sz w:val="20"/>
        </w:rPr>
        <w:t>       Pr       Propano.</w:t>
      </w:r>
    </w:p>
    <w:p w:rsidR="00FE77C9" w:rsidRPr="00FE77C9" w:rsidRDefault="00FE77C9" w:rsidP="00FE77C9">
      <w:pPr>
        <w:jc w:val="both"/>
        <w:rPr>
          <w:rFonts w:ascii="Verdana" w:hAnsi="Verdana"/>
          <w:bCs/>
          <w:sz w:val="20"/>
        </w:rPr>
      </w:pPr>
      <w:r w:rsidRPr="00FE77C9">
        <w:rPr>
          <w:rFonts w:ascii="Verdana" w:hAnsi="Verdana"/>
          <w:b/>
          <w:bCs/>
          <w:sz w:val="20"/>
        </w:rPr>
        <w:t>8.</w:t>
      </w:r>
      <w:r w:rsidRPr="00FE77C9">
        <w:rPr>
          <w:rFonts w:ascii="Verdana" w:hAnsi="Verdana"/>
          <w:bCs/>
          <w:sz w:val="20"/>
        </w:rPr>
        <w:t>     Volumen de existencias entregado por el sistema de medición, expresado en la unidad de medida que corresponda, conforme a lo siguiente:</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Tratándose de petróleo y condensados, la unidad de medida es el barril.</w:t>
      </w:r>
    </w:p>
    <w:p w:rsidR="00FE77C9" w:rsidRPr="00FE77C9" w:rsidRDefault="00FE77C9" w:rsidP="00FE77C9">
      <w:pPr>
        <w:jc w:val="both"/>
        <w:rPr>
          <w:rFonts w:ascii="Verdana" w:hAnsi="Verdana"/>
          <w:bCs/>
          <w:sz w:val="20"/>
        </w:rPr>
      </w:pPr>
      <w:r w:rsidRPr="00FE77C9">
        <w:rPr>
          <w:rFonts w:ascii="Verdana" w:hAnsi="Verdana"/>
          <w:b/>
          <w:bCs/>
          <w:sz w:val="20"/>
        </w:rPr>
        <w:t>ii.</w:t>
      </w:r>
      <w:r w:rsidRPr="00FE77C9">
        <w:rPr>
          <w:rFonts w:ascii="Verdana" w:hAnsi="Verdana"/>
          <w:bCs/>
          <w:sz w:val="20"/>
        </w:rPr>
        <w:t>     Tratándose de gas natural, la unidad de medida es el metro cúbico. Excepto para los contribuyentes a que se refiere la regla 2.6.1.2., fracción I, para los que la unidad de medida es el pie cúbico.</w:t>
      </w:r>
    </w:p>
    <w:p w:rsidR="00FE77C9" w:rsidRPr="00FE77C9" w:rsidRDefault="00FE77C9" w:rsidP="00FE77C9">
      <w:pPr>
        <w:jc w:val="both"/>
        <w:rPr>
          <w:rFonts w:ascii="Verdana" w:hAnsi="Verdana"/>
          <w:bCs/>
          <w:sz w:val="20"/>
        </w:rPr>
      </w:pPr>
      <w:r w:rsidRPr="00FE77C9">
        <w:rPr>
          <w:rFonts w:ascii="Verdana" w:hAnsi="Verdana"/>
          <w:b/>
          <w:bCs/>
          <w:sz w:val="20"/>
        </w:rPr>
        <w:t>iii.</w:t>
      </w:r>
      <w:r w:rsidRPr="00FE77C9">
        <w:rPr>
          <w:rFonts w:ascii="Verdana" w:hAnsi="Verdana"/>
          <w:bCs/>
          <w:sz w:val="20"/>
        </w:rPr>
        <w:t>    Tratándose de Petrolíferos, la unidad de medida es el litro.</w:t>
      </w:r>
    </w:p>
    <w:p w:rsidR="00FE77C9" w:rsidRPr="00FE77C9" w:rsidRDefault="00FE77C9" w:rsidP="00FE77C9">
      <w:pPr>
        <w:jc w:val="both"/>
        <w:rPr>
          <w:rFonts w:ascii="Verdana" w:hAnsi="Verdana"/>
          <w:bCs/>
          <w:sz w:val="20"/>
        </w:rPr>
      </w:pPr>
      <w:r w:rsidRPr="00FE77C9">
        <w:rPr>
          <w:rFonts w:ascii="Verdana" w:hAnsi="Verdana"/>
          <w:bCs/>
          <w:sz w:val="20"/>
        </w:rPr>
        <w:t>       Cuando se haya realizado la medición en una unidad de medida distinta, deberá realizarse la conversión, describiendo el factor de conversión utilizado, la operación aritmética y el resultado.</w:t>
      </w:r>
    </w:p>
    <w:p w:rsidR="00FE77C9" w:rsidRPr="00FE77C9" w:rsidRDefault="00FE77C9" w:rsidP="00FE77C9">
      <w:pPr>
        <w:jc w:val="both"/>
        <w:rPr>
          <w:rFonts w:ascii="Verdana" w:hAnsi="Verdana"/>
          <w:bCs/>
          <w:sz w:val="20"/>
        </w:rPr>
      </w:pPr>
      <w:r w:rsidRPr="00FE77C9">
        <w:rPr>
          <w:rFonts w:ascii="Verdana" w:hAnsi="Verdana"/>
          <w:b/>
          <w:bCs/>
          <w:sz w:val="20"/>
        </w:rPr>
        <w:t>9.</w:t>
      </w:r>
      <w:r w:rsidRPr="00FE77C9">
        <w:rPr>
          <w:rFonts w:ascii="Verdana" w:hAnsi="Verdana"/>
          <w:bCs/>
          <w:sz w:val="20"/>
        </w:rPr>
        <w:t>     Volumen de existencias calculado por el programa informático, expresado en la unidad de medida a que se refiere el numeral anterior.</w:t>
      </w:r>
    </w:p>
    <w:p w:rsidR="00FE77C9" w:rsidRPr="00FE77C9" w:rsidRDefault="00FE77C9" w:rsidP="00FE77C9">
      <w:pPr>
        <w:jc w:val="both"/>
        <w:rPr>
          <w:rFonts w:ascii="Verdana" w:hAnsi="Verdana"/>
          <w:bCs/>
          <w:sz w:val="20"/>
        </w:rPr>
      </w:pPr>
      <w:r w:rsidRPr="00FE77C9">
        <w:rPr>
          <w:rFonts w:ascii="Verdana" w:hAnsi="Verdana"/>
          <w:b/>
          <w:bCs/>
          <w:sz w:val="20"/>
        </w:rPr>
        <w:t>V.</w:t>
      </w:r>
      <w:r w:rsidRPr="00FE77C9">
        <w:rPr>
          <w:rFonts w:ascii="Verdana" w:hAnsi="Verdana"/>
          <w:bCs/>
          <w:sz w:val="20"/>
        </w:rPr>
        <w:t>    El programa informático para estaciones de servicio, adicionalmente, debe realizar el registro de la información del totalizador de ventas de los dispensarios.</w:t>
      </w:r>
    </w:p>
    <w:p w:rsidR="00FE77C9" w:rsidRPr="00FE77C9" w:rsidRDefault="00FE77C9" w:rsidP="00FE77C9">
      <w:pPr>
        <w:jc w:val="both"/>
        <w:rPr>
          <w:rFonts w:ascii="Verdana" w:hAnsi="Verdana"/>
          <w:bCs/>
          <w:sz w:val="20"/>
        </w:rPr>
      </w:pPr>
      <w:r w:rsidRPr="00FE77C9">
        <w:rPr>
          <w:rFonts w:ascii="Verdana" w:hAnsi="Verdana"/>
          <w:b/>
          <w:bCs/>
          <w:sz w:val="20"/>
        </w:rPr>
        <w:t>30.6.1.2.3.</w:t>
      </w:r>
      <w:r w:rsidRPr="00FE77C9">
        <w:rPr>
          <w:rFonts w:ascii="Verdana" w:hAnsi="Verdana"/>
          <w:bCs/>
          <w:sz w:val="20"/>
        </w:rPr>
        <w:t>    </w:t>
      </w:r>
      <w:r w:rsidRPr="00FE77C9">
        <w:rPr>
          <w:rFonts w:ascii="Verdana" w:hAnsi="Verdana"/>
          <w:b/>
          <w:bCs/>
          <w:sz w:val="20"/>
        </w:rPr>
        <w:t>Información sobre el tipo de Hidrocarburo o Petrolífero:</w:t>
      </w:r>
    </w:p>
    <w:p w:rsidR="00FE77C9" w:rsidRPr="00FE77C9" w:rsidRDefault="00FE77C9" w:rsidP="00FE77C9">
      <w:pPr>
        <w:jc w:val="both"/>
        <w:rPr>
          <w:rFonts w:ascii="Verdana" w:hAnsi="Verdana"/>
          <w:bCs/>
          <w:sz w:val="20"/>
        </w:rPr>
      </w:pPr>
      <w:r w:rsidRPr="00FE77C9">
        <w:rPr>
          <w:rFonts w:ascii="Verdana" w:hAnsi="Verdana"/>
          <w:bCs/>
          <w:sz w:val="20"/>
        </w:rPr>
        <w:t>La información que se debe recopilar para cada tipo de Hidrocarburos o Petrolíferos es la siguiente:</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Nombre y clave en el RFC del proveedor autorizado por el SAT que haya emitido el dictamen correspondiente, así como número de folio y fecha de emisión.</w:t>
      </w:r>
    </w:p>
    <w:p w:rsidR="00FE77C9" w:rsidRPr="00FE77C9" w:rsidRDefault="00FE77C9" w:rsidP="00FE77C9">
      <w:pPr>
        <w:jc w:val="both"/>
        <w:rPr>
          <w:rFonts w:ascii="Verdana" w:hAnsi="Verdana"/>
          <w:bCs/>
          <w:sz w:val="20"/>
        </w:rPr>
      </w:pPr>
      <w:r w:rsidRPr="00FE77C9">
        <w:rPr>
          <w:rFonts w:ascii="Verdana" w:hAnsi="Verdana"/>
          <w:b/>
          <w:bCs/>
          <w:sz w:val="20"/>
        </w:rPr>
        <w:t>II.</w:t>
      </w:r>
      <w:r w:rsidRPr="00FE77C9">
        <w:rPr>
          <w:rFonts w:ascii="Verdana" w:hAnsi="Verdana"/>
          <w:bCs/>
          <w:sz w:val="20"/>
        </w:rPr>
        <w:t>     Para Hidrocarburos, en cabezales de pozo o de recolección:</w:t>
      </w:r>
    </w:p>
    <w:p w:rsidR="00FE77C9" w:rsidRPr="00FE77C9" w:rsidRDefault="00FE77C9" w:rsidP="00FE77C9">
      <w:pPr>
        <w:jc w:val="both"/>
        <w:rPr>
          <w:rFonts w:ascii="Verdana" w:hAnsi="Verdana"/>
          <w:bCs/>
          <w:sz w:val="20"/>
        </w:rPr>
      </w:pPr>
      <w:r w:rsidRPr="00FE77C9">
        <w:rPr>
          <w:rFonts w:ascii="Verdana" w:hAnsi="Verdana"/>
          <w:b/>
          <w:bCs/>
          <w:sz w:val="20"/>
        </w:rPr>
        <w:lastRenderedPageBreak/>
        <w:t>a)</w:t>
      </w:r>
      <w:r w:rsidRPr="00FE77C9">
        <w:rPr>
          <w:rFonts w:ascii="Verdana" w:hAnsi="Verdana"/>
          <w:bCs/>
          <w:sz w:val="20"/>
        </w:rPr>
        <w:t>   Del petróleo:</w:t>
      </w:r>
    </w:p>
    <w:p w:rsidR="00FE77C9" w:rsidRPr="00FE77C9" w:rsidRDefault="00FE77C9" w:rsidP="00FE77C9">
      <w:pPr>
        <w:jc w:val="both"/>
        <w:rPr>
          <w:rFonts w:ascii="Verdana" w:hAnsi="Verdana"/>
          <w:bCs/>
          <w:sz w:val="20"/>
        </w:rPr>
      </w:pPr>
      <w:r w:rsidRPr="00FE77C9">
        <w:rPr>
          <w:rFonts w:ascii="Verdana" w:hAnsi="Verdana"/>
          <w:b/>
          <w:bCs/>
          <w:sz w:val="20"/>
        </w:rPr>
        <w:t>1.</w:t>
      </w:r>
      <w:r w:rsidRPr="00FE77C9">
        <w:rPr>
          <w:rFonts w:ascii="Verdana" w:hAnsi="Verdana"/>
          <w:bCs/>
          <w:sz w:val="20"/>
        </w:rPr>
        <w:t>     Gravedad específica del aceite, expresada en grados API a una posición decimal.</w:t>
      </w:r>
    </w:p>
    <w:p w:rsidR="00FE77C9" w:rsidRPr="00FE77C9" w:rsidRDefault="00FE77C9" w:rsidP="00FE77C9">
      <w:pPr>
        <w:jc w:val="both"/>
        <w:rPr>
          <w:rFonts w:ascii="Verdana" w:hAnsi="Verdana"/>
          <w:bCs/>
          <w:sz w:val="20"/>
        </w:rPr>
      </w:pPr>
      <w:r w:rsidRPr="00FE77C9">
        <w:rPr>
          <w:rFonts w:ascii="Verdana" w:hAnsi="Verdana"/>
          <w:b/>
          <w:bCs/>
          <w:sz w:val="20"/>
        </w:rPr>
        <w:t>2.</w:t>
      </w:r>
      <w:r w:rsidRPr="00FE77C9">
        <w:rPr>
          <w:rFonts w:ascii="Verdana" w:hAnsi="Verdana"/>
          <w:bCs/>
          <w:sz w:val="20"/>
        </w:rPr>
        <w:t>     Contenido de azufre, expresado en porcentaje a una posición decimal.</w:t>
      </w:r>
    </w:p>
    <w:p w:rsidR="00FE77C9" w:rsidRPr="00FE77C9" w:rsidRDefault="00FE77C9" w:rsidP="00FE77C9">
      <w:pPr>
        <w:jc w:val="both"/>
        <w:rPr>
          <w:rFonts w:ascii="Verdana" w:hAnsi="Verdana"/>
          <w:bCs/>
          <w:sz w:val="20"/>
        </w:rPr>
      </w:pPr>
      <w:r w:rsidRPr="00FE77C9">
        <w:rPr>
          <w:rFonts w:ascii="Verdana" w:hAnsi="Verdana"/>
          <w:b/>
          <w:bCs/>
          <w:sz w:val="20"/>
        </w:rPr>
        <w:t>b)</w:t>
      </w:r>
      <w:proofErr w:type="gramStart"/>
      <w:r w:rsidRPr="00FE77C9">
        <w:rPr>
          <w:rFonts w:ascii="Verdana" w:hAnsi="Verdana"/>
          <w:bCs/>
          <w:sz w:val="20"/>
        </w:rPr>
        <w:t>   Del gas natural y condensados</w:t>
      </w:r>
      <w:proofErr w:type="gramEnd"/>
      <w:r w:rsidRPr="00FE77C9">
        <w:rPr>
          <w:rFonts w:ascii="Verdana" w:hAnsi="Verdana"/>
          <w:bCs/>
          <w:sz w:val="20"/>
        </w:rPr>
        <w:t>:</w:t>
      </w:r>
    </w:p>
    <w:p w:rsidR="00FE77C9" w:rsidRPr="00FE77C9" w:rsidRDefault="00FE77C9" w:rsidP="00FE77C9">
      <w:pPr>
        <w:jc w:val="both"/>
        <w:rPr>
          <w:rFonts w:ascii="Verdana" w:hAnsi="Verdana"/>
          <w:bCs/>
          <w:sz w:val="20"/>
        </w:rPr>
      </w:pPr>
      <w:r w:rsidRPr="00FE77C9">
        <w:rPr>
          <w:rFonts w:ascii="Verdana" w:hAnsi="Verdana"/>
          <w:b/>
          <w:bCs/>
          <w:sz w:val="20"/>
        </w:rPr>
        <w:t>1.</w:t>
      </w:r>
      <w:r w:rsidRPr="00FE77C9">
        <w:rPr>
          <w:rFonts w:ascii="Verdana" w:hAnsi="Verdana"/>
          <w:bCs/>
          <w:sz w:val="20"/>
        </w:rPr>
        <w:t>     Fracción molar de los siguientes componentes en la mezcla: metano, etano, propano, butanos (n-butano, isobutano), pentanos, hexanos, heptanos, octanos, nonanos y decanos.</w:t>
      </w:r>
    </w:p>
    <w:p w:rsidR="00FE77C9" w:rsidRPr="00FE77C9" w:rsidRDefault="00FE77C9" w:rsidP="00FE77C9">
      <w:pPr>
        <w:jc w:val="both"/>
        <w:rPr>
          <w:rFonts w:ascii="Verdana" w:hAnsi="Verdana"/>
          <w:bCs/>
          <w:sz w:val="20"/>
        </w:rPr>
      </w:pPr>
      <w:r w:rsidRPr="00FE77C9">
        <w:rPr>
          <w:rFonts w:ascii="Verdana" w:hAnsi="Verdana"/>
          <w:b/>
          <w:bCs/>
          <w:sz w:val="20"/>
        </w:rPr>
        <w:t>2.</w:t>
      </w:r>
      <w:r w:rsidRPr="00FE77C9">
        <w:rPr>
          <w:rFonts w:ascii="Verdana" w:hAnsi="Verdana"/>
          <w:bCs/>
          <w:sz w:val="20"/>
        </w:rPr>
        <w:t>     Poder calorífico de dichos componentes expresado en BTU/pie cúbico para el gas natural y en MMBTU, tratándose de condensados.</w:t>
      </w:r>
    </w:p>
    <w:p w:rsidR="00FE77C9" w:rsidRPr="00FE77C9" w:rsidRDefault="00FE77C9" w:rsidP="00FE77C9">
      <w:pPr>
        <w:jc w:val="both"/>
        <w:rPr>
          <w:rFonts w:ascii="Verdana" w:hAnsi="Verdana"/>
          <w:bCs/>
          <w:sz w:val="20"/>
        </w:rPr>
      </w:pPr>
      <w:r w:rsidRPr="00FE77C9">
        <w:rPr>
          <w:rFonts w:ascii="Verdana" w:hAnsi="Verdana"/>
          <w:bCs/>
          <w:sz w:val="20"/>
        </w:rPr>
        <w:t> </w:t>
      </w:r>
    </w:p>
    <w:p w:rsidR="00FE77C9" w:rsidRPr="00FE77C9" w:rsidRDefault="00FE77C9" w:rsidP="00FE77C9">
      <w:pPr>
        <w:jc w:val="both"/>
        <w:rPr>
          <w:rFonts w:ascii="Verdana" w:hAnsi="Verdana"/>
          <w:bCs/>
          <w:sz w:val="20"/>
        </w:rPr>
      </w:pPr>
      <w:r w:rsidRPr="00FE77C9">
        <w:rPr>
          <w:rFonts w:ascii="Verdana" w:hAnsi="Verdana"/>
          <w:b/>
          <w:bCs/>
          <w:sz w:val="20"/>
        </w:rPr>
        <w:t>III.</w:t>
      </w:r>
      <w:r w:rsidRPr="00FE77C9">
        <w:rPr>
          <w:rFonts w:ascii="Verdana" w:hAnsi="Verdana"/>
          <w:bCs/>
          <w:sz w:val="20"/>
        </w:rPr>
        <w:t>    Para Petróleo, en estaciones de proceso:</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Gravedad específica del aceite, expresada en grados API a una posición decimal.</w:t>
      </w:r>
    </w:p>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Contenido de azufre, expresado en porcentaje a una posición decimal.</w:t>
      </w:r>
    </w:p>
    <w:p w:rsidR="00FE77C9" w:rsidRPr="00FE77C9" w:rsidRDefault="00FE77C9" w:rsidP="00FE77C9">
      <w:pPr>
        <w:jc w:val="both"/>
        <w:rPr>
          <w:rFonts w:ascii="Verdana" w:hAnsi="Verdana"/>
          <w:bCs/>
          <w:sz w:val="20"/>
        </w:rPr>
      </w:pPr>
      <w:r w:rsidRPr="00FE77C9">
        <w:rPr>
          <w:rFonts w:ascii="Verdana" w:hAnsi="Verdana"/>
          <w:b/>
          <w:bCs/>
          <w:sz w:val="20"/>
        </w:rPr>
        <w:t>IV.</w:t>
      </w:r>
      <w:r w:rsidRPr="00FE77C9">
        <w:rPr>
          <w:rFonts w:ascii="Verdana" w:hAnsi="Verdana"/>
          <w:bCs/>
          <w:sz w:val="20"/>
        </w:rPr>
        <w:t xml:space="preserve">   Para </w:t>
      </w:r>
      <w:proofErr w:type="gramStart"/>
      <w:r w:rsidRPr="00FE77C9">
        <w:rPr>
          <w:rFonts w:ascii="Verdana" w:hAnsi="Verdana"/>
          <w:bCs/>
          <w:sz w:val="20"/>
        </w:rPr>
        <w:t>gas natural y condensados</w:t>
      </w:r>
      <w:proofErr w:type="gramEnd"/>
      <w:r w:rsidRPr="00FE77C9">
        <w:rPr>
          <w:rFonts w:ascii="Verdana" w:hAnsi="Verdana"/>
          <w:bCs/>
          <w:sz w:val="20"/>
        </w:rPr>
        <w:t>, en estaciones de proceso:</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Fracción molar de los siguientes componentes en la mezcla: metano, etano, propano, butanos (n-butano, isobutano), pentanos, hexanos, heptanos, octanos, nonanos y decanos.</w:t>
      </w:r>
    </w:p>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Poder calorífico de dichos componentes expresado en BTU/pie cúbico para el gas natural y en MMBTU, tratándose de condensados.</w:t>
      </w:r>
    </w:p>
    <w:p w:rsidR="00FE77C9" w:rsidRPr="00FE77C9" w:rsidRDefault="00FE77C9" w:rsidP="00FE77C9">
      <w:pPr>
        <w:jc w:val="both"/>
        <w:rPr>
          <w:rFonts w:ascii="Verdana" w:hAnsi="Verdana"/>
          <w:bCs/>
          <w:sz w:val="20"/>
        </w:rPr>
      </w:pPr>
      <w:r w:rsidRPr="00FE77C9">
        <w:rPr>
          <w:rFonts w:ascii="Verdana" w:hAnsi="Verdana"/>
          <w:b/>
          <w:bCs/>
          <w:sz w:val="20"/>
        </w:rPr>
        <w:t>V.</w:t>
      </w:r>
      <w:r w:rsidRPr="00FE77C9">
        <w:rPr>
          <w:rFonts w:ascii="Verdana" w:hAnsi="Verdana"/>
          <w:bCs/>
          <w:sz w:val="20"/>
        </w:rPr>
        <w:t>    Para gasolinas:</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Índice de octano.</w:t>
      </w:r>
    </w:p>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Porcentaje del combustible no fósil en la mezcla.</w:t>
      </w:r>
    </w:p>
    <w:p w:rsidR="00FE77C9" w:rsidRPr="00FE77C9" w:rsidRDefault="00FE77C9" w:rsidP="00FE77C9">
      <w:pPr>
        <w:jc w:val="both"/>
        <w:rPr>
          <w:rFonts w:ascii="Verdana" w:hAnsi="Verdana"/>
          <w:bCs/>
          <w:sz w:val="20"/>
        </w:rPr>
      </w:pPr>
      <w:r w:rsidRPr="00FE77C9">
        <w:rPr>
          <w:rFonts w:ascii="Verdana" w:hAnsi="Verdana"/>
          <w:b/>
          <w:bCs/>
          <w:sz w:val="20"/>
        </w:rPr>
        <w:t>VI.</w:t>
      </w:r>
      <w:r w:rsidRPr="00FE77C9">
        <w:rPr>
          <w:rFonts w:ascii="Verdana" w:hAnsi="Verdana"/>
          <w:bCs/>
          <w:sz w:val="20"/>
        </w:rPr>
        <w:t>   Para diésel:</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Porcentaje del combustible no fósil en la mezcla.</w:t>
      </w:r>
    </w:p>
    <w:p w:rsidR="00FE77C9" w:rsidRPr="00FE77C9" w:rsidRDefault="00FE77C9" w:rsidP="00FE77C9">
      <w:pPr>
        <w:jc w:val="both"/>
        <w:rPr>
          <w:rFonts w:ascii="Verdana" w:hAnsi="Verdana"/>
          <w:bCs/>
          <w:sz w:val="20"/>
        </w:rPr>
      </w:pPr>
      <w:r w:rsidRPr="00FE77C9">
        <w:rPr>
          <w:rFonts w:ascii="Verdana" w:hAnsi="Verdana"/>
          <w:b/>
          <w:bCs/>
          <w:sz w:val="20"/>
        </w:rPr>
        <w:t>VII.</w:t>
      </w:r>
      <w:r w:rsidRPr="00FE77C9">
        <w:rPr>
          <w:rFonts w:ascii="Verdana" w:hAnsi="Verdana"/>
          <w:bCs/>
          <w:sz w:val="20"/>
        </w:rPr>
        <w:t>   Para turbosina:</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Porcentaje del combustible no fósil en la mezcla.</w:t>
      </w:r>
    </w:p>
    <w:p w:rsidR="00FE77C9" w:rsidRPr="00FE77C9" w:rsidRDefault="00FE77C9" w:rsidP="00FE77C9">
      <w:pPr>
        <w:jc w:val="both"/>
        <w:rPr>
          <w:rFonts w:ascii="Verdana" w:hAnsi="Verdana"/>
          <w:bCs/>
          <w:sz w:val="20"/>
        </w:rPr>
      </w:pPr>
      <w:r w:rsidRPr="00FE77C9">
        <w:rPr>
          <w:rFonts w:ascii="Verdana" w:hAnsi="Verdana"/>
          <w:b/>
          <w:bCs/>
          <w:sz w:val="20"/>
        </w:rPr>
        <w:t>VIII.</w:t>
      </w:r>
      <w:r w:rsidRPr="00FE77C9">
        <w:rPr>
          <w:rFonts w:ascii="Verdana" w:hAnsi="Verdana"/>
          <w:bCs/>
          <w:sz w:val="20"/>
        </w:rPr>
        <w:t>  Para gas licuado de petróleo:</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Porcentaje del propano en la mezcla.</w:t>
      </w:r>
    </w:p>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Porcentaje del butano en la mezcla.</w:t>
      </w:r>
    </w:p>
    <w:p w:rsidR="00FE77C9" w:rsidRPr="00FE77C9" w:rsidRDefault="00FE77C9" w:rsidP="00FE77C9">
      <w:pPr>
        <w:jc w:val="both"/>
        <w:rPr>
          <w:rFonts w:ascii="Verdana" w:hAnsi="Verdana"/>
          <w:bCs/>
          <w:sz w:val="20"/>
        </w:rPr>
      </w:pPr>
      <w:r w:rsidRPr="00FE77C9">
        <w:rPr>
          <w:rFonts w:ascii="Verdana" w:hAnsi="Verdana"/>
          <w:bCs/>
          <w:sz w:val="20"/>
        </w:rPr>
        <w:lastRenderedPageBreak/>
        <w:t>       Se debe normalizar al 100% la suma de los porcentajes de propano y butano obtenidos de la cromatografía y con ello ajustar los porcentajes de estos componentes.</w:t>
      </w:r>
    </w:p>
    <w:p w:rsidR="00FE77C9" w:rsidRPr="00FE77C9" w:rsidRDefault="00FE77C9" w:rsidP="00FE77C9">
      <w:pPr>
        <w:jc w:val="both"/>
        <w:rPr>
          <w:rFonts w:ascii="Verdana" w:hAnsi="Verdana"/>
          <w:bCs/>
          <w:sz w:val="20"/>
        </w:rPr>
      </w:pPr>
      <w:r w:rsidRPr="00FE77C9">
        <w:rPr>
          <w:rFonts w:ascii="Verdana" w:hAnsi="Verdana"/>
          <w:bCs/>
          <w:sz w:val="20"/>
        </w:rPr>
        <w:t>       Ejemplo:</w:t>
      </w:r>
    </w:p>
    <w:p w:rsidR="00FE77C9" w:rsidRPr="00FE77C9" w:rsidRDefault="00FE77C9" w:rsidP="00FE77C9">
      <w:pPr>
        <w:jc w:val="both"/>
        <w:rPr>
          <w:rFonts w:ascii="Verdana" w:hAnsi="Verdana"/>
          <w:bCs/>
          <w:sz w:val="20"/>
        </w:rPr>
      </w:pPr>
      <w:r w:rsidRPr="00FE77C9">
        <w:rPr>
          <w:rFonts w:ascii="Verdana" w:hAnsi="Verdana"/>
          <w:bCs/>
          <w:sz w:val="20"/>
        </w:rPr>
        <w:t>       Propano = 60%; Butano = 30%; otros componentes = 10%</w:t>
      </w:r>
    </w:p>
    <w:p w:rsidR="00FE77C9" w:rsidRPr="00FE77C9" w:rsidRDefault="00FE77C9" w:rsidP="00FE77C9">
      <w:pPr>
        <w:jc w:val="both"/>
        <w:rPr>
          <w:rFonts w:ascii="Verdana" w:hAnsi="Verdana"/>
          <w:bCs/>
          <w:sz w:val="20"/>
        </w:rPr>
      </w:pPr>
      <w:r w:rsidRPr="00FE77C9">
        <w:rPr>
          <w:rFonts w:ascii="Verdana" w:hAnsi="Verdana"/>
          <w:bCs/>
          <w:sz w:val="20"/>
        </w:rPr>
        <w:t>       Propano + Butano = 90%</w:t>
      </w:r>
    </w:p>
    <w:p w:rsidR="00FE77C9" w:rsidRPr="00FE77C9" w:rsidRDefault="00FE77C9" w:rsidP="00FE77C9">
      <w:pPr>
        <w:jc w:val="both"/>
        <w:rPr>
          <w:rFonts w:ascii="Verdana" w:hAnsi="Verdana"/>
          <w:bCs/>
          <w:sz w:val="20"/>
        </w:rPr>
      </w:pPr>
      <w:r w:rsidRPr="00FE77C9">
        <w:rPr>
          <w:rFonts w:ascii="Verdana" w:hAnsi="Verdana"/>
          <w:bCs/>
          <w:sz w:val="20"/>
        </w:rPr>
        <w:t>       Normalizando Propano + Butano al 100%</w:t>
      </w:r>
    </w:p>
    <w:p w:rsidR="00FE77C9" w:rsidRPr="00FE77C9" w:rsidRDefault="00FE77C9" w:rsidP="00FE77C9">
      <w:pPr>
        <w:jc w:val="both"/>
        <w:rPr>
          <w:rFonts w:ascii="Verdana" w:hAnsi="Verdana"/>
          <w:bCs/>
          <w:sz w:val="20"/>
        </w:rPr>
      </w:pPr>
      <w:r w:rsidRPr="00FE77C9">
        <w:rPr>
          <w:rFonts w:ascii="Verdana" w:hAnsi="Verdana"/>
          <w:bCs/>
          <w:sz w:val="20"/>
        </w:rPr>
        <w:drawing>
          <wp:inline distT="0" distB="0" distL="0" distR="0">
            <wp:extent cx="2143760" cy="599440"/>
            <wp:effectExtent l="0" t="0" r="8890" b="0"/>
            <wp:docPr id="1" name="Imagen 1" descr="http://www.dof.gob.mx/imagenes_diarios/2020/01/20/MAT/shcp11_Cimg_3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20/01/20/MAT/shcp11_Cimg_374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760" cy="599440"/>
                    </a:xfrm>
                    <a:prstGeom prst="rect">
                      <a:avLst/>
                    </a:prstGeom>
                    <a:noFill/>
                    <a:ln>
                      <a:noFill/>
                    </a:ln>
                  </pic:spPr>
                </pic:pic>
              </a:graphicData>
            </a:graphic>
          </wp:inline>
        </w:drawing>
      </w:r>
    </w:p>
    <w:p w:rsidR="00FE77C9" w:rsidRPr="00FE77C9" w:rsidRDefault="00FE77C9" w:rsidP="00FE77C9">
      <w:pPr>
        <w:jc w:val="both"/>
        <w:rPr>
          <w:rFonts w:ascii="Verdana" w:hAnsi="Verdana"/>
          <w:bCs/>
          <w:sz w:val="20"/>
        </w:rPr>
      </w:pPr>
      <w:r w:rsidRPr="00FE77C9">
        <w:rPr>
          <w:rFonts w:ascii="Verdana" w:hAnsi="Verdana"/>
          <w:bCs/>
          <w:sz w:val="20"/>
        </w:rPr>
        <w:t>Para los efectos de las fracciones V, VI y VII de este apartado, se entiende por combustible no fósil, al combustible o al componente de un combustible, que no se obtienen o derivan de un proceso de destilación del petróleo crudo o del procesamiento de gas natural.</w:t>
      </w:r>
    </w:p>
    <w:p w:rsidR="00FE77C9" w:rsidRPr="00FE77C9" w:rsidRDefault="00FE77C9" w:rsidP="00FE77C9">
      <w:pPr>
        <w:jc w:val="both"/>
        <w:rPr>
          <w:rFonts w:ascii="Verdana" w:hAnsi="Verdana"/>
          <w:bCs/>
          <w:sz w:val="20"/>
        </w:rPr>
      </w:pPr>
      <w:r w:rsidRPr="00FE77C9">
        <w:rPr>
          <w:rFonts w:ascii="Verdana" w:hAnsi="Verdana"/>
          <w:b/>
          <w:bCs/>
          <w:sz w:val="20"/>
        </w:rPr>
        <w:t>30.6.1.2.4.</w:t>
      </w:r>
      <w:r w:rsidRPr="00FE77C9">
        <w:rPr>
          <w:rFonts w:ascii="Verdana" w:hAnsi="Verdana"/>
          <w:bCs/>
          <w:sz w:val="20"/>
        </w:rPr>
        <w:t>    </w:t>
      </w:r>
      <w:r w:rsidRPr="00FE77C9">
        <w:rPr>
          <w:rFonts w:ascii="Verdana" w:hAnsi="Verdana"/>
          <w:b/>
          <w:bCs/>
          <w:sz w:val="20"/>
        </w:rPr>
        <w:t>Información fiscal sobre la adquisición, enajenación o prestación de servicios:</w:t>
      </w:r>
    </w:p>
    <w:p w:rsidR="00FE77C9" w:rsidRPr="00FE77C9" w:rsidRDefault="00FE77C9" w:rsidP="00FE77C9">
      <w:pPr>
        <w:jc w:val="both"/>
        <w:rPr>
          <w:rFonts w:ascii="Verdana" w:hAnsi="Verdana"/>
          <w:bCs/>
          <w:sz w:val="20"/>
        </w:rPr>
      </w:pPr>
      <w:r w:rsidRPr="00FE77C9">
        <w:rPr>
          <w:rFonts w:ascii="Verdana" w:hAnsi="Verdana"/>
          <w:bCs/>
          <w:sz w:val="20"/>
        </w:rPr>
        <w:t xml:space="preserve">La información que se debe recopilar sobre la adquisición, enajenación o prestación de servicios contenida en los CFDI a que se refiere el apartado 30.4.3. </w:t>
      </w:r>
      <w:proofErr w:type="gramStart"/>
      <w:r w:rsidRPr="00FE77C9">
        <w:rPr>
          <w:rFonts w:ascii="Verdana" w:hAnsi="Verdana"/>
          <w:bCs/>
          <w:sz w:val="20"/>
        </w:rPr>
        <w:t>de</w:t>
      </w:r>
      <w:proofErr w:type="gramEnd"/>
      <w:r w:rsidRPr="00FE77C9">
        <w:rPr>
          <w:rFonts w:ascii="Verdana" w:hAnsi="Verdana"/>
          <w:bCs/>
          <w:sz w:val="20"/>
        </w:rPr>
        <w:t xml:space="preserve"> este Anexo, es la siguiente:</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Clave en el RFC del emisor o receptor (adquisición o enajenación) y, en su caso, del prestador o prestatario del servicio, según corresponda.</w:t>
      </w:r>
    </w:p>
    <w:p w:rsidR="00FE77C9" w:rsidRPr="00FE77C9" w:rsidRDefault="00FE77C9" w:rsidP="00FE77C9">
      <w:pPr>
        <w:jc w:val="both"/>
        <w:rPr>
          <w:rFonts w:ascii="Verdana" w:hAnsi="Verdana"/>
          <w:bCs/>
          <w:sz w:val="20"/>
        </w:rPr>
      </w:pPr>
      <w:r w:rsidRPr="00FE77C9">
        <w:rPr>
          <w:rFonts w:ascii="Verdana" w:hAnsi="Verdana"/>
          <w:b/>
          <w:bCs/>
          <w:sz w:val="20"/>
        </w:rPr>
        <w:t>II.</w:t>
      </w:r>
      <w:r w:rsidRPr="00FE77C9">
        <w:rPr>
          <w:rFonts w:ascii="Verdana" w:hAnsi="Verdana"/>
          <w:bCs/>
          <w:sz w:val="20"/>
        </w:rPr>
        <w:t>     Folio fiscal del CFDI.</w:t>
      </w:r>
    </w:p>
    <w:p w:rsidR="00FE77C9" w:rsidRPr="00FE77C9" w:rsidRDefault="00FE77C9" w:rsidP="00FE77C9">
      <w:pPr>
        <w:jc w:val="both"/>
        <w:rPr>
          <w:rFonts w:ascii="Verdana" w:hAnsi="Verdana"/>
          <w:bCs/>
          <w:sz w:val="20"/>
        </w:rPr>
      </w:pPr>
      <w:r w:rsidRPr="00FE77C9">
        <w:rPr>
          <w:rFonts w:ascii="Verdana" w:hAnsi="Verdana"/>
          <w:b/>
          <w:bCs/>
          <w:sz w:val="20"/>
        </w:rPr>
        <w:t>III.</w:t>
      </w:r>
      <w:r w:rsidRPr="00FE77C9">
        <w:rPr>
          <w:rFonts w:ascii="Verdana" w:hAnsi="Verdana"/>
          <w:bCs/>
          <w:sz w:val="20"/>
        </w:rPr>
        <w:t>    Tratándose de los CFDI de adquisición o enajenación, el volumen, el precio por unidad de medida del bien y el importe total de la transacción.</w:t>
      </w:r>
    </w:p>
    <w:p w:rsidR="00FE77C9" w:rsidRPr="00FE77C9" w:rsidRDefault="00FE77C9" w:rsidP="00FE77C9">
      <w:pPr>
        <w:jc w:val="both"/>
        <w:rPr>
          <w:rFonts w:ascii="Verdana" w:hAnsi="Verdana"/>
          <w:bCs/>
          <w:sz w:val="20"/>
        </w:rPr>
      </w:pPr>
      <w:r w:rsidRPr="00FE77C9">
        <w:rPr>
          <w:rFonts w:ascii="Verdana" w:hAnsi="Verdana"/>
          <w:b/>
          <w:bCs/>
          <w:sz w:val="20"/>
        </w:rPr>
        <w:t>IV.</w:t>
      </w:r>
      <w:r w:rsidRPr="00FE77C9">
        <w:rPr>
          <w:rFonts w:ascii="Verdana" w:hAnsi="Verdana"/>
          <w:bCs/>
          <w:sz w:val="20"/>
        </w:rPr>
        <w:t>   Tratándose de los CFDI de los servicios, el tipo y descripción del servicio prestado, así como el importe total del servicio.</w:t>
      </w:r>
    </w:p>
    <w:p w:rsidR="00FE77C9" w:rsidRPr="00FE77C9" w:rsidRDefault="00FE77C9" w:rsidP="00FE77C9">
      <w:pPr>
        <w:jc w:val="both"/>
        <w:rPr>
          <w:rFonts w:ascii="Verdana" w:hAnsi="Verdana"/>
          <w:bCs/>
          <w:sz w:val="20"/>
        </w:rPr>
      </w:pPr>
      <w:r w:rsidRPr="00FE77C9">
        <w:rPr>
          <w:rFonts w:ascii="Verdana" w:hAnsi="Verdana"/>
          <w:b/>
          <w:bCs/>
          <w:sz w:val="20"/>
        </w:rPr>
        <w:t>30.6.1.2.5. </w:t>
      </w:r>
      <w:r w:rsidRPr="00FE77C9">
        <w:rPr>
          <w:rFonts w:ascii="Verdana" w:hAnsi="Verdana"/>
          <w:bCs/>
          <w:sz w:val="20"/>
        </w:rPr>
        <w:t>   </w:t>
      </w:r>
      <w:r w:rsidRPr="00FE77C9">
        <w:rPr>
          <w:rFonts w:ascii="Verdana" w:hAnsi="Verdana"/>
          <w:b/>
          <w:bCs/>
          <w:sz w:val="20"/>
        </w:rPr>
        <w:t>Información sobre la adquisición o enajenación en transacciones comerciales internacionales</w:t>
      </w:r>
    </w:p>
    <w:p w:rsidR="00FE77C9" w:rsidRPr="00FE77C9" w:rsidRDefault="00FE77C9" w:rsidP="00FE77C9">
      <w:pPr>
        <w:jc w:val="both"/>
        <w:rPr>
          <w:rFonts w:ascii="Verdana" w:hAnsi="Verdana"/>
          <w:bCs/>
          <w:sz w:val="20"/>
        </w:rPr>
      </w:pPr>
      <w:r w:rsidRPr="00FE77C9">
        <w:rPr>
          <w:rFonts w:ascii="Verdana" w:hAnsi="Verdana"/>
          <w:bCs/>
          <w:sz w:val="20"/>
        </w:rPr>
        <w:t xml:space="preserve">La información que se debe recopilar sobre la adquisición o enajenación contenida en los pedimentos a que se refiere el apartado 30.4.3. </w:t>
      </w:r>
      <w:proofErr w:type="gramStart"/>
      <w:r w:rsidRPr="00FE77C9">
        <w:rPr>
          <w:rFonts w:ascii="Verdana" w:hAnsi="Verdana"/>
          <w:bCs/>
          <w:sz w:val="20"/>
        </w:rPr>
        <w:t>de</w:t>
      </w:r>
      <w:proofErr w:type="gramEnd"/>
      <w:r w:rsidRPr="00FE77C9">
        <w:rPr>
          <w:rFonts w:ascii="Verdana" w:hAnsi="Verdana"/>
          <w:bCs/>
          <w:sz w:val="20"/>
        </w:rPr>
        <w:t xml:space="preserve"> este Anexo, es la siguiente:</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Punto de exportación.</w:t>
      </w:r>
    </w:p>
    <w:p w:rsidR="00FE77C9" w:rsidRPr="00FE77C9" w:rsidRDefault="00FE77C9" w:rsidP="00FE77C9">
      <w:pPr>
        <w:jc w:val="both"/>
        <w:rPr>
          <w:rFonts w:ascii="Verdana" w:hAnsi="Verdana"/>
          <w:bCs/>
          <w:sz w:val="20"/>
        </w:rPr>
      </w:pPr>
      <w:r w:rsidRPr="00FE77C9">
        <w:rPr>
          <w:rFonts w:ascii="Verdana" w:hAnsi="Verdana"/>
          <w:b/>
          <w:bCs/>
          <w:sz w:val="20"/>
        </w:rPr>
        <w:t>II. </w:t>
      </w:r>
      <w:r w:rsidRPr="00FE77C9">
        <w:rPr>
          <w:rFonts w:ascii="Verdana" w:hAnsi="Verdana"/>
          <w:bCs/>
          <w:sz w:val="20"/>
        </w:rPr>
        <w:t>    Punto de internación.</w:t>
      </w:r>
    </w:p>
    <w:p w:rsidR="00FE77C9" w:rsidRPr="00FE77C9" w:rsidRDefault="00FE77C9" w:rsidP="00FE77C9">
      <w:pPr>
        <w:jc w:val="both"/>
        <w:rPr>
          <w:rFonts w:ascii="Verdana" w:hAnsi="Verdana"/>
          <w:bCs/>
          <w:sz w:val="20"/>
        </w:rPr>
      </w:pPr>
      <w:r w:rsidRPr="00FE77C9">
        <w:rPr>
          <w:rFonts w:ascii="Verdana" w:hAnsi="Verdana"/>
          <w:bCs/>
          <w:sz w:val="20"/>
        </w:rPr>
        <w:t> </w:t>
      </w:r>
    </w:p>
    <w:p w:rsidR="00FE77C9" w:rsidRPr="00FE77C9" w:rsidRDefault="00FE77C9" w:rsidP="00FE77C9">
      <w:pPr>
        <w:jc w:val="both"/>
        <w:rPr>
          <w:rFonts w:ascii="Verdana" w:hAnsi="Verdana"/>
          <w:bCs/>
          <w:sz w:val="20"/>
        </w:rPr>
      </w:pPr>
      <w:r w:rsidRPr="00FE77C9">
        <w:rPr>
          <w:rFonts w:ascii="Verdana" w:hAnsi="Verdana"/>
          <w:b/>
          <w:bCs/>
          <w:sz w:val="20"/>
        </w:rPr>
        <w:t>III. </w:t>
      </w:r>
      <w:r w:rsidRPr="00FE77C9">
        <w:rPr>
          <w:rFonts w:ascii="Verdana" w:hAnsi="Verdana"/>
          <w:bCs/>
          <w:sz w:val="20"/>
        </w:rPr>
        <w:t>   País destino.</w:t>
      </w:r>
    </w:p>
    <w:p w:rsidR="00FE77C9" w:rsidRPr="00FE77C9" w:rsidRDefault="00FE77C9" w:rsidP="00FE77C9">
      <w:pPr>
        <w:jc w:val="both"/>
        <w:rPr>
          <w:rFonts w:ascii="Verdana" w:hAnsi="Verdana"/>
          <w:bCs/>
          <w:sz w:val="20"/>
        </w:rPr>
      </w:pPr>
      <w:r w:rsidRPr="00FE77C9">
        <w:rPr>
          <w:rFonts w:ascii="Verdana" w:hAnsi="Verdana"/>
          <w:b/>
          <w:bCs/>
          <w:sz w:val="20"/>
        </w:rPr>
        <w:lastRenderedPageBreak/>
        <w:t>IV. </w:t>
      </w:r>
      <w:r w:rsidRPr="00FE77C9">
        <w:rPr>
          <w:rFonts w:ascii="Verdana" w:hAnsi="Verdana"/>
          <w:bCs/>
          <w:sz w:val="20"/>
        </w:rPr>
        <w:t>   País origen.</w:t>
      </w:r>
    </w:p>
    <w:p w:rsidR="00FE77C9" w:rsidRPr="00FE77C9" w:rsidRDefault="00FE77C9" w:rsidP="00FE77C9">
      <w:pPr>
        <w:jc w:val="both"/>
        <w:rPr>
          <w:rFonts w:ascii="Verdana" w:hAnsi="Verdana"/>
          <w:bCs/>
          <w:sz w:val="20"/>
        </w:rPr>
      </w:pPr>
      <w:r w:rsidRPr="00FE77C9">
        <w:rPr>
          <w:rFonts w:ascii="Verdana" w:hAnsi="Verdana"/>
          <w:b/>
          <w:bCs/>
          <w:sz w:val="20"/>
        </w:rPr>
        <w:t>V. </w:t>
      </w:r>
      <w:r w:rsidRPr="00FE77C9">
        <w:rPr>
          <w:rFonts w:ascii="Verdana" w:hAnsi="Verdana"/>
          <w:bCs/>
          <w:sz w:val="20"/>
        </w:rPr>
        <w:t>   Medio de transporte por el cual entra a la aduana.</w:t>
      </w:r>
    </w:p>
    <w:p w:rsidR="00FE77C9" w:rsidRPr="00FE77C9" w:rsidRDefault="00FE77C9" w:rsidP="00FE77C9">
      <w:pPr>
        <w:jc w:val="both"/>
        <w:rPr>
          <w:rFonts w:ascii="Verdana" w:hAnsi="Verdana"/>
          <w:bCs/>
          <w:sz w:val="20"/>
        </w:rPr>
      </w:pPr>
      <w:r w:rsidRPr="00FE77C9">
        <w:rPr>
          <w:rFonts w:ascii="Verdana" w:hAnsi="Verdana"/>
          <w:b/>
          <w:bCs/>
          <w:sz w:val="20"/>
        </w:rPr>
        <w:t>VI. </w:t>
      </w:r>
      <w:r w:rsidRPr="00FE77C9">
        <w:rPr>
          <w:rFonts w:ascii="Verdana" w:hAnsi="Verdana"/>
          <w:bCs/>
          <w:sz w:val="20"/>
        </w:rPr>
        <w:t>   Medio de transporte por el cual sale a la aduana.</w:t>
      </w:r>
    </w:p>
    <w:p w:rsidR="00FE77C9" w:rsidRPr="00FE77C9" w:rsidRDefault="00FE77C9" w:rsidP="00FE77C9">
      <w:pPr>
        <w:jc w:val="both"/>
        <w:rPr>
          <w:rFonts w:ascii="Verdana" w:hAnsi="Verdana"/>
          <w:bCs/>
          <w:sz w:val="20"/>
        </w:rPr>
      </w:pPr>
      <w:r w:rsidRPr="00FE77C9">
        <w:rPr>
          <w:rFonts w:ascii="Verdana" w:hAnsi="Verdana"/>
          <w:b/>
          <w:bCs/>
          <w:sz w:val="20"/>
        </w:rPr>
        <w:t>VII.</w:t>
      </w:r>
      <w:r w:rsidRPr="00FE77C9">
        <w:rPr>
          <w:rFonts w:ascii="Verdana" w:hAnsi="Verdana"/>
          <w:bCs/>
          <w:sz w:val="20"/>
        </w:rPr>
        <w:t>   Incoterms.</w:t>
      </w:r>
    </w:p>
    <w:p w:rsidR="00FE77C9" w:rsidRPr="00FE77C9" w:rsidRDefault="00FE77C9" w:rsidP="00FE77C9">
      <w:pPr>
        <w:jc w:val="both"/>
        <w:rPr>
          <w:rFonts w:ascii="Verdana" w:hAnsi="Verdana"/>
          <w:bCs/>
          <w:sz w:val="20"/>
        </w:rPr>
      </w:pPr>
      <w:r w:rsidRPr="00FE77C9">
        <w:rPr>
          <w:rFonts w:ascii="Verdana" w:hAnsi="Verdana"/>
          <w:b/>
          <w:bCs/>
          <w:sz w:val="20"/>
        </w:rPr>
        <w:t>30.6.1.3.</w:t>
      </w:r>
      <w:r w:rsidRPr="00FE77C9">
        <w:rPr>
          <w:rFonts w:ascii="Verdana" w:hAnsi="Verdana"/>
          <w:bCs/>
          <w:sz w:val="20"/>
        </w:rPr>
        <w:t> </w:t>
      </w:r>
      <w:r w:rsidRPr="00FE77C9">
        <w:rPr>
          <w:rFonts w:ascii="Verdana" w:hAnsi="Verdana"/>
          <w:b/>
          <w:bCs/>
          <w:sz w:val="20"/>
        </w:rPr>
        <w:t>Requerimientos del almacenamiento de la información.</w:t>
      </w:r>
    </w:p>
    <w:p w:rsidR="00FE77C9" w:rsidRPr="00FE77C9" w:rsidRDefault="00FE77C9" w:rsidP="00FE77C9">
      <w:pPr>
        <w:jc w:val="both"/>
        <w:rPr>
          <w:rFonts w:ascii="Verdana" w:hAnsi="Verdana"/>
          <w:bCs/>
          <w:sz w:val="20"/>
        </w:rPr>
      </w:pPr>
      <w:r w:rsidRPr="00FE77C9">
        <w:rPr>
          <w:rFonts w:ascii="Verdana" w:hAnsi="Verdana"/>
          <w:bCs/>
          <w:sz w:val="20"/>
        </w:rPr>
        <w:t>El almacenamiento de la información debe cumplir lo siguiente:</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La información generada, recopilada y procesada, se debe almacenar de forma segura y confiable.</w:t>
      </w:r>
    </w:p>
    <w:p w:rsidR="00FE77C9" w:rsidRPr="00FE77C9" w:rsidRDefault="00FE77C9" w:rsidP="00FE77C9">
      <w:pPr>
        <w:jc w:val="both"/>
        <w:rPr>
          <w:rFonts w:ascii="Verdana" w:hAnsi="Verdana"/>
          <w:bCs/>
          <w:sz w:val="20"/>
        </w:rPr>
      </w:pPr>
      <w:r w:rsidRPr="00FE77C9">
        <w:rPr>
          <w:rFonts w:ascii="Verdana" w:hAnsi="Verdana"/>
          <w:b/>
          <w:bCs/>
          <w:sz w:val="20"/>
        </w:rPr>
        <w:t>II.</w:t>
      </w:r>
      <w:r w:rsidRPr="00FE77C9">
        <w:rPr>
          <w:rFonts w:ascii="Verdana" w:hAnsi="Verdana"/>
          <w:bCs/>
          <w:sz w:val="20"/>
        </w:rPr>
        <w:t>     Toda la información almacenada debe estar protegida de manera que no pueda ser eliminada. Cualquier modificación realizada a la información almacenada debe quedar registrada.</w:t>
      </w:r>
    </w:p>
    <w:p w:rsidR="00FE77C9" w:rsidRPr="00FE77C9" w:rsidRDefault="00FE77C9" w:rsidP="00FE77C9">
      <w:pPr>
        <w:jc w:val="both"/>
        <w:rPr>
          <w:rFonts w:ascii="Verdana" w:hAnsi="Verdana"/>
          <w:bCs/>
          <w:sz w:val="20"/>
        </w:rPr>
      </w:pPr>
      <w:r w:rsidRPr="00FE77C9">
        <w:rPr>
          <w:rFonts w:ascii="Verdana" w:hAnsi="Verdana"/>
          <w:b/>
          <w:bCs/>
          <w:sz w:val="20"/>
        </w:rPr>
        <w:t>III.</w:t>
      </w:r>
      <w:r w:rsidRPr="00FE77C9">
        <w:rPr>
          <w:rFonts w:ascii="Verdana" w:hAnsi="Verdana"/>
          <w:bCs/>
          <w:sz w:val="20"/>
        </w:rPr>
        <w:t>    Los registros de las operaciones en cada instalación o proceso donde deban instalarse sistemas de medición, deben estar individualizados, permitiendo que sean fácilmente identificables y recuperables.</w:t>
      </w:r>
    </w:p>
    <w:p w:rsidR="00FE77C9" w:rsidRPr="00FE77C9" w:rsidRDefault="00FE77C9" w:rsidP="00FE77C9">
      <w:pPr>
        <w:jc w:val="both"/>
        <w:rPr>
          <w:rFonts w:ascii="Verdana" w:hAnsi="Verdana"/>
          <w:bCs/>
          <w:sz w:val="20"/>
        </w:rPr>
      </w:pPr>
      <w:r w:rsidRPr="00FE77C9">
        <w:rPr>
          <w:rFonts w:ascii="Verdana" w:hAnsi="Verdana"/>
          <w:b/>
          <w:bCs/>
          <w:sz w:val="20"/>
        </w:rPr>
        <w:t>IV.</w:t>
      </w:r>
      <w:r w:rsidRPr="00FE77C9">
        <w:rPr>
          <w:rFonts w:ascii="Verdana" w:hAnsi="Verdana"/>
          <w:bCs/>
          <w:sz w:val="20"/>
        </w:rPr>
        <w:t>   Toda la información que se almacene debe estar interrelacionada e integrada en una base de datos. La base de datos debe cumplir las siguientes especificaciones:</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Ser del tipo relacional.</w:t>
      </w:r>
    </w:p>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Contar con herramientas para la administración, respaldo, notificación de errores y diagnóstico.</w:t>
      </w:r>
    </w:p>
    <w:p w:rsidR="00FE77C9" w:rsidRPr="00FE77C9" w:rsidRDefault="00FE77C9" w:rsidP="00FE77C9">
      <w:pPr>
        <w:jc w:val="both"/>
        <w:rPr>
          <w:rFonts w:ascii="Verdana" w:hAnsi="Verdana"/>
          <w:bCs/>
          <w:sz w:val="20"/>
        </w:rPr>
      </w:pPr>
      <w:r w:rsidRPr="00FE77C9">
        <w:rPr>
          <w:rFonts w:ascii="Verdana" w:hAnsi="Verdana"/>
          <w:b/>
          <w:bCs/>
          <w:sz w:val="20"/>
        </w:rPr>
        <w:t>c)</w:t>
      </w:r>
      <w:r w:rsidRPr="00FE77C9">
        <w:rPr>
          <w:rFonts w:ascii="Verdana" w:hAnsi="Verdana"/>
          <w:bCs/>
          <w:sz w:val="20"/>
        </w:rPr>
        <w:t>   Tener capacidad de exportación de datos hacia aplicaciones de análisis.</w:t>
      </w:r>
    </w:p>
    <w:p w:rsidR="00FE77C9" w:rsidRPr="00FE77C9" w:rsidRDefault="00FE77C9" w:rsidP="00FE77C9">
      <w:pPr>
        <w:jc w:val="both"/>
        <w:rPr>
          <w:rFonts w:ascii="Verdana" w:hAnsi="Verdana"/>
          <w:bCs/>
          <w:sz w:val="20"/>
        </w:rPr>
      </w:pPr>
      <w:r w:rsidRPr="00FE77C9">
        <w:rPr>
          <w:rFonts w:ascii="Verdana" w:hAnsi="Verdana"/>
          <w:b/>
          <w:bCs/>
          <w:sz w:val="20"/>
        </w:rPr>
        <w:t>d)</w:t>
      </w:r>
      <w:r w:rsidRPr="00FE77C9">
        <w:rPr>
          <w:rFonts w:ascii="Verdana" w:hAnsi="Verdana"/>
          <w:bCs/>
          <w:sz w:val="20"/>
        </w:rPr>
        <w:t>   Soportar estándar de comunicación conforme a las especificaciones y características que se darán a conocer en el Portal del SAT.</w:t>
      </w:r>
    </w:p>
    <w:p w:rsidR="00FE77C9" w:rsidRPr="00FE77C9" w:rsidRDefault="00FE77C9" w:rsidP="00FE77C9">
      <w:pPr>
        <w:jc w:val="both"/>
        <w:rPr>
          <w:rFonts w:ascii="Verdana" w:hAnsi="Verdana"/>
          <w:bCs/>
          <w:sz w:val="20"/>
        </w:rPr>
      </w:pPr>
      <w:r w:rsidRPr="00FE77C9">
        <w:rPr>
          <w:rFonts w:ascii="Verdana" w:hAnsi="Verdana"/>
          <w:b/>
          <w:bCs/>
          <w:sz w:val="20"/>
        </w:rPr>
        <w:t>e)</w:t>
      </w:r>
      <w:r w:rsidRPr="00FE77C9">
        <w:rPr>
          <w:rFonts w:ascii="Verdana" w:hAnsi="Verdana"/>
          <w:bCs/>
          <w:sz w:val="20"/>
        </w:rPr>
        <w:t>   Contar con un gestor de la base de datos, que debe tener la funcionalidad para:</w:t>
      </w:r>
    </w:p>
    <w:p w:rsidR="00FE77C9" w:rsidRPr="00FE77C9" w:rsidRDefault="00FE77C9" w:rsidP="00FE77C9">
      <w:pPr>
        <w:jc w:val="both"/>
        <w:rPr>
          <w:rFonts w:ascii="Verdana" w:hAnsi="Verdana"/>
          <w:bCs/>
          <w:sz w:val="20"/>
        </w:rPr>
      </w:pPr>
      <w:r w:rsidRPr="00FE77C9">
        <w:rPr>
          <w:rFonts w:ascii="Verdana" w:hAnsi="Verdana"/>
          <w:b/>
          <w:bCs/>
          <w:sz w:val="20"/>
        </w:rPr>
        <w:t>1.</w:t>
      </w:r>
      <w:r w:rsidRPr="00FE77C9">
        <w:rPr>
          <w:rFonts w:ascii="Verdana" w:hAnsi="Verdana"/>
          <w:bCs/>
          <w:sz w:val="20"/>
        </w:rPr>
        <w:t>     Permitir la búsqueda y consulta de información.</w:t>
      </w:r>
    </w:p>
    <w:p w:rsidR="00FE77C9" w:rsidRPr="00FE77C9" w:rsidRDefault="00FE77C9" w:rsidP="00FE77C9">
      <w:pPr>
        <w:jc w:val="both"/>
        <w:rPr>
          <w:rFonts w:ascii="Verdana" w:hAnsi="Verdana"/>
          <w:bCs/>
          <w:sz w:val="20"/>
        </w:rPr>
      </w:pPr>
      <w:r w:rsidRPr="00FE77C9">
        <w:rPr>
          <w:rFonts w:ascii="Verdana" w:hAnsi="Verdana"/>
          <w:b/>
          <w:bCs/>
          <w:sz w:val="20"/>
        </w:rPr>
        <w:t>2.</w:t>
      </w:r>
      <w:r w:rsidRPr="00FE77C9">
        <w:rPr>
          <w:rFonts w:ascii="Verdana" w:hAnsi="Verdana"/>
          <w:bCs/>
          <w:sz w:val="20"/>
        </w:rPr>
        <w:t>     Disponer de un menú de informes predeterminados.</w:t>
      </w:r>
    </w:p>
    <w:p w:rsidR="00FE77C9" w:rsidRPr="00FE77C9" w:rsidRDefault="00FE77C9" w:rsidP="00FE77C9">
      <w:pPr>
        <w:jc w:val="both"/>
        <w:rPr>
          <w:rFonts w:ascii="Verdana" w:hAnsi="Verdana"/>
          <w:bCs/>
          <w:sz w:val="20"/>
        </w:rPr>
      </w:pPr>
      <w:r w:rsidRPr="00FE77C9">
        <w:rPr>
          <w:rFonts w:ascii="Verdana" w:hAnsi="Verdana"/>
          <w:b/>
          <w:bCs/>
          <w:sz w:val="20"/>
        </w:rPr>
        <w:t>3.</w:t>
      </w:r>
      <w:r w:rsidRPr="00FE77C9">
        <w:rPr>
          <w:rFonts w:ascii="Verdana" w:hAnsi="Verdana"/>
          <w:bCs/>
          <w:sz w:val="20"/>
        </w:rPr>
        <w:t>     Permitir el diseño de informes personalizados.</w:t>
      </w:r>
    </w:p>
    <w:p w:rsidR="00FE77C9" w:rsidRPr="00FE77C9" w:rsidRDefault="00FE77C9" w:rsidP="00FE77C9">
      <w:pPr>
        <w:jc w:val="both"/>
        <w:rPr>
          <w:rFonts w:ascii="Verdana" w:hAnsi="Verdana"/>
          <w:bCs/>
          <w:sz w:val="20"/>
        </w:rPr>
      </w:pPr>
      <w:r w:rsidRPr="00FE77C9">
        <w:rPr>
          <w:rFonts w:ascii="Verdana" w:hAnsi="Verdana"/>
          <w:b/>
          <w:bCs/>
          <w:sz w:val="20"/>
        </w:rPr>
        <w:t>4.</w:t>
      </w:r>
      <w:r w:rsidRPr="00FE77C9">
        <w:rPr>
          <w:rFonts w:ascii="Verdana" w:hAnsi="Verdana"/>
          <w:bCs/>
          <w:sz w:val="20"/>
        </w:rPr>
        <w:t>     Imprimir consultas e informes.</w:t>
      </w:r>
    </w:p>
    <w:p w:rsidR="00FE77C9" w:rsidRPr="00FE77C9" w:rsidRDefault="00FE77C9" w:rsidP="00FE77C9">
      <w:pPr>
        <w:jc w:val="both"/>
        <w:rPr>
          <w:rFonts w:ascii="Verdana" w:hAnsi="Verdana"/>
          <w:bCs/>
          <w:sz w:val="20"/>
        </w:rPr>
      </w:pPr>
      <w:r w:rsidRPr="00FE77C9">
        <w:rPr>
          <w:rFonts w:ascii="Verdana" w:hAnsi="Verdana"/>
          <w:b/>
          <w:bCs/>
          <w:sz w:val="20"/>
        </w:rPr>
        <w:t>V.</w:t>
      </w:r>
      <w:r w:rsidRPr="00FE77C9">
        <w:rPr>
          <w:rFonts w:ascii="Verdana" w:hAnsi="Verdana"/>
          <w:bCs/>
          <w:sz w:val="20"/>
        </w:rPr>
        <w:t>    Debe utilizar tablas que correspondan a cada concepto que se almacene, que permita su consulta y la impresión de informes o resultados de búsqueda.</w:t>
      </w:r>
    </w:p>
    <w:p w:rsidR="00FE77C9" w:rsidRPr="00FE77C9" w:rsidRDefault="00FE77C9" w:rsidP="00FE77C9">
      <w:pPr>
        <w:jc w:val="both"/>
        <w:rPr>
          <w:rFonts w:ascii="Verdana" w:hAnsi="Verdana"/>
          <w:bCs/>
          <w:sz w:val="20"/>
        </w:rPr>
      </w:pPr>
      <w:r w:rsidRPr="00FE77C9">
        <w:rPr>
          <w:rFonts w:ascii="Verdana" w:hAnsi="Verdana"/>
          <w:b/>
          <w:bCs/>
          <w:sz w:val="20"/>
        </w:rPr>
        <w:t>VI.</w:t>
      </w:r>
      <w:r w:rsidRPr="00FE77C9">
        <w:rPr>
          <w:rFonts w:ascii="Verdana" w:hAnsi="Verdana"/>
          <w:bCs/>
          <w:sz w:val="20"/>
        </w:rPr>
        <w:t>   Cada fila de las tablas deberá corresponder a un registro y las columnas de las tablas debe corresponder a los campos que conforman los registros.</w:t>
      </w:r>
    </w:p>
    <w:p w:rsidR="00FE77C9" w:rsidRPr="00FE77C9" w:rsidRDefault="00FE77C9" w:rsidP="00FE77C9">
      <w:pPr>
        <w:jc w:val="both"/>
        <w:rPr>
          <w:rFonts w:ascii="Verdana" w:hAnsi="Verdana"/>
          <w:bCs/>
          <w:sz w:val="20"/>
        </w:rPr>
      </w:pPr>
      <w:r w:rsidRPr="00FE77C9">
        <w:rPr>
          <w:rFonts w:ascii="Verdana" w:hAnsi="Verdana"/>
          <w:b/>
          <w:bCs/>
          <w:sz w:val="20"/>
        </w:rPr>
        <w:lastRenderedPageBreak/>
        <w:t>30.6.1.4.</w:t>
      </w:r>
      <w:r w:rsidRPr="00FE77C9">
        <w:rPr>
          <w:rFonts w:ascii="Verdana" w:hAnsi="Verdana"/>
          <w:bCs/>
          <w:sz w:val="20"/>
        </w:rPr>
        <w:t> </w:t>
      </w:r>
      <w:r w:rsidRPr="00FE77C9">
        <w:rPr>
          <w:rFonts w:ascii="Verdana" w:hAnsi="Verdana"/>
          <w:b/>
          <w:bCs/>
          <w:sz w:val="20"/>
        </w:rPr>
        <w:t>Requerimientos del procesamiento de la información y la generación de reportes.</w:t>
      </w:r>
    </w:p>
    <w:p w:rsidR="00FE77C9" w:rsidRPr="00FE77C9" w:rsidRDefault="00FE77C9" w:rsidP="00FE77C9">
      <w:pPr>
        <w:jc w:val="both"/>
        <w:rPr>
          <w:rFonts w:ascii="Verdana" w:hAnsi="Verdana"/>
          <w:bCs/>
          <w:sz w:val="20"/>
        </w:rPr>
      </w:pPr>
      <w:r w:rsidRPr="00FE77C9">
        <w:rPr>
          <w:rFonts w:ascii="Verdana" w:hAnsi="Verdana"/>
          <w:bCs/>
          <w:sz w:val="20"/>
        </w:rPr>
        <w:t>El procesamiento de la información consiste en someter la información generada, recopilada y almacenada a una serie de operaciones programadas que permitan:</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La integración de la información en la base de datos a que se refiere el apartado 30.6.1.3., fracción IV de este Anexo.</w:t>
      </w:r>
    </w:p>
    <w:p w:rsidR="00FE77C9" w:rsidRPr="00FE77C9" w:rsidRDefault="00FE77C9" w:rsidP="00FE77C9">
      <w:pPr>
        <w:jc w:val="both"/>
        <w:rPr>
          <w:rFonts w:ascii="Verdana" w:hAnsi="Verdana"/>
          <w:bCs/>
          <w:sz w:val="20"/>
        </w:rPr>
      </w:pPr>
      <w:r w:rsidRPr="00FE77C9">
        <w:rPr>
          <w:rFonts w:ascii="Verdana" w:hAnsi="Verdana"/>
          <w:b/>
          <w:bCs/>
          <w:sz w:val="20"/>
        </w:rPr>
        <w:t>II.</w:t>
      </w:r>
      <w:r w:rsidRPr="00FE77C9">
        <w:rPr>
          <w:rFonts w:ascii="Verdana" w:hAnsi="Verdana"/>
          <w:bCs/>
          <w:sz w:val="20"/>
        </w:rPr>
        <w:t>     La generación de los reportes de información diarios y mensuales conforme a las especificaciones y características que se darán a conocer en el Portal del SAT.</w:t>
      </w:r>
    </w:p>
    <w:p w:rsidR="00FE77C9" w:rsidRPr="00FE77C9" w:rsidRDefault="00FE77C9" w:rsidP="00FE77C9">
      <w:pPr>
        <w:jc w:val="both"/>
        <w:rPr>
          <w:rFonts w:ascii="Verdana" w:hAnsi="Verdana"/>
          <w:bCs/>
          <w:sz w:val="20"/>
        </w:rPr>
      </w:pPr>
      <w:r w:rsidRPr="00FE77C9">
        <w:rPr>
          <w:rFonts w:ascii="Verdana" w:hAnsi="Verdana"/>
          <w:b/>
          <w:bCs/>
          <w:sz w:val="20"/>
        </w:rPr>
        <w:t>III.</w:t>
      </w:r>
      <w:r w:rsidRPr="00FE77C9">
        <w:rPr>
          <w:rFonts w:ascii="Verdana" w:hAnsi="Verdana"/>
          <w:bCs/>
          <w:sz w:val="20"/>
        </w:rPr>
        <w:t>    El sellado de los reportes con el Certificado de Sello Digital del contribuyente emitido por el SAT.</w:t>
      </w:r>
    </w:p>
    <w:p w:rsidR="00FE77C9" w:rsidRPr="00FE77C9" w:rsidRDefault="00FE77C9" w:rsidP="00FE77C9">
      <w:pPr>
        <w:jc w:val="both"/>
        <w:rPr>
          <w:rFonts w:ascii="Verdana" w:hAnsi="Verdana"/>
          <w:bCs/>
          <w:sz w:val="20"/>
        </w:rPr>
      </w:pPr>
      <w:r w:rsidRPr="00FE77C9">
        <w:rPr>
          <w:rFonts w:ascii="Verdana" w:hAnsi="Verdana"/>
          <w:bCs/>
          <w:sz w:val="20"/>
        </w:rPr>
        <w:t>Los reportes mensuales a que se refiere este apartado, deberán ser enviados al SAT por los contribuyentes indicados en la regla 2.6.1.2., en la periodicidad establecida en la regla 2.8.1.7., fracción III.</w:t>
      </w:r>
    </w:p>
    <w:p w:rsidR="00FE77C9" w:rsidRPr="00FE77C9" w:rsidRDefault="00FE77C9" w:rsidP="00FE77C9">
      <w:pPr>
        <w:jc w:val="both"/>
        <w:rPr>
          <w:rFonts w:ascii="Verdana" w:hAnsi="Verdana"/>
          <w:bCs/>
          <w:sz w:val="20"/>
        </w:rPr>
      </w:pPr>
      <w:r w:rsidRPr="00FE77C9">
        <w:rPr>
          <w:rFonts w:ascii="Verdana" w:hAnsi="Verdana"/>
          <w:bCs/>
          <w:sz w:val="20"/>
        </w:rPr>
        <w:t>Adicionalmente, el programa informático debe cumplir con los requerimientos de funcionalidad informática que se darán a conocer en el Portal del SAT.</w:t>
      </w:r>
    </w:p>
    <w:p w:rsidR="00FE77C9" w:rsidRPr="00FE77C9" w:rsidRDefault="00FE77C9" w:rsidP="00FE77C9">
      <w:pPr>
        <w:jc w:val="both"/>
        <w:rPr>
          <w:rFonts w:ascii="Verdana" w:hAnsi="Verdana"/>
          <w:bCs/>
          <w:sz w:val="20"/>
        </w:rPr>
      </w:pPr>
      <w:r w:rsidRPr="00FE77C9">
        <w:rPr>
          <w:rFonts w:ascii="Verdana" w:hAnsi="Verdana"/>
          <w:b/>
          <w:bCs/>
          <w:sz w:val="20"/>
        </w:rPr>
        <w:t>30.6.2.</w:t>
      </w:r>
      <w:r w:rsidRPr="00FE77C9">
        <w:rPr>
          <w:rFonts w:ascii="Verdana" w:hAnsi="Verdana"/>
          <w:bCs/>
          <w:sz w:val="20"/>
        </w:rPr>
        <w:t>    </w:t>
      </w:r>
      <w:r w:rsidRPr="00FE77C9">
        <w:rPr>
          <w:rFonts w:ascii="Verdana" w:hAnsi="Verdana"/>
          <w:b/>
          <w:bCs/>
          <w:sz w:val="20"/>
        </w:rPr>
        <w:t>Requerimientos de seguridad.</w:t>
      </w:r>
    </w:p>
    <w:p w:rsidR="00FE77C9" w:rsidRPr="00FE77C9" w:rsidRDefault="00FE77C9" w:rsidP="00FE77C9">
      <w:pPr>
        <w:jc w:val="both"/>
        <w:rPr>
          <w:rFonts w:ascii="Verdana" w:hAnsi="Verdana"/>
          <w:bCs/>
          <w:sz w:val="20"/>
        </w:rPr>
      </w:pPr>
      <w:r w:rsidRPr="00FE77C9">
        <w:rPr>
          <w:rFonts w:ascii="Verdana" w:hAnsi="Verdana"/>
          <w:bCs/>
          <w:sz w:val="20"/>
        </w:rPr>
        <w:t>Para garantizar la seguridad de la información, se deben implementar un conjunto de medidas técnicas destinadas a preservar la confidencialidad, la integridad y la disponibilidad de la información conforme a lo siguiente:</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Se debe garantizar la confidencialidad de la información, por lo que se requiere que:</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El acceso al programa informático y a cualquier información almacenada en la UCC, sólo debe permitirse a usuarios autorizados, que deben ser autentificados mediante contraseña robusta.</w:t>
      </w:r>
    </w:p>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Los usuarios deben tener atributos para interactuar con el programa informático conforme al perfil asignado de conformidad con el apartado 30.6.1.1., fracción IV, inciso a) del presente Anexo.</w:t>
      </w:r>
    </w:p>
    <w:p w:rsidR="00FE77C9" w:rsidRPr="00FE77C9" w:rsidRDefault="00FE77C9" w:rsidP="00FE77C9">
      <w:pPr>
        <w:jc w:val="both"/>
        <w:rPr>
          <w:rFonts w:ascii="Verdana" w:hAnsi="Verdana"/>
          <w:bCs/>
          <w:sz w:val="20"/>
        </w:rPr>
      </w:pPr>
      <w:r w:rsidRPr="00FE77C9">
        <w:rPr>
          <w:rFonts w:ascii="Verdana" w:hAnsi="Verdana"/>
          <w:b/>
          <w:bCs/>
          <w:sz w:val="20"/>
        </w:rPr>
        <w:t>c)</w:t>
      </w:r>
      <w:r w:rsidRPr="00FE77C9">
        <w:rPr>
          <w:rFonts w:ascii="Verdana" w:hAnsi="Verdana"/>
          <w:bCs/>
          <w:sz w:val="20"/>
        </w:rPr>
        <w:t>   Las acciones de incorporación o cancelación de usuarios deben registrarse en la bitácora de eventos.</w:t>
      </w:r>
    </w:p>
    <w:p w:rsidR="00FE77C9" w:rsidRPr="00FE77C9" w:rsidRDefault="00FE77C9" w:rsidP="00FE77C9">
      <w:pPr>
        <w:jc w:val="both"/>
        <w:rPr>
          <w:rFonts w:ascii="Verdana" w:hAnsi="Verdana"/>
          <w:bCs/>
          <w:sz w:val="20"/>
        </w:rPr>
      </w:pPr>
      <w:r w:rsidRPr="00FE77C9">
        <w:rPr>
          <w:rFonts w:ascii="Verdana" w:hAnsi="Verdana"/>
          <w:b/>
          <w:bCs/>
          <w:sz w:val="20"/>
        </w:rPr>
        <w:t>d)</w:t>
      </w:r>
      <w:r w:rsidRPr="00FE77C9">
        <w:rPr>
          <w:rFonts w:ascii="Verdana" w:hAnsi="Verdana"/>
          <w:bCs/>
          <w:sz w:val="20"/>
        </w:rPr>
        <w:t>   La autentificación del usuario debe ser compatible con el mecanismo y robustez de la autenticación adecuada.</w:t>
      </w:r>
    </w:p>
    <w:p w:rsidR="00FE77C9" w:rsidRPr="00FE77C9" w:rsidRDefault="00FE77C9" w:rsidP="00FE77C9">
      <w:pPr>
        <w:jc w:val="both"/>
        <w:rPr>
          <w:rFonts w:ascii="Verdana" w:hAnsi="Verdana"/>
          <w:bCs/>
          <w:sz w:val="20"/>
        </w:rPr>
      </w:pPr>
      <w:r w:rsidRPr="00FE77C9">
        <w:rPr>
          <w:rFonts w:ascii="Verdana" w:hAnsi="Verdana"/>
          <w:b/>
          <w:bCs/>
          <w:sz w:val="20"/>
        </w:rPr>
        <w:t>e)</w:t>
      </w:r>
      <w:r w:rsidRPr="00FE77C9">
        <w:rPr>
          <w:rFonts w:ascii="Verdana" w:hAnsi="Verdana"/>
          <w:bCs/>
          <w:sz w:val="20"/>
        </w:rPr>
        <w:t>   Los identificadores de dispositivos inmutables, como el "ID" de dispositivo "</w:t>
      </w:r>
      <w:r w:rsidRPr="00FE77C9">
        <w:rPr>
          <w:rFonts w:ascii="Verdana" w:hAnsi="Verdana"/>
          <w:bCs/>
          <w:i/>
          <w:iCs/>
          <w:sz w:val="20"/>
        </w:rPr>
        <w:t>mac-address</w:t>
      </w:r>
      <w:r w:rsidRPr="00FE77C9">
        <w:rPr>
          <w:rFonts w:ascii="Verdana" w:hAnsi="Verdana"/>
          <w:bCs/>
          <w:sz w:val="20"/>
        </w:rPr>
        <w:t>" o el identificador único del sistema operativo donde se aloja el programa informático, no deben utilizarse como credenciales.</w:t>
      </w:r>
    </w:p>
    <w:p w:rsidR="00FE77C9" w:rsidRPr="00FE77C9" w:rsidRDefault="00FE77C9" w:rsidP="00FE77C9">
      <w:pPr>
        <w:jc w:val="both"/>
        <w:rPr>
          <w:rFonts w:ascii="Verdana" w:hAnsi="Verdana"/>
          <w:bCs/>
          <w:sz w:val="20"/>
        </w:rPr>
      </w:pPr>
      <w:r w:rsidRPr="00FE77C9">
        <w:rPr>
          <w:rFonts w:ascii="Verdana" w:hAnsi="Verdana"/>
          <w:b/>
          <w:bCs/>
          <w:sz w:val="20"/>
        </w:rPr>
        <w:lastRenderedPageBreak/>
        <w:t>f)</w:t>
      </w:r>
      <w:r w:rsidRPr="00FE77C9">
        <w:rPr>
          <w:rFonts w:ascii="Verdana" w:hAnsi="Verdana"/>
          <w:bCs/>
          <w:sz w:val="20"/>
        </w:rPr>
        <w:t>    El programa informático debe autentificarse mutuamente entre la interfaz de usuario (</w:t>
      </w:r>
      <w:r w:rsidRPr="00FE77C9">
        <w:rPr>
          <w:rFonts w:ascii="Verdana" w:hAnsi="Verdana"/>
          <w:bCs/>
          <w:i/>
          <w:iCs/>
          <w:sz w:val="20"/>
        </w:rPr>
        <w:t>frontend</w:t>
      </w:r>
      <w:r w:rsidRPr="00FE77C9">
        <w:rPr>
          <w:rFonts w:ascii="Verdana" w:hAnsi="Verdana"/>
          <w:bCs/>
          <w:sz w:val="20"/>
        </w:rPr>
        <w:t>) y el servidor (</w:t>
      </w:r>
      <w:r w:rsidRPr="00FE77C9">
        <w:rPr>
          <w:rFonts w:ascii="Verdana" w:hAnsi="Verdana"/>
          <w:bCs/>
          <w:i/>
          <w:iCs/>
          <w:sz w:val="20"/>
        </w:rPr>
        <w:t>backend</w:t>
      </w:r>
      <w:r w:rsidRPr="00FE77C9">
        <w:rPr>
          <w:rFonts w:ascii="Verdana" w:hAnsi="Verdana"/>
          <w:bCs/>
          <w:sz w:val="20"/>
        </w:rPr>
        <w:t>).</w:t>
      </w:r>
    </w:p>
    <w:p w:rsidR="00FE77C9" w:rsidRPr="00FE77C9" w:rsidRDefault="00FE77C9" w:rsidP="00FE77C9">
      <w:pPr>
        <w:jc w:val="both"/>
        <w:rPr>
          <w:rFonts w:ascii="Verdana" w:hAnsi="Verdana"/>
          <w:bCs/>
          <w:sz w:val="20"/>
        </w:rPr>
      </w:pPr>
      <w:r w:rsidRPr="00FE77C9">
        <w:rPr>
          <w:rFonts w:ascii="Verdana" w:hAnsi="Verdana"/>
          <w:b/>
          <w:bCs/>
          <w:sz w:val="20"/>
        </w:rPr>
        <w:t>g)</w:t>
      </w:r>
      <w:r w:rsidRPr="00FE77C9">
        <w:rPr>
          <w:rFonts w:ascii="Verdana" w:hAnsi="Verdana"/>
          <w:bCs/>
          <w:sz w:val="20"/>
        </w:rPr>
        <w:t>   El cliente y el servidor deben validar correctamente la seguridad de la capa de transporte (</w:t>
      </w:r>
      <w:r w:rsidRPr="00FE77C9">
        <w:rPr>
          <w:rFonts w:ascii="Verdana" w:hAnsi="Verdana"/>
          <w:bCs/>
          <w:i/>
          <w:iCs/>
          <w:sz w:val="20"/>
        </w:rPr>
        <w:t>TLS</w:t>
      </w:r>
      <w:r w:rsidRPr="00FE77C9">
        <w:rPr>
          <w:rFonts w:ascii="Verdana" w:hAnsi="Verdana"/>
          <w:bCs/>
          <w:sz w:val="20"/>
        </w:rPr>
        <w:t>) o certificados similares, contemplando algoritmos robustos recomendados por la industria.</w:t>
      </w:r>
    </w:p>
    <w:p w:rsidR="00FE77C9" w:rsidRPr="00FE77C9" w:rsidRDefault="00FE77C9" w:rsidP="00FE77C9">
      <w:pPr>
        <w:jc w:val="both"/>
        <w:rPr>
          <w:rFonts w:ascii="Verdana" w:hAnsi="Verdana"/>
          <w:bCs/>
          <w:sz w:val="20"/>
        </w:rPr>
      </w:pPr>
      <w:r w:rsidRPr="00FE77C9">
        <w:rPr>
          <w:rFonts w:ascii="Verdana" w:hAnsi="Verdana"/>
          <w:b/>
          <w:bCs/>
          <w:sz w:val="20"/>
        </w:rPr>
        <w:t>h)</w:t>
      </w:r>
      <w:r w:rsidRPr="00FE77C9">
        <w:rPr>
          <w:rFonts w:ascii="Verdana" w:hAnsi="Verdana"/>
          <w:bCs/>
          <w:sz w:val="20"/>
        </w:rPr>
        <w:t>   El programa informático debe contrarrestar ataques asociados al control de acceso, incluyendo ataques de tipo </w:t>
      </w:r>
      <w:r w:rsidRPr="00FE77C9">
        <w:rPr>
          <w:rFonts w:ascii="Verdana" w:hAnsi="Verdana"/>
          <w:bCs/>
          <w:i/>
          <w:iCs/>
          <w:sz w:val="20"/>
        </w:rPr>
        <w:t>bidding-down</w:t>
      </w:r>
      <w:r w:rsidRPr="00FE77C9">
        <w:rPr>
          <w:rFonts w:ascii="Verdana" w:hAnsi="Verdana"/>
          <w:bCs/>
          <w:sz w:val="20"/>
        </w:rPr>
        <w:t> y </w:t>
      </w:r>
      <w:r w:rsidRPr="00FE77C9">
        <w:rPr>
          <w:rFonts w:ascii="Verdana" w:hAnsi="Verdana"/>
          <w:bCs/>
          <w:i/>
          <w:iCs/>
          <w:sz w:val="20"/>
        </w:rPr>
        <w:t>TLS stripping</w:t>
      </w:r>
      <w:r w:rsidRPr="00FE77C9">
        <w:rPr>
          <w:rFonts w:ascii="Verdana" w:hAnsi="Verdana"/>
          <w:bCs/>
          <w:sz w:val="20"/>
        </w:rPr>
        <w:t>.</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El programa informático debe implementar el uso de certificados para el cifrado de la información tanto para su intercambio como para el transporte.</w:t>
      </w:r>
    </w:p>
    <w:p w:rsidR="00FE77C9" w:rsidRPr="00FE77C9" w:rsidRDefault="00FE77C9" w:rsidP="00FE77C9">
      <w:pPr>
        <w:jc w:val="both"/>
        <w:rPr>
          <w:rFonts w:ascii="Verdana" w:hAnsi="Verdana"/>
          <w:bCs/>
          <w:sz w:val="20"/>
        </w:rPr>
      </w:pPr>
      <w:r w:rsidRPr="00FE77C9">
        <w:rPr>
          <w:rFonts w:ascii="Verdana" w:hAnsi="Verdana"/>
          <w:b/>
          <w:bCs/>
          <w:sz w:val="20"/>
        </w:rPr>
        <w:t>II.</w:t>
      </w:r>
      <w:r w:rsidRPr="00FE77C9">
        <w:rPr>
          <w:rFonts w:ascii="Verdana" w:hAnsi="Verdana"/>
          <w:bCs/>
          <w:sz w:val="20"/>
        </w:rPr>
        <w:t>     Se debe garantizar la integridad de la información, por lo que se requiere que:</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Los medios de comunicación para transferencia de información deben disponer de mecanismos de mitigación a perturbaciones eléctricas o magnéticas.</w:t>
      </w:r>
    </w:p>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La modificación de la información generada, recopilada, almacenada y procesada, así como la bitácora de eventos y registro de alarmas debe generar pistas de auditoría.</w:t>
      </w:r>
    </w:p>
    <w:p w:rsidR="00FE77C9" w:rsidRPr="00FE77C9" w:rsidRDefault="00FE77C9" w:rsidP="00FE77C9">
      <w:pPr>
        <w:jc w:val="both"/>
        <w:rPr>
          <w:rFonts w:ascii="Verdana" w:hAnsi="Verdana"/>
          <w:bCs/>
          <w:sz w:val="20"/>
        </w:rPr>
      </w:pPr>
      <w:r w:rsidRPr="00FE77C9">
        <w:rPr>
          <w:rFonts w:ascii="Verdana" w:hAnsi="Verdana"/>
          <w:b/>
          <w:bCs/>
          <w:sz w:val="20"/>
        </w:rPr>
        <w:t>c)</w:t>
      </w:r>
      <w:r w:rsidRPr="00FE77C9">
        <w:rPr>
          <w:rFonts w:ascii="Verdana" w:hAnsi="Verdana"/>
          <w:bCs/>
          <w:sz w:val="20"/>
        </w:rPr>
        <w:t>   Cualquier intento de eliminación de registros debe generar una alarma.</w:t>
      </w:r>
    </w:p>
    <w:p w:rsidR="00FE77C9" w:rsidRPr="00FE77C9" w:rsidRDefault="00FE77C9" w:rsidP="00FE77C9">
      <w:pPr>
        <w:jc w:val="both"/>
        <w:rPr>
          <w:rFonts w:ascii="Verdana" w:hAnsi="Verdana"/>
          <w:bCs/>
          <w:sz w:val="20"/>
        </w:rPr>
      </w:pPr>
      <w:r w:rsidRPr="00FE77C9">
        <w:rPr>
          <w:rFonts w:ascii="Verdana" w:hAnsi="Verdana"/>
          <w:b/>
          <w:bCs/>
          <w:sz w:val="20"/>
        </w:rPr>
        <w:t>d)</w:t>
      </w:r>
      <w:r w:rsidRPr="00FE77C9">
        <w:rPr>
          <w:rFonts w:ascii="Verdana" w:hAnsi="Verdana"/>
          <w:bCs/>
          <w:sz w:val="20"/>
        </w:rPr>
        <w:t>   Se deben implementar herramientas de programación para proteger la alteración de la información.</w:t>
      </w:r>
    </w:p>
    <w:p w:rsidR="00FE77C9" w:rsidRPr="00FE77C9" w:rsidRDefault="00FE77C9" w:rsidP="00FE77C9">
      <w:pPr>
        <w:jc w:val="both"/>
        <w:rPr>
          <w:rFonts w:ascii="Verdana" w:hAnsi="Verdana"/>
          <w:bCs/>
          <w:sz w:val="20"/>
        </w:rPr>
      </w:pPr>
      <w:r w:rsidRPr="00FE77C9">
        <w:rPr>
          <w:rFonts w:ascii="Verdana" w:hAnsi="Verdana"/>
          <w:b/>
          <w:bCs/>
          <w:sz w:val="20"/>
        </w:rPr>
        <w:t>e)</w:t>
      </w:r>
      <w:r w:rsidRPr="00FE77C9">
        <w:rPr>
          <w:rFonts w:ascii="Verdana" w:hAnsi="Verdana"/>
          <w:bCs/>
          <w:sz w:val="20"/>
        </w:rPr>
        <w:t>   El registro de una operación de recepción o entrega del Hidrocarburo o Petrolífero de que se trate, debe ser inmediato; asimismo, el registro de control de existencias debe realizarse diariamente, a una misma hora.</w:t>
      </w:r>
    </w:p>
    <w:p w:rsidR="00FE77C9" w:rsidRPr="00FE77C9" w:rsidRDefault="00FE77C9" w:rsidP="00FE77C9">
      <w:pPr>
        <w:jc w:val="both"/>
        <w:rPr>
          <w:rFonts w:ascii="Verdana" w:hAnsi="Verdana"/>
          <w:bCs/>
          <w:sz w:val="20"/>
        </w:rPr>
      </w:pPr>
      <w:r w:rsidRPr="00FE77C9">
        <w:rPr>
          <w:rFonts w:ascii="Verdana" w:hAnsi="Verdana"/>
          <w:b/>
          <w:bCs/>
          <w:sz w:val="20"/>
        </w:rPr>
        <w:t>f)</w:t>
      </w:r>
      <w:r w:rsidRPr="00FE77C9">
        <w:rPr>
          <w:rFonts w:ascii="Verdana" w:hAnsi="Verdana"/>
          <w:bCs/>
          <w:sz w:val="20"/>
        </w:rPr>
        <w:t>    Respecto al código fuente del programa informático, se acredite el mecanismo formal de puesta en producción que permita conocer que es legítimo, que, en su caso, proviene de un proveedor de software conocido y que el código no fue alterado desde que fue publicado, demostrando que el programa informático es de confianza.</w:t>
      </w:r>
    </w:p>
    <w:p w:rsidR="00FE77C9" w:rsidRPr="00FE77C9" w:rsidRDefault="00FE77C9" w:rsidP="00FE77C9">
      <w:pPr>
        <w:jc w:val="both"/>
        <w:rPr>
          <w:rFonts w:ascii="Verdana" w:hAnsi="Verdana"/>
          <w:bCs/>
          <w:sz w:val="20"/>
        </w:rPr>
      </w:pPr>
      <w:r w:rsidRPr="00FE77C9">
        <w:rPr>
          <w:rFonts w:ascii="Verdana" w:hAnsi="Verdana"/>
          <w:b/>
          <w:bCs/>
          <w:sz w:val="20"/>
        </w:rPr>
        <w:t>III.</w:t>
      </w:r>
      <w:r w:rsidRPr="00FE77C9">
        <w:rPr>
          <w:rFonts w:ascii="Verdana" w:hAnsi="Verdana"/>
          <w:bCs/>
          <w:sz w:val="20"/>
        </w:rPr>
        <w:t>    Para garantizar la disponibilidad de la información, se requiere que:</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El programa informático opere de forma continua.</w:t>
      </w:r>
    </w:p>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Se prevengan interrupciones no programadas.</w:t>
      </w:r>
    </w:p>
    <w:p w:rsidR="00FE77C9" w:rsidRPr="00FE77C9" w:rsidRDefault="00FE77C9" w:rsidP="00FE77C9">
      <w:pPr>
        <w:jc w:val="both"/>
        <w:rPr>
          <w:rFonts w:ascii="Verdana" w:hAnsi="Verdana"/>
          <w:bCs/>
          <w:sz w:val="20"/>
        </w:rPr>
      </w:pPr>
      <w:r w:rsidRPr="00FE77C9">
        <w:rPr>
          <w:rFonts w:ascii="Verdana" w:hAnsi="Verdana"/>
          <w:b/>
          <w:bCs/>
          <w:sz w:val="20"/>
        </w:rPr>
        <w:t>c)</w:t>
      </w:r>
      <w:r w:rsidRPr="00FE77C9">
        <w:rPr>
          <w:rFonts w:ascii="Verdana" w:hAnsi="Verdana"/>
          <w:bCs/>
          <w:sz w:val="20"/>
        </w:rPr>
        <w:t>   La información almacenada esté disponible para los usuarios registrados, conforme al perfil asignado.</w:t>
      </w:r>
    </w:p>
    <w:p w:rsidR="00FE77C9" w:rsidRPr="00FE77C9" w:rsidRDefault="00FE77C9" w:rsidP="00FE77C9">
      <w:pPr>
        <w:jc w:val="both"/>
        <w:rPr>
          <w:rFonts w:ascii="Verdana" w:hAnsi="Verdana"/>
          <w:bCs/>
          <w:sz w:val="20"/>
        </w:rPr>
      </w:pPr>
      <w:r w:rsidRPr="00FE77C9">
        <w:rPr>
          <w:rFonts w:ascii="Verdana" w:hAnsi="Verdana"/>
          <w:b/>
          <w:bCs/>
          <w:sz w:val="20"/>
        </w:rPr>
        <w:t>IV.</w:t>
      </w:r>
      <w:r w:rsidRPr="00FE77C9">
        <w:rPr>
          <w:rFonts w:ascii="Verdana" w:hAnsi="Verdana"/>
          <w:bCs/>
          <w:sz w:val="20"/>
        </w:rPr>
        <w:t>   El programa informático debe cumplir con los requerimientos de seguridad informática que se darán a conocer en el Portal del SAT.</w:t>
      </w:r>
    </w:p>
    <w:p w:rsidR="00FE77C9" w:rsidRPr="00FE77C9" w:rsidRDefault="00FE77C9" w:rsidP="00FE77C9">
      <w:pPr>
        <w:jc w:val="both"/>
        <w:rPr>
          <w:rFonts w:ascii="Verdana" w:hAnsi="Verdana"/>
          <w:bCs/>
          <w:sz w:val="20"/>
        </w:rPr>
      </w:pPr>
      <w:r w:rsidRPr="00FE77C9">
        <w:rPr>
          <w:rFonts w:ascii="Verdana" w:hAnsi="Verdana"/>
          <w:b/>
          <w:bCs/>
          <w:sz w:val="20"/>
        </w:rPr>
        <w:t>30.7.</w:t>
      </w:r>
      <w:r w:rsidRPr="00FE77C9">
        <w:rPr>
          <w:rFonts w:ascii="Verdana" w:hAnsi="Verdana"/>
          <w:bCs/>
          <w:sz w:val="20"/>
        </w:rPr>
        <w:t>      </w:t>
      </w:r>
      <w:r w:rsidRPr="00FE77C9">
        <w:rPr>
          <w:rFonts w:ascii="Verdana" w:hAnsi="Verdana"/>
          <w:b/>
          <w:bCs/>
          <w:sz w:val="20"/>
        </w:rPr>
        <w:t>Referencias normativas.</w:t>
      </w:r>
    </w:p>
    <w:p w:rsidR="00FE77C9" w:rsidRPr="00FE77C9" w:rsidRDefault="00FE77C9" w:rsidP="00FE77C9">
      <w:pPr>
        <w:jc w:val="both"/>
        <w:rPr>
          <w:rFonts w:ascii="Verdana" w:hAnsi="Verdana"/>
          <w:bCs/>
          <w:sz w:val="20"/>
        </w:rPr>
      </w:pPr>
      <w:r w:rsidRPr="00FE77C9">
        <w:rPr>
          <w:rFonts w:ascii="Verdana" w:hAnsi="Verdana"/>
          <w:b/>
          <w:bCs/>
          <w:sz w:val="20"/>
        </w:rPr>
        <w:t>I.</w:t>
      </w:r>
      <w:r w:rsidRPr="00FE77C9">
        <w:rPr>
          <w:rFonts w:ascii="Verdana" w:hAnsi="Verdana"/>
          <w:bCs/>
          <w:sz w:val="20"/>
        </w:rPr>
        <w:t>     </w:t>
      </w:r>
      <w:r w:rsidRPr="00FE77C9">
        <w:rPr>
          <w:rFonts w:ascii="Verdana" w:hAnsi="Verdana"/>
          <w:b/>
          <w:bCs/>
          <w:sz w:val="20"/>
        </w:rPr>
        <w:t>Normas y estándares de aplicación general en el diseño e instalación de sistemas, equipos e instrumentos de medida.</w:t>
      </w:r>
    </w:p>
    <w:tbl>
      <w:tblPr>
        <w:tblW w:w="0" w:type="auto"/>
        <w:tblInd w:w="657"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E77C9" w:rsidRPr="00FE77C9" w:rsidTr="00FE77C9">
        <w:tc>
          <w:tcPr>
            <w:tcW w:w="0" w:type="auto"/>
            <w:shd w:val="clear" w:color="auto" w:fill="FFFFFF"/>
            <w:vAlign w:val="center"/>
            <w:hideMark/>
          </w:tcPr>
          <w:p w:rsidR="00FE77C9" w:rsidRPr="00FE77C9" w:rsidRDefault="00FE77C9" w:rsidP="00FE77C9">
            <w:pPr>
              <w:jc w:val="both"/>
              <w:rPr>
                <w:rFonts w:ascii="Verdana" w:hAnsi="Verdana"/>
                <w:bCs/>
                <w:sz w:val="20"/>
              </w:rPr>
            </w:pPr>
          </w:p>
        </w:tc>
      </w:tr>
    </w:tbl>
    <w:p w:rsidR="00FE77C9" w:rsidRPr="00FE77C9" w:rsidRDefault="00FE77C9" w:rsidP="00FE77C9">
      <w:pPr>
        <w:jc w:val="both"/>
        <w:rPr>
          <w:rFonts w:ascii="Verdana" w:hAnsi="Verdana"/>
          <w:bCs/>
          <w:vanish/>
          <w:sz w:val="20"/>
        </w:rPr>
      </w:pPr>
    </w:p>
    <w:tbl>
      <w:tblPr>
        <w:tblW w:w="0" w:type="auto"/>
        <w:tblInd w:w="657" w:type="dxa"/>
        <w:shd w:val="clear" w:color="auto" w:fill="FFFFFF"/>
        <w:tblCellMar>
          <w:top w:w="15" w:type="dxa"/>
          <w:left w:w="15" w:type="dxa"/>
          <w:bottom w:w="15" w:type="dxa"/>
          <w:right w:w="15" w:type="dxa"/>
        </w:tblCellMar>
        <w:tblLook w:val="04A0" w:firstRow="1" w:lastRow="0" w:firstColumn="1" w:lastColumn="0" w:noHBand="0" w:noVBand="1"/>
      </w:tblPr>
      <w:tblGrid>
        <w:gridCol w:w="2493"/>
        <w:gridCol w:w="5634"/>
      </w:tblGrid>
      <w:tr w:rsidR="00FE77C9" w:rsidRPr="00FE77C9" w:rsidTr="00FE77C9">
        <w:trPr>
          <w:trHeight w:val="327"/>
        </w:trPr>
        <w:tc>
          <w:tcPr>
            <w:tcW w:w="2493"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NMX-CH-140-IMNC-2002</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Guía para la Expresión de Incertidumbre en las Mediciones.</w:t>
            </w:r>
          </w:p>
        </w:tc>
      </w:tr>
      <w:tr w:rsidR="00FE77C9" w:rsidRPr="00FE77C9" w:rsidTr="00FE77C9">
        <w:trPr>
          <w:trHeight w:val="575"/>
        </w:trPr>
        <w:tc>
          <w:tcPr>
            <w:tcW w:w="2493"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NMX-Z055-IMNC</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Vocabulario Internacional de Metrología -Conceptos fundamentales y generales, y términos asociados (VIM).</w:t>
            </w:r>
          </w:p>
        </w:tc>
      </w:tr>
      <w:tr w:rsidR="00FE77C9" w:rsidRPr="00FE77C9" w:rsidTr="00FE77C9">
        <w:trPr>
          <w:trHeight w:val="575"/>
        </w:trPr>
        <w:tc>
          <w:tcPr>
            <w:tcW w:w="2493"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5168</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de flujo de fluidos Procedimientos para la evaluación de Incertidumbres.</w:t>
            </w:r>
          </w:p>
        </w:tc>
      </w:tr>
      <w:tr w:rsidR="00FE77C9" w:rsidRPr="00FE77C9" w:rsidTr="00FE77C9">
        <w:trPr>
          <w:trHeight w:val="338"/>
        </w:trPr>
        <w:tc>
          <w:tcPr>
            <w:tcW w:w="2493"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GUM (JCGM 100)</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Guía para la Expresión de Incertidumbre en las Mediciones.</w:t>
            </w:r>
          </w:p>
        </w:tc>
      </w:tr>
      <w:tr w:rsidR="00FE77C9" w:rsidRPr="00FE77C9" w:rsidTr="00FE77C9">
        <w:trPr>
          <w:trHeight w:val="338"/>
        </w:trPr>
        <w:tc>
          <w:tcPr>
            <w:tcW w:w="2493"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RP 551</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Instrumentos de medición en los procesos.</w:t>
            </w:r>
          </w:p>
        </w:tc>
      </w:tr>
      <w:tr w:rsidR="00FE77C9" w:rsidRPr="00FE77C9" w:rsidTr="00FE77C9">
        <w:trPr>
          <w:trHeight w:val="338"/>
        </w:trPr>
        <w:tc>
          <w:tcPr>
            <w:tcW w:w="2493"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NIST- 2008</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Guía para el uso del Sistema Internacional de Unidades (SI).</w:t>
            </w:r>
          </w:p>
        </w:tc>
      </w:tr>
    </w:tbl>
    <w:p w:rsidR="00FE77C9" w:rsidRPr="00FE77C9" w:rsidRDefault="00FE77C9" w:rsidP="00FE77C9">
      <w:pPr>
        <w:jc w:val="both"/>
        <w:rPr>
          <w:rFonts w:ascii="Verdana" w:hAnsi="Verdana"/>
          <w:bCs/>
          <w:sz w:val="20"/>
        </w:rPr>
      </w:pPr>
      <w:r w:rsidRPr="00FE77C9">
        <w:rPr>
          <w:rFonts w:ascii="Verdana" w:hAnsi="Verdana"/>
          <w:b/>
          <w:bCs/>
          <w:sz w:val="20"/>
        </w:rPr>
        <w:t>II.</w:t>
      </w:r>
      <w:r w:rsidRPr="00FE77C9">
        <w:rPr>
          <w:rFonts w:ascii="Verdana" w:hAnsi="Verdana"/>
          <w:bCs/>
          <w:sz w:val="20"/>
        </w:rPr>
        <w:t>     </w:t>
      </w:r>
      <w:r w:rsidRPr="00FE77C9">
        <w:rPr>
          <w:rFonts w:ascii="Verdana" w:hAnsi="Verdana"/>
          <w:b/>
          <w:bCs/>
          <w:sz w:val="20"/>
        </w:rPr>
        <w:t>Normas y estándares relacionados a la Medición estática de Hidrocarburos y Petrolíferos.</w:t>
      </w:r>
    </w:p>
    <w:p w:rsidR="00FE77C9" w:rsidRPr="00FE77C9" w:rsidRDefault="00FE77C9" w:rsidP="00FE77C9">
      <w:pPr>
        <w:jc w:val="both"/>
        <w:rPr>
          <w:rFonts w:ascii="Verdana" w:hAnsi="Verdana"/>
          <w:bCs/>
          <w:sz w:val="20"/>
        </w:rPr>
      </w:pPr>
      <w:r w:rsidRPr="00FE77C9">
        <w:rPr>
          <w:rFonts w:ascii="Verdana" w:hAnsi="Verdana"/>
          <w:b/>
          <w:bCs/>
          <w:sz w:val="20"/>
        </w:rPr>
        <w:t>a)</w:t>
      </w:r>
      <w:r w:rsidRPr="00FE77C9">
        <w:rPr>
          <w:rFonts w:ascii="Verdana" w:hAnsi="Verdana"/>
          <w:bCs/>
          <w:sz w:val="20"/>
        </w:rPr>
        <w:t>   Para tanques estacionarios.</w:t>
      </w:r>
    </w:p>
    <w:tbl>
      <w:tblPr>
        <w:tblW w:w="0" w:type="auto"/>
        <w:tblInd w:w="1080" w:type="dxa"/>
        <w:shd w:val="clear" w:color="auto" w:fill="FFFFFF"/>
        <w:tblCellMar>
          <w:top w:w="15" w:type="dxa"/>
          <w:left w:w="15" w:type="dxa"/>
          <w:bottom w:w="15" w:type="dxa"/>
          <w:right w:w="15" w:type="dxa"/>
        </w:tblCellMar>
        <w:tblLook w:val="04A0" w:firstRow="1" w:lastRow="0" w:firstColumn="1" w:lastColumn="0" w:noHBand="0" w:noVBand="1"/>
      </w:tblPr>
      <w:tblGrid>
        <w:gridCol w:w="2070"/>
        <w:gridCol w:w="5634"/>
      </w:tblGrid>
      <w:tr w:rsidR="00FE77C9" w:rsidRPr="00FE77C9" w:rsidTr="00FE77C9">
        <w:trPr>
          <w:trHeight w:val="812"/>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4266-1</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de nivel y temperatura en tanques de almacenamiento por métodos automáticos Parte 1: Medición de nivel en tanques atmosféricos.</w:t>
            </w:r>
          </w:p>
        </w:tc>
      </w:tr>
      <w:tr w:rsidR="00FE77C9" w:rsidRPr="00FE77C9" w:rsidTr="00FE77C9">
        <w:trPr>
          <w:trHeight w:val="812"/>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4266-3</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de nivel y temperatura en tanques de almacenamiento por métodos automáticos Parte 3 Medición de nivel en tanques de almacenamiento presurizados (no refrigerados).</w:t>
            </w:r>
          </w:p>
        </w:tc>
      </w:tr>
      <w:tr w:rsidR="00FE77C9" w:rsidRPr="00FE77C9" w:rsidTr="00FE77C9">
        <w:trPr>
          <w:trHeight w:val="812"/>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4266-4</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de nivel y temperatura en tanques de almacenamiento por métodos automáticos Parte 4: Medición de temperatura en tanques atmosféricos.</w:t>
            </w:r>
          </w:p>
        </w:tc>
      </w:tr>
      <w:tr w:rsidR="00FE77C9" w:rsidRPr="00FE77C9" w:rsidTr="00FE77C9">
        <w:trPr>
          <w:trHeight w:val="812"/>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4266-6</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de nivel y temperatura en tanques de almacenamiento por métodos automáticos Parte 6: Medición de temperatura en tanques de almacenamiento presurizados (no refrigerados).</w:t>
            </w:r>
          </w:p>
        </w:tc>
      </w:tr>
      <w:tr w:rsidR="00FE77C9" w:rsidRPr="00FE77C9" w:rsidTr="00FE77C9">
        <w:trPr>
          <w:trHeight w:val="812"/>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4269</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Petróleo y productos líquidos derivados - calibración del tanque mediante la medición de líquido - método incremental utilizando medidores volumétricos.</w:t>
            </w:r>
          </w:p>
        </w:tc>
      </w:tr>
      <w:tr w:rsidR="00FE77C9" w:rsidRPr="00FE77C9" w:rsidTr="00FE77C9">
        <w:trPr>
          <w:trHeight w:val="338"/>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6578</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Hidrocarburos líquidos refrigerados - Medición estática Cálculo.</w:t>
            </w:r>
          </w:p>
        </w:tc>
      </w:tr>
      <w:tr w:rsidR="00FE77C9" w:rsidRPr="00FE77C9" w:rsidTr="00FE77C9">
        <w:trPr>
          <w:trHeight w:val="575"/>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lastRenderedPageBreak/>
              <w:t>ISO 7507-1</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Petróleo y productos líquidos derivados - Calibración de tanques cilíndricos verticales - Parte 1: Método de cintas.</w:t>
            </w:r>
          </w:p>
        </w:tc>
      </w:tr>
      <w:tr w:rsidR="00FE77C9" w:rsidRPr="00FE77C9" w:rsidTr="00FE77C9">
        <w:trPr>
          <w:trHeight w:val="575"/>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7507-2</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Petróleo y productos líquidos derivados - Calibración de tanques cilíndricos verticales - Parte 2: Método de línea óptica de referencia.</w:t>
            </w:r>
          </w:p>
        </w:tc>
      </w:tr>
      <w:tr w:rsidR="00FE77C9" w:rsidRPr="00FE77C9" w:rsidTr="00FE77C9">
        <w:trPr>
          <w:trHeight w:val="575"/>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7507-3</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Petróleo y productos líquidos derivados - Calibración de tanques cilíndricos verticales - Parte 3: Método de triangulación óptica.</w:t>
            </w:r>
          </w:p>
        </w:tc>
      </w:tr>
      <w:tr w:rsidR="00FE77C9" w:rsidRPr="00FE77C9" w:rsidTr="00FE77C9">
        <w:trPr>
          <w:trHeight w:val="812"/>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7507-4</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Petróleo y productos líquidos derivados - Calibración de tanques cilíndricos verticales - Parte 4: Método interno electro-óptico de medición de distancia.</w:t>
            </w:r>
          </w:p>
        </w:tc>
      </w:tr>
      <w:tr w:rsidR="00FE77C9" w:rsidRPr="00FE77C9" w:rsidTr="00FE77C9">
        <w:trPr>
          <w:trHeight w:val="812"/>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7507-5</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Petróleo y productos líquidos derivados - Calibración de tanques cilíndricos verticales - Parte 5: Método externo electro-óptico para la determinación de la distancia.</w:t>
            </w:r>
          </w:p>
        </w:tc>
      </w:tr>
      <w:tr w:rsidR="00FE77C9" w:rsidRPr="00FE77C9" w:rsidTr="00FE77C9">
        <w:trPr>
          <w:trHeight w:val="812"/>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8022</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Sistemas de Medición de Petróleo - Calibración - correcciones de temperatura para el uso al calibrar tanques probadores volumétricos.</w:t>
            </w:r>
          </w:p>
        </w:tc>
      </w:tr>
      <w:tr w:rsidR="00FE77C9" w:rsidRPr="00FE77C9" w:rsidTr="00FE77C9">
        <w:trPr>
          <w:trHeight w:val="812"/>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8310</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Hidrocarburos ligeros refrigerados - Los termopares y termómetros de resistencia - La Medición de la temperatura en los tanques que contengan gases licuados.</w:t>
            </w:r>
          </w:p>
        </w:tc>
      </w:tr>
      <w:tr w:rsidR="00FE77C9" w:rsidRPr="00FE77C9" w:rsidTr="00FE77C9">
        <w:trPr>
          <w:trHeight w:val="575"/>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10574</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Hidrocarburos ligeros refrigerados - Medición de niveles de líquidos en tanques que contienen gases licuados.</w:t>
            </w:r>
          </w:p>
        </w:tc>
      </w:tr>
    </w:tbl>
    <w:p w:rsidR="00FE77C9" w:rsidRPr="00FE77C9" w:rsidRDefault="00FE77C9" w:rsidP="00FE77C9">
      <w:pPr>
        <w:jc w:val="both"/>
        <w:rPr>
          <w:rFonts w:ascii="Verdana" w:hAnsi="Verdana"/>
          <w:bCs/>
          <w:vanish/>
          <w:sz w:val="20"/>
        </w:rPr>
      </w:pPr>
    </w:p>
    <w:tbl>
      <w:tblPr>
        <w:tblW w:w="0" w:type="auto"/>
        <w:tblInd w:w="1080" w:type="dxa"/>
        <w:shd w:val="clear" w:color="auto" w:fill="FFFFFF"/>
        <w:tblCellMar>
          <w:top w:w="15" w:type="dxa"/>
          <w:left w:w="15" w:type="dxa"/>
          <w:bottom w:w="15" w:type="dxa"/>
          <w:right w:w="15" w:type="dxa"/>
        </w:tblCellMar>
        <w:tblLook w:val="04A0" w:firstRow="1" w:lastRow="0" w:firstColumn="1" w:lastColumn="0" w:noHBand="0" w:noVBand="1"/>
      </w:tblPr>
      <w:tblGrid>
        <w:gridCol w:w="2070"/>
        <w:gridCol w:w="5634"/>
      </w:tblGrid>
      <w:tr w:rsidR="00FE77C9" w:rsidRPr="00FE77C9" w:rsidTr="00FE77C9">
        <w:trPr>
          <w:trHeight w:val="474"/>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12917-1</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Petróleo y productos líquidos derivados - Calibración de tanques cilíndricos horizontales - Parte 1: Los métodos manuales.</w:t>
            </w:r>
          </w:p>
        </w:tc>
      </w:tr>
    </w:tbl>
    <w:p w:rsidR="00FE77C9" w:rsidRPr="00FE77C9" w:rsidRDefault="00FE77C9" w:rsidP="00FE77C9">
      <w:pPr>
        <w:jc w:val="both"/>
        <w:rPr>
          <w:rFonts w:ascii="Verdana" w:hAnsi="Verdana"/>
          <w:bCs/>
          <w:sz w:val="20"/>
        </w:rPr>
      </w:pPr>
      <w:r w:rsidRPr="00FE77C9">
        <w:rPr>
          <w:rFonts w:ascii="Verdana" w:hAnsi="Verdana"/>
          <w:bCs/>
          <w:sz w:val="20"/>
        </w:rPr>
        <w:t> </w:t>
      </w:r>
    </w:p>
    <w:tbl>
      <w:tblPr>
        <w:tblW w:w="0" w:type="auto"/>
        <w:tblInd w:w="1080" w:type="dxa"/>
        <w:shd w:val="clear" w:color="auto" w:fill="FFFFFF"/>
        <w:tblCellMar>
          <w:top w:w="15" w:type="dxa"/>
          <w:left w:w="15" w:type="dxa"/>
          <w:bottom w:w="15" w:type="dxa"/>
          <w:right w:w="15" w:type="dxa"/>
        </w:tblCellMar>
        <w:tblLook w:val="04A0" w:firstRow="1" w:lastRow="0" w:firstColumn="1" w:lastColumn="0" w:noHBand="0" w:noVBand="1"/>
      </w:tblPr>
      <w:tblGrid>
        <w:gridCol w:w="2070"/>
        <w:gridCol w:w="5634"/>
      </w:tblGrid>
      <w:tr w:rsidR="00FE77C9" w:rsidRPr="00FE77C9" w:rsidTr="00FE77C9">
        <w:trPr>
          <w:trHeight w:val="747"/>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12917-2</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Petróleo y productos líquidos derivados - Calibración de tanques cilíndricos horizontales - Parte 2: Método electro-óptico para la determinación de la distancia interna.</w:t>
            </w:r>
          </w:p>
        </w:tc>
      </w:tr>
      <w:tr w:rsidR="00FE77C9" w:rsidRPr="00FE77C9" w:rsidTr="00FE77C9">
        <w:trPr>
          <w:trHeight w:val="630"/>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2.2A</w:t>
            </w:r>
          </w:p>
          <w:p w:rsidR="00FE77C9" w:rsidRPr="00FE77C9" w:rsidRDefault="00FE77C9" w:rsidP="00FE77C9">
            <w:pPr>
              <w:jc w:val="both"/>
              <w:rPr>
                <w:rFonts w:ascii="Verdana" w:hAnsi="Verdana"/>
                <w:bCs/>
                <w:sz w:val="20"/>
              </w:rPr>
            </w:pPr>
            <w:r w:rsidRPr="00FE77C9">
              <w:rPr>
                <w:rFonts w:ascii="Verdana" w:hAnsi="Verdana"/>
                <w:bCs/>
                <w:sz w:val="20"/>
              </w:rPr>
              <w:t>(ISO 7507-1)</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y calibración de tanques cilíndricos verticales por el método manual utilizando cintas.</w:t>
            </w:r>
          </w:p>
        </w:tc>
      </w:tr>
      <w:tr w:rsidR="00FE77C9" w:rsidRPr="00FE77C9" w:rsidTr="00FE77C9">
        <w:trPr>
          <w:trHeight w:val="630"/>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lastRenderedPageBreak/>
              <w:t>API MPMS 2.2B</w:t>
            </w:r>
          </w:p>
          <w:p w:rsidR="00FE77C9" w:rsidRPr="00FE77C9" w:rsidRDefault="00FE77C9" w:rsidP="00FE77C9">
            <w:pPr>
              <w:jc w:val="both"/>
              <w:rPr>
                <w:rFonts w:ascii="Verdana" w:hAnsi="Verdana"/>
                <w:bCs/>
                <w:sz w:val="20"/>
              </w:rPr>
            </w:pPr>
            <w:r w:rsidRPr="00FE77C9">
              <w:rPr>
                <w:rFonts w:ascii="Verdana" w:hAnsi="Verdana"/>
                <w:bCs/>
                <w:sz w:val="20"/>
              </w:rPr>
              <w:t>(ISO 7507-2)</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Calibración de tanques cilíndricos verticales utilizando el método de triangulación óptica.</w:t>
            </w:r>
          </w:p>
        </w:tc>
      </w:tr>
      <w:tr w:rsidR="00FE77C9" w:rsidRPr="00FE77C9" w:rsidTr="00FE77C9">
        <w:trPr>
          <w:trHeight w:val="630"/>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ISO-7507-3</w:t>
            </w:r>
          </w:p>
          <w:p w:rsidR="00FE77C9" w:rsidRPr="00FE77C9" w:rsidRDefault="00FE77C9" w:rsidP="00FE77C9">
            <w:pPr>
              <w:jc w:val="both"/>
              <w:rPr>
                <w:rFonts w:ascii="Verdana" w:hAnsi="Verdana"/>
                <w:bCs/>
                <w:sz w:val="20"/>
              </w:rPr>
            </w:pPr>
            <w:r w:rsidRPr="00FE77C9">
              <w:rPr>
                <w:rFonts w:ascii="Verdana" w:hAnsi="Verdana"/>
                <w:bCs/>
                <w:sz w:val="20"/>
              </w:rPr>
              <w:t>(API MPMS 2.2C)</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Calibración de tanques cilíndricos verticales utilizando el método de triangulación óptica.</w:t>
            </w:r>
          </w:p>
        </w:tc>
      </w:tr>
      <w:tr w:rsidR="00FE77C9" w:rsidRPr="00FE77C9" w:rsidTr="00FE77C9">
        <w:trPr>
          <w:trHeight w:val="531"/>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2.2D</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Calibración de tanques cilíndricos verticales utilizando el método interno electro-óptico de medición de distancia.</w:t>
            </w:r>
          </w:p>
        </w:tc>
      </w:tr>
      <w:tr w:rsidR="00FE77C9" w:rsidRPr="00FE77C9" w:rsidTr="00FE77C9">
        <w:trPr>
          <w:trHeight w:val="630"/>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2.2E</w:t>
            </w:r>
          </w:p>
          <w:p w:rsidR="00FE77C9" w:rsidRPr="00FE77C9" w:rsidRDefault="00FE77C9" w:rsidP="00FE77C9">
            <w:pPr>
              <w:jc w:val="both"/>
              <w:rPr>
                <w:rFonts w:ascii="Verdana" w:hAnsi="Verdana"/>
                <w:bCs/>
                <w:sz w:val="20"/>
              </w:rPr>
            </w:pPr>
            <w:r w:rsidRPr="00FE77C9">
              <w:rPr>
                <w:rFonts w:ascii="Verdana" w:hAnsi="Verdana"/>
                <w:bCs/>
                <w:sz w:val="20"/>
              </w:rPr>
              <w:t>(ISO 12917-1)</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Calibración de tanques cilíndricos horizontales Parte 1: Métodos manuales.</w:t>
            </w:r>
          </w:p>
        </w:tc>
      </w:tr>
      <w:tr w:rsidR="00FE77C9" w:rsidRPr="00FE77C9" w:rsidTr="00FE77C9">
        <w:trPr>
          <w:trHeight w:val="630"/>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ISO-12917-2</w:t>
            </w:r>
          </w:p>
          <w:p w:rsidR="00FE77C9" w:rsidRPr="00FE77C9" w:rsidRDefault="00FE77C9" w:rsidP="00FE77C9">
            <w:pPr>
              <w:jc w:val="both"/>
              <w:rPr>
                <w:rFonts w:ascii="Verdana" w:hAnsi="Verdana"/>
                <w:bCs/>
                <w:sz w:val="20"/>
              </w:rPr>
            </w:pPr>
            <w:r w:rsidRPr="00FE77C9">
              <w:rPr>
                <w:rFonts w:ascii="Verdana" w:hAnsi="Verdana"/>
                <w:bCs/>
                <w:sz w:val="20"/>
              </w:rPr>
              <w:t>(API MPMS 2.2F)</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Calibración de tanques cilíndricos horizontales Parte 2: Método interno electro-óptico de medición de distancia.</w:t>
            </w:r>
          </w:p>
        </w:tc>
      </w:tr>
      <w:tr w:rsidR="00FE77C9" w:rsidRPr="00FE77C9" w:rsidTr="00FE77C9">
        <w:trPr>
          <w:trHeight w:val="531"/>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3.1A</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Practica estándar de medición en tanques para la medición manual de petróleo y productos derivados del petróleo.</w:t>
            </w:r>
          </w:p>
        </w:tc>
      </w:tr>
      <w:tr w:rsidR="00FE77C9" w:rsidRPr="00FE77C9" w:rsidTr="00FE77C9">
        <w:trPr>
          <w:trHeight w:val="747"/>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3.1B</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Práctica estándar para la medición de nivel de hidrocarburos líquidos en tanques estacionarios mediante la medición automática de tanques.</w:t>
            </w:r>
          </w:p>
        </w:tc>
      </w:tr>
      <w:tr w:rsidR="00FE77C9" w:rsidRPr="00FE77C9" w:rsidTr="00FE77C9">
        <w:trPr>
          <w:trHeight w:val="747"/>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3.3</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Práctica estándar para la medición de nivel de hidrocarburos líquidos en tanques de almacenamiento estacionarios presurizados mediante medición automática de tanques.</w:t>
            </w:r>
          </w:p>
        </w:tc>
      </w:tr>
      <w:tr w:rsidR="00FE77C9" w:rsidRPr="00FE77C9" w:rsidTr="00FE77C9">
        <w:trPr>
          <w:trHeight w:val="531"/>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3.6</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de hidrocarburos líquidos mediante sistemas híbridos de medición de tanques.</w:t>
            </w:r>
          </w:p>
        </w:tc>
      </w:tr>
      <w:tr w:rsidR="00FE77C9" w:rsidRPr="00FE77C9" w:rsidTr="00FE77C9">
        <w:trPr>
          <w:trHeight w:val="315"/>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7</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Determinación de temperatura.</w:t>
            </w:r>
          </w:p>
        </w:tc>
      </w:tr>
      <w:tr w:rsidR="00FE77C9" w:rsidRPr="00FE77C9" w:rsidTr="00FE77C9">
        <w:trPr>
          <w:trHeight w:val="531"/>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12.1.1</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Cálculo de cantidades estáticas de petróleo - Parte 1: tanques cilíndricos verticales y embarcaciones marinas.</w:t>
            </w:r>
          </w:p>
        </w:tc>
      </w:tr>
      <w:tr w:rsidR="00FE77C9" w:rsidRPr="00FE77C9" w:rsidTr="00FE77C9">
        <w:trPr>
          <w:trHeight w:val="531"/>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14.4</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Convirtiendo masa de líquidos y vapores de gas natural a volúmenes de líquido equivalentes.</w:t>
            </w:r>
          </w:p>
        </w:tc>
      </w:tr>
      <w:tr w:rsidR="00FE77C9" w:rsidRPr="00FE77C9" w:rsidTr="00FE77C9">
        <w:trPr>
          <w:trHeight w:val="315"/>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19</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de pérdidas por evaporación.</w:t>
            </w:r>
          </w:p>
        </w:tc>
      </w:tr>
      <w:tr w:rsidR="00FE77C9" w:rsidRPr="00FE77C9" w:rsidTr="00FE77C9">
        <w:trPr>
          <w:trHeight w:val="315"/>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19.1</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Pérdidas por evaporación en tanques de techo fijo.</w:t>
            </w:r>
          </w:p>
        </w:tc>
      </w:tr>
      <w:tr w:rsidR="00FE77C9" w:rsidRPr="00FE77C9" w:rsidTr="00FE77C9">
        <w:trPr>
          <w:trHeight w:val="315"/>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lastRenderedPageBreak/>
              <w:t>API MPMS 19.2</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Pérdidas por evaporación en tanques de techo flotante.</w:t>
            </w:r>
          </w:p>
        </w:tc>
      </w:tr>
      <w:tr w:rsidR="00FE77C9" w:rsidRPr="00FE77C9" w:rsidTr="00FE77C9">
        <w:trPr>
          <w:trHeight w:val="531"/>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19.4</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Practica recomendada para la especificación de pérdidas por evaporación.</w:t>
            </w:r>
          </w:p>
        </w:tc>
      </w:tr>
      <w:tr w:rsidR="00FE77C9" w:rsidRPr="00FE77C9" w:rsidTr="00FE77C9">
        <w:trPr>
          <w:trHeight w:val="531"/>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STD 2552</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Método estándar para medición y calibración de esferas y esferoides por el método dimensional (método geométrico).</w:t>
            </w:r>
          </w:p>
        </w:tc>
      </w:tr>
      <w:tr w:rsidR="00FE77C9" w:rsidRPr="00FE77C9" w:rsidTr="00FE77C9">
        <w:trPr>
          <w:trHeight w:val="531"/>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ISO-4269 (API STD 2555/ASTM D 1406)</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Calibración de tanques por el método húmedo (método volumétrico).</w:t>
            </w:r>
          </w:p>
        </w:tc>
      </w:tr>
      <w:tr w:rsidR="00FE77C9" w:rsidRPr="00FE77C9" w:rsidTr="00FE77C9">
        <w:trPr>
          <w:trHeight w:val="531"/>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OIML R 85-1</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Medidores automáticos de nivel para medir el nivel de líquido en tanques de almacenamiento fijos.</w:t>
            </w:r>
          </w:p>
        </w:tc>
      </w:tr>
    </w:tbl>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Para autotanques, carrotanques y buquetanques.</w:t>
      </w:r>
    </w:p>
    <w:tbl>
      <w:tblPr>
        <w:tblW w:w="0" w:type="auto"/>
        <w:tblInd w:w="1080" w:type="dxa"/>
        <w:shd w:val="clear" w:color="auto" w:fill="FFFFFF"/>
        <w:tblCellMar>
          <w:top w:w="15" w:type="dxa"/>
          <w:left w:w="15" w:type="dxa"/>
          <w:bottom w:w="15" w:type="dxa"/>
          <w:right w:w="15" w:type="dxa"/>
        </w:tblCellMar>
        <w:tblLook w:val="04A0" w:firstRow="1" w:lastRow="0" w:firstColumn="1" w:lastColumn="0" w:noHBand="0" w:noVBand="1"/>
      </w:tblPr>
      <w:tblGrid>
        <w:gridCol w:w="2070"/>
        <w:gridCol w:w="5634"/>
      </w:tblGrid>
      <w:tr w:rsidR="00FE77C9" w:rsidRPr="00FE77C9" w:rsidTr="00FE77C9">
        <w:trPr>
          <w:trHeight w:val="315"/>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NOM-007-ASEA-2016</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Transporte de gas natural.</w:t>
            </w:r>
          </w:p>
        </w:tc>
      </w:tr>
      <w:tr w:rsidR="00FE77C9" w:rsidRPr="00FE77C9" w:rsidTr="00FE77C9">
        <w:trPr>
          <w:trHeight w:val="531"/>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NMX-CH-146-IMNC</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Metrología Carrotanques y autotanques Clasificación, características, verificación y métodos de calibración.</w:t>
            </w:r>
          </w:p>
        </w:tc>
      </w:tr>
    </w:tbl>
    <w:p w:rsidR="00FE77C9" w:rsidRPr="00FE77C9" w:rsidRDefault="00FE77C9" w:rsidP="00FE77C9">
      <w:pPr>
        <w:jc w:val="both"/>
        <w:rPr>
          <w:rFonts w:ascii="Verdana" w:hAnsi="Verdana"/>
          <w:bCs/>
          <w:vanish/>
          <w:sz w:val="20"/>
        </w:rPr>
      </w:pPr>
    </w:p>
    <w:tbl>
      <w:tblPr>
        <w:tblW w:w="0" w:type="auto"/>
        <w:tblInd w:w="1080" w:type="dxa"/>
        <w:shd w:val="clear" w:color="auto" w:fill="FFFFFF"/>
        <w:tblCellMar>
          <w:top w:w="15" w:type="dxa"/>
          <w:left w:w="15" w:type="dxa"/>
          <w:bottom w:w="15" w:type="dxa"/>
          <w:right w:w="15" w:type="dxa"/>
        </w:tblCellMar>
        <w:tblLook w:val="04A0" w:firstRow="1" w:lastRow="0" w:firstColumn="1" w:lastColumn="0" w:noHBand="0" w:noVBand="1"/>
      </w:tblPr>
      <w:tblGrid>
        <w:gridCol w:w="2070"/>
        <w:gridCol w:w="5634"/>
      </w:tblGrid>
      <w:tr w:rsidR="00FE77C9" w:rsidRPr="00FE77C9" w:rsidTr="00FE77C9">
        <w:trPr>
          <w:trHeight w:val="648"/>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4266-2</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de nivel y temperatura en tanques de almacenamiento por métodos automáticos Parte 2: Medición de nivel en embarcaciones marinas.</w:t>
            </w:r>
          </w:p>
        </w:tc>
      </w:tr>
      <w:tr w:rsidR="00FE77C9" w:rsidRPr="00FE77C9" w:rsidTr="00FE77C9">
        <w:trPr>
          <w:trHeight w:val="326"/>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2.7</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Calibración de tanques de barcaza.</w:t>
            </w:r>
          </w:p>
        </w:tc>
      </w:tr>
      <w:tr w:rsidR="00FE77C9" w:rsidRPr="00FE77C9" w:rsidTr="00FE77C9">
        <w:trPr>
          <w:trHeight w:val="326"/>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2.8A</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Calibración de tanques en buques y barcazas oceánicas.</w:t>
            </w:r>
          </w:p>
        </w:tc>
      </w:tr>
      <w:tr w:rsidR="00FE77C9" w:rsidRPr="00FE77C9" w:rsidTr="00FE77C9">
        <w:trPr>
          <w:trHeight w:val="776"/>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12.1.2</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Cálculo de cantidades de petróleo - Sección 1: Cálculo de cantidades estáticas de petróleo - Parte 2: Procedimiento de cálculo para carrotanques.</w:t>
            </w:r>
          </w:p>
        </w:tc>
      </w:tr>
      <w:tr w:rsidR="00FE77C9" w:rsidRPr="00FE77C9" w:rsidTr="00FE77C9">
        <w:trPr>
          <w:trHeight w:val="652"/>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STD 2554</w:t>
            </w:r>
          </w:p>
          <w:p w:rsidR="00FE77C9" w:rsidRPr="00FE77C9" w:rsidRDefault="00FE77C9" w:rsidP="00FE77C9">
            <w:pPr>
              <w:jc w:val="both"/>
              <w:rPr>
                <w:rFonts w:ascii="Verdana" w:hAnsi="Verdana"/>
                <w:bCs/>
                <w:sz w:val="20"/>
              </w:rPr>
            </w:pPr>
            <w:r w:rsidRPr="00FE77C9">
              <w:rPr>
                <w:rFonts w:ascii="Verdana" w:hAnsi="Verdana"/>
                <w:bCs/>
                <w:sz w:val="20"/>
              </w:rPr>
              <w:t>(ASTM D 1409)</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y calibración de carrotanques.</w:t>
            </w:r>
          </w:p>
        </w:tc>
      </w:tr>
      <w:tr w:rsidR="00FE77C9" w:rsidRPr="00FE77C9" w:rsidTr="00FE77C9">
        <w:trPr>
          <w:trHeight w:val="551"/>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OIML R 80-1</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Autotanques y carrotanques con medición de nivel - Parte 1: Requisitos metrológicos y técnicos.</w:t>
            </w:r>
          </w:p>
        </w:tc>
      </w:tr>
    </w:tbl>
    <w:p w:rsidR="00FE77C9" w:rsidRPr="00FE77C9" w:rsidRDefault="00FE77C9" w:rsidP="00FE77C9">
      <w:pPr>
        <w:jc w:val="both"/>
        <w:rPr>
          <w:rFonts w:ascii="Verdana" w:hAnsi="Verdana"/>
          <w:bCs/>
          <w:sz w:val="20"/>
        </w:rPr>
      </w:pPr>
      <w:r w:rsidRPr="00FE77C9">
        <w:rPr>
          <w:rFonts w:ascii="Verdana" w:hAnsi="Verdana"/>
          <w:b/>
          <w:bCs/>
          <w:sz w:val="20"/>
        </w:rPr>
        <w:t>III.</w:t>
      </w:r>
      <w:r w:rsidRPr="00FE77C9">
        <w:rPr>
          <w:rFonts w:ascii="Verdana" w:hAnsi="Verdana"/>
          <w:bCs/>
          <w:sz w:val="20"/>
        </w:rPr>
        <w:t>    </w:t>
      </w:r>
      <w:r w:rsidRPr="00FE77C9">
        <w:rPr>
          <w:rFonts w:ascii="Verdana" w:hAnsi="Verdana"/>
          <w:b/>
          <w:bCs/>
          <w:sz w:val="20"/>
        </w:rPr>
        <w:t>Normas y estándares para la Medición dinámica de Hidrocarburos y Petrolíferos líquidos.</w:t>
      </w:r>
    </w:p>
    <w:p w:rsidR="00FE77C9" w:rsidRPr="00FE77C9" w:rsidRDefault="00FE77C9" w:rsidP="00FE77C9">
      <w:pPr>
        <w:jc w:val="both"/>
        <w:rPr>
          <w:rFonts w:ascii="Verdana" w:hAnsi="Verdana"/>
          <w:bCs/>
          <w:sz w:val="20"/>
        </w:rPr>
      </w:pPr>
      <w:r w:rsidRPr="00FE77C9">
        <w:rPr>
          <w:rFonts w:ascii="Verdana" w:hAnsi="Verdana"/>
          <w:b/>
          <w:bCs/>
          <w:sz w:val="20"/>
        </w:rPr>
        <w:lastRenderedPageBreak/>
        <w:t>a)</w:t>
      </w:r>
      <w:r w:rsidRPr="00FE77C9">
        <w:rPr>
          <w:rFonts w:ascii="Verdana" w:hAnsi="Verdana"/>
          <w:bCs/>
          <w:sz w:val="20"/>
        </w:rPr>
        <w:t>   Aplicación en diseño.</w:t>
      </w:r>
    </w:p>
    <w:tbl>
      <w:tblPr>
        <w:tblW w:w="0" w:type="auto"/>
        <w:tblInd w:w="1080" w:type="dxa"/>
        <w:shd w:val="clear" w:color="auto" w:fill="FFFFFF"/>
        <w:tblCellMar>
          <w:top w:w="15" w:type="dxa"/>
          <w:left w:w="15" w:type="dxa"/>
          <w:bottom w:w="15" w:type="dxa"/>
          <w:right w:w="15" w:type="dxa"/>
        </w:tblCellMar>
        <w:tblLook w:val="04A0" w:firstRow="1" w:lastRow="0" w:firstColumn="1" w:lastColumn="0" w:noHBand="0" w:noVBand="1"/>
      </w:tblPr>
      <w:tblGrid>
        <w:gridCol w:w="2070"/>
        <w:gridCol w:w="5634"/>
      </w:tblGrid>
      <w:tr w:rsidR="00FE77C9" w:rsidRPr="00FE77C9" w:rsidTr="00FE77C9">
        <w:trPr>
          <w:trHeight w:val="551"/>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5.1</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Consideraciones generales para la medición por medio de medidores.</w:t>
            </w:r>
          </w:p>
        </w:tc>
      </w:tr>
      <w:tr w:rsidR="00FE77C9" w:rsidRPr="00FE77C9" w:rsidTr="00FE77C9">
        <w:trPr>
          <w:trHeight w:val="326"/>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5.4</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Accesorios para medidores de líquidos.</w:t>
            </w:r>
          </w:p>
        </w:tc>
      </w:tr>
      <w:tr w:rsidR="00FE77C9" w:rsidRPr="00FE77C9" w:rsidTr="00FE77C9">
        <w:trPr>
          <w:trHeight w:val="551"/>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5.5</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Fidelidad y seguridad de los sistemas de transmisión de datos de pulsos de medición de flujo.</w:t>
            </w:r>
          </w:p>
        </w:tc>
      </w:tr>
    </w:tbl>
    <w:p w:rsidR="00FE77C9" w:rsidRPr="00FE77C9" w:rsidRDefault="00FE77C9" w:rsidP="00FE77C9">
      <w:pPr>
        <w:jc w:val="both"/>
        <w:rPr>
          <w:rFonts w:ascii="Verdana" w:hAnsi="Verdana"/>
          <w:bCs/>
          <w:sz w:val="20"/>
        </w:rPr>
      </w:pPr>
      <w:r w:rsidRPr="00FE77C9">
        <w:rPr>
          <w:rFonts w:ascii="Verdana" w:hAnsi="Verdana"/>
          <w:b/>
          <w:bCs/>
          <w:sz w:val="20"/>
        </w:rPr>
        <w:t>b)</w:t>
      </w:r>
      <w:r w:rsidRPr="00FE77C9">
        <w:rPr>
          <w:rFonts w:ascii="Verdana" w:hAnsi="Verdana"/>
          <w:bCs/>
          <w:sz w:val="20"/>
        </w:rPr>
        <w:t>   Tipos de medidor del volumen o caudal.</w:t>
      </w:r>
    </w:p>
    <w:tbl>
      <w:tblPr>
        <w:tblW w:w="0" w:type="auto"/>
        <w:tblInd w:w="1080" w:type="dxa"/>
        <w:shd w:val="clear" w:color="auto" w:fill="FFFFFF"/>
        <w:tblCellMar>
          <w:top w:w="15" w:type="dxa"/>
          <w:left w:w="15" w:type="dxa"/>
          <w:bottom w:w="15" w:type="dxa"/>
          <w:right w:w="15" w:type="dxa"/>
        </w:tblCellMar>
        <w:tblLook w:val="04A0" w:firstRow="1" w:lastRow="0" w:firstColumn="1" w:lastColumn="0" w:noHBand="0" w:noVBand="1"/>
      </w:tblPr>
      <w:tblGrid>
        <w:gridCol w:w="2070"/>
        <w:gridCol w:w="5634"/>
      </w:tblGrid>
      <w:tr w:rsidR="00FE77C9" w:rsidRPr="00FE77C9" w:rsidTr="00FE77C9">
        <w:trPr>
          <w:trHeight w:val="776"/>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NOM-005-SCFI-2017</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Instrumentos de medición - Sistema para medición y despacho de gasolina y otros combustibles líquidos - Especificaciones, métodos de prueba y de verificación.</w:t>
            </w:r>
          </w:p>
        </w:tc>
      </w:tr>
      <w:tr w:rsidR="00FE77C9" w:rsidRPr="00FE77C9" w:rsidTr="00FE77C9">
        <w:trPr>
          <w:trHeight w:val="1001"/>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NOM-185-SCFI-2017</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Programas informáticos y sistemas electrónicos que controlan el funcionamiento de los sistemas para medición y despacho de gasolina y otros combustibles líquidos -Especificaciones, métodos de prueba y de verificación.</w:t>
            </w:r>
          </w:p>
        </w:tc>
      </w:tr>
      <w:tr w:rsidR="00FE77C9" w:rsidRPr="00FE77C9" w:rsidTr="00FE77C9">
        <w:trPr>
          <w:trHeight w:val="551"/>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2714</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Hidrocarburos líquidos Medición volumétrica mediante medidores de desplazamiento diferentes a bombas dispensadoras.</w:t>
            </w:r>
          </w:p>
        </w:tc>
      </w:tr>
      <w:tr w:rsidR="00FE77C9" w:rsidRPr="00FE77C9" w:rsidTr="00FE77C9">
        <w:trPr>
          <w:trHeight w:val="551"/>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2715</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Hidrocarburos líquidos Medición volumétrica mediante sistemas de medidor de turbina.</w:t>
            </w:r>
          </w:p>
        </w:tc>
      </w:tr>
      <w:tr w:rsidR="00FE77C9" w:rsidRPr="00FE77C9" w:rsidTr="00FE77C9">
        <w:trPr>
          <w:trHeight w:val="551"/>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4124</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Hidrocarburos líquidos Medición Dinámica Control estadístico de los sistemas de medición volumétricos.</w:t>
            </w:r>
          </w:p>
        </w:tc>
      </w:tr>
      <w:tr w:rsidR="00FE77C9" w:rsidRPr="00FE77C9" w:rsidTr="00FE77C9">
        <w:trPr>
          <w:trHeight w:val="551"/>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6551</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Petróleo Liquido/Gas fidelidad y seguridad de la medición dinámica.</w:t>
            </w:r>
          </w:p>
        </w:tc>
      </w:tr>
      <w:tr w:rsidR="00FE77C9" w:rsidRPr="00FE77C9" w:rsidTr="00FE77C9">
        <w:trPr>
          <w:trHeight w:val="551"/>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9951</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de flujo de gas en tuberías cerradas - Medidores de turbina.</w:t>
            </w:r>
          </w:p>
        </w:tc>
      </w:tr>
      <w:tr w:rsidR="00FE77C9" w:rsidRPr="00FE77C9" w:rsidTr="00FE77C9">
        <w:trPr>
          <w:trHeight w:val="776"/>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10789-1</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de flujo de fluido en tuberías cerradas Medidores ultrasónicos para gas - Medidores para transferencia de custodia y medición de asignación.</w:t>
            </w:r>
          </w:p>
        </w:tc>
      </w:tr>
      <w:tr w:rsidR="00FE77C9" w:rsidRPr="00FE77C9" w:rsidTr="00FE77C9">
        <w:trPr>
          <w:trHeight w:val="776"/>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10790</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de flujo de fluido en tuberías cerradas Guía para la selección, instalación y uso de medidores de Coriolis (mediciones de flujo másico, densidad y flujo volumétrico).</w:t>
            </w:r>
          </w:p>
        </w:tc>
      </w:tr>
      <w:tr w:rsidR="00FE77C9" w:rsidRPr="00FE77C9" w:rsidTr="00FE77C9">
        <w:trPr>
          <w:trHeight w:val="551"/>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12242</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 xml:space="preserve">Medición de flujo de fluido en tuberías cerradas Medidores ultrasónicos de tiempo de tránsito para </w:t>
            </w:r>
            <w:r w:rsidRPr="00FE77C9">
              <w:rPr>
                <w:rFonts w:ascii="Verdana" w:hAnsi="Verdana"/>
                <w:bCs/>
                <w:sz w:val="20"/>
              </w:rPr>
              <w:lastRenderedPageBreak/>
              <w:t>líquido.</w:t>
            </w:r>
          </w:p>
        </w:tc>
      </w:tr>
      <w:tr w:rsidR="00FE77C9" w:rsidRPr="00FE77C9" w:rsidTr="00FE77C9">
        <w:trPr>
          <w:trHeight w:val="551"/>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lastRenderedPageBreak/>
              <w:t>API MPMS 5.2</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de hidrocarburos líquidos por medio de medidores de desplazamiento.</w:t>
            </w:r>
          </w:p>
        </w:tc>
      </w:tr>
      <w:tr w:rsidR="00FE77C9" w:rsidRPr="00FE77C9" w:rsidTr="00FE77C9">
        <w:trPr>
          <w:trHeight w:val="521"/>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5.3</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de hidrocarburos líquidos por medio de medidores de turbina.</w:t>
            </w:r>
          </w:p>
        </w:tc>
      </w:tr>
    </w:tbl>
    <w:p w:rsidR="00FE77C9" w:rsidRPr="00FE77C9" w:rsidRDefault="00FE77C9" w:rsidP="00FE77C9">
      <w:pPr>
        <w:jc w:val="both"/>
        <w:rPr>
          <w:rFonts w:ascii="Verdana" w:hAnsi="Verdana"/>
          <w:bCs/>
          <w:vanish/>
          <w:sz w:val="20"/>
        </w:rPr>
      </w:pPr>
    </w:p>
    <w:tbl>
      <w:tblPr>
        <w:tblW w:w="0" w:type="auto"/>
        <w:tblInd w:w="1080" w:type="dxa"/>
        <w:shd w:val="clear" w:color="auto" w:fill="FFFFFF"/>
        <w:tblCellMar>
          <w:top w:w="15" w:type="dxa"/>
          <w:left w:w="15" w:type="dxa"/>
          <w:bottom w:w="15" w:type="dxa"/>
          <w:right w:w="15" w:type="dxa"/>
        </w:tblCellMar>
        <w:tblLook w:val="04A0" w:firstRow="1" w:lastRow="0" w:firstColumn="1" w:lastColumn="0" w:noHBand="0" w:noVBand="1"/>
      </w:tblPr>
      <w:tblGrid>
        <w:gridCol w:w="2070"/>
        <w:gridCol w:w="5634"/>
      </w:tblGrid>
      <w:tr w:rsidR="00FE77C9" w:rsidRPr="00FE77C9" w:rsidTr="00FE77C9">
        <w:trPr>
          <w:trHeight w:val="551"/>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5.6</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de hidrocarburos líquidos por medio de medidores de Coriolis.</w:t>
            </w:r>
          </w:p>
        </w:tc>
      </w:tr>
    </w:tbl>
    <w:p w:rsidR="00FE77C9" w:rsidRPr="00FE77C9" w:rsidRDefault="00FE77C9" w:rsidP="00FE77C9">
      <w:pPr>
        <w:jc w:val="both"/>
        <w:rPr>
          <w:rFonts w:ascii="Verdana" w:hAnsi="Verdana"/>
          <w:bCs/>
          <w:sz w:val="20"/>
        </w:rPr>
      </w:pPr>
      <w:r w:rsidRPr="00FE77C9">
        <w:rPr>
          <w:rFonts w:ascii="Verdana" w:hAnsi="Verdana"/>
          <w:bCs/>
          <w:sz w:val="20"/>
        </w:rPr>
        <w:t> </w:t>
      </w:r>
    </w:p>
    <w:tbl>
      <w:tblPr>
        <w:tblW w:w="0" w:type="auto"/>
        <w:tblInd w:w="1080" w:type="dxa"/>
        <w:shd w:val="clear" w:color="auto" w:fill="FFFFFF"/>
        <w:tblCellMar>
          <w:top w:w="15" w:type="dxa"/>
          <w:left w:w="15" w:type="dxa"/>
          <w:bottom w:w="15" w:type="dxa"/>
          <w:right w:w="15" w:type="dxa"/>
        </w:tblCellMar>
        <w:tblLook w:val="04A0" w:firstRow="1" w:lastRow="0" w:firstColumn="1" w:lastColumn="0" w:noHBand="0" w:noVBand="1"/>
      </w:tblPr>
      <w:tblGrid>
        <w:gridCol w:w="2070"/>
        <w:gridCol w:w="5634"/>
      </w:tblGrid>
      <w:tr w:rsidR="00FE77C9" w:rsidRPr="00FE77C9" w:rsidTr="00FE77C9">
        <w:trPr>
          <w:trHeight w:val="528"/>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5.8</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de hidrocarburos líquidos por medio de medidores de flujo ultrasónico con tecnología de tiempo de tránsito.</w:t>
            </w:r>
          </w:p>
        </w:tc>
      </w:tr>
      <w:tr w:rsidR="00FE77C9" w:rsidRPr="00FE77C9" w:rsidTr="00FE77C9">
        <w:trPr>
          <w:trHeight w:val="744"/>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21.2</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de flujo utilizando sistemas de medición electrónica Medición electrónica del volumen líquido utilizando medidores de desplazamiento positivo y turbinas.</w:t>
            </w:r>
          </w:p>
        </w:tc>
      </w:tr>
      <w:tr w:rsidR="00FE77C9" w:rsidRPr="00FE77C9" w:rsidTr="00FE77C9">
        <w:trPr>
          <w:trHeight w:val="528"/>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21.2-A1</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Adenda 1 a Medición de Flujo utilizando sistemas de medición electrónica, de masa inferida.</w:t>
            </w:r>
          </w:p>
        </w:tc>
      </w:tr>
      <w:tr w:rsidR="00FE77C9" w:rsidRPr="00FE77C9" w:rsidTr="00FE77C9">
        <w:trPr>
          <w:trHeight w:val="312"/>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OIML R 117-1</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Sistemas de medición dinámicos para líquidos distintos del agua.</w:t>
            </w:r>
          </w:p>
        </w:tc>
      </w:tr>
    </w:tbl>
    <w:p w:rsidR="00FE77C9" w:rsidRPr="00FE77C9" w:rsidRDefault="00FE77C9" w:rsidP="00FE77C9">
      <w:pPr>
        <w:jc w:val="both"/>
        <w:rPr>
          <w:rFonts w:ascii="Verdana" w:hAnsi="Verdana"/>
          <w:bCs/>
          <w:sz w:val="20"/>
        </w:rPr>
      </w:pPr>
      <w:r w:rsidRPr="00FE77C9">
        <w:rPr>
          <w:rFonts w:ascii="Verdana" w:hAnsi="Verdana"/>
          <w:b/>
          <w:bCs/>
          <w:sz w:val="20"/>
        </w:rPr>
        <w:t>c)</w:t>
      </w:r>
      <w:r w:rsidRPr="00FE77C9">
        <w:rPr>
          <w:rFonts w:ascii="Verdana" w:hAnsi="Verdana"/>
          <w:bCs/>
          <w:sz w:val="20"/>
        </w:rPr>
        <w:t>   Probadores.</w:t>
      </w:r>
    </w:p>
    <w:tbl>
      <w:tblPr>
        <w:tblW w:w="0" w:type="auto"/>
        <w:tblInd w:w="1080" w:type="dxa"/>
        <w:shd w:val="clear" w:color="auto" w:fill="FFFFFF"/>
        <w:tblCellMar>
          <w:top w:w="15" w:type="dxa"/>
          <w:left w:w="15" w:type="dxa"/>
          <w:bottom w:w="15" w:type="dxa"/>
          <w:right w:w="15" w:type="dxa"/>
        </w:tblCellMar>
        <w:tblLook w:val="04A0" w:firstRow="1" w:lastRow="0" w:firstColumn="1" w:lastColumn="0" w:noHBand="0" w:noVBand="1"/>
      </w:tblPr>
      <w:tblGrid>
        <w:gridCol w:w="2070"/>
        <w:gridCol w:w="5634"/>
      </w:tblGrid>
      <w:tr w:rsidR="00FE77C9" w:rsidRPr="00FE77C9" w:rsidTr="00FE77C9">
        <w:trPr>
          <w:trHeight w:val="528"/>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7278-1</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Hidrocarburos líquidos - Medición dinámica - Sistemas de pruebas para medidores volumétricos - Parte 1: Principios generales.</w:t>
            </w:r>
          </w:p>
        </w:tc>
      </w:tr>
      <w:tr w:rsidR="00FE77C9" w:rsidRPr="00FE77C9" w:rsidTr="00FE77C9">
        <w:trPr>
          <w:trHeight w:val="744"/>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7278-2</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Hidrocarburos líquidos - Sistemas para probar contadores volumétricos - Medición dinámica - Parte 2: Probadores de tipo tubería.</w:t>
            </w:r>
          </w:p>
        </w:tc>
      </w:tr>
      <w:tr w:rsidR="00FE77C9" w:rsidRPr="00FE77C9" w:rsidTr="00FE77C9">
        <w:trPr>
          <w:trHeight w:val="744"/>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7278-3</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Hidrocarburos Líquidos - Medición dinámica - Sistemas de pruebas para medidores volumétricos - Parte 3: Técnicas de interpolación de pulso.</w:t>
            </w:r>
          </w:p>
        </w:tc>
      </w:tr>
      <w:tr w:rsidR="00FE77C9" w:rsidRPr="00FE77C9" w:rsidTr="00FE77C9">
        <w:trPr>
          <w:trHeight w:val="744"/>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7278-4</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Hidrocarburos Líquidos - Medición dinámica - Sistemas de pruebas para medidores volumétricos - Parte 4: Guía para operadores de probadores de tipo tubería.</w:t>
            </w:r>
          </w:p>
        </w:tc>
      </w:tr>
      <w:tr w:rsidR="00FE77C9" w:rsidRPr="00FE77C9" w:rsidTr="00FE77C9">
        <w:trPr>
          <w:trHeight w:val="312"/>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4.1</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Introducción (Probadores).</w:t>
            </w:r>
          </w:p>
        </w:tc>
      </w:tr>
      <w:tr w:rsidR="00FE77C9" w:rsidRPr="00FE77C9" w:rsidTr="00FE77C9">
        <w:trPr>
          <w:trHeight w:val="312"/>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lastRenderedPageBreak/>
              <w:t>API MPMS 4.2</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Probadores de desplazamiento.</w:t>
            </w:r>
          </w:p>
        </w:tc>
      </w:tr>
      <w:tr w:rsidR="00FE77C9" w:rsidRPr="00FE77C9" w:rsidTr="00FE77C9">
        <w:trPr>
          <w:trHeight w:val="312"/>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4.4</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Probadores de tanques.</w:t>
            </w:r>
          </w:p>
        </w:tc>
      </w:tr>
      <w:tr w:rsidR="00FE77C9" w:rsidRPr="00FE77C9" w:rsidTr="00FE77C9">
        <w:trPr>
          <w:trHeight w:val="312"/>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4.5</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Probadores del medidor maestro.</w:t>
            </w:r>
          </w:p>
        </w:tc>
      </w:tr>
      <w:tr w:rsidR="00FE77C9" w:rsidRPr="00FE77C9" w:rsidTr="00FE77C9">
        <w:trPr>
          <w:trHeight w:val="312"/>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4.6</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Interpolación de pulso.</w:t>
            </w:r>
          </w:p>
        </w:tc>
      </w:tr>
      <w:tr w:rsidR="00FE77C9" w:rsidRPr="00FE77C9" w:rsidTr="00FE77C9">
        <w:trPr>
          <w:trHeight w:val="312"/>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4.7</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Métodos de prueba estándar en campo.</w:t>
            </w:r>
          </w:p>
        </w:tc>
      </w:tr>
      <w:tr w:rsidR="00FE77C9" w:rsidRPr="00FE77C9" w:rsidTr="00FE77C9">
        <w:trPr>
          <w:trHeight w:val="312"/>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4.8</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Operación de sistemas de probadores.</w:t>
            </w:r>
          </w:p>
        </w:tc>
      </w:tr>
      <w:tr w:rsidR="00FE77C9" w:rsidRPr="00FE77C9" w:rsidTr="00FE77C9">
        <w:trPr>
          <w:trHeight w:val="528"/>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4.9 .1</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Introducción a la determinación del volumen de los probadores de desplazamiento y de tanque.</w:t>
            </w:r>
          </w:p>
        </w:tc>
      </w:tr>
      <w:tr w:rsidR="00FE77C9" w:rsidRPr="00FE77C9" w:rsidTr="00FE77C9">
        <w:trPr>
          <w:trHeight w:val="528"/>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4.9.2</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Determinación del volumen del probador de desplazamiento y Tanque, por el método de calibración </w:t>
            </w:r>
            <w:r w:rsidRPr="00FE77C9">
              <w:rPr>
                <w:rFonts w:ascii="Verdana" w:hAnsi="Verdana"/>
                <w:bCs/>
                <w:i/>
                <w:iCs/>
                <w:sz w:val="20"/>
              </w:rPr>
              <w:t>"Waterdraw"</w:t>
            </w:r>
            <w:r w:rsidRPr="00FE77C9">
              <w:rPr>
                <w:rFonts w:ascii="Verdana" w:hAnsi="Verdana"/>
                <w:bCs/>
                <w:sz w:val="20"/>
              </w:rPr>
              <w:t>.</w:t>
            </w:r>
          </w:p>
        </w:tc>
      </w:tr>
      <w:tr w:rsidR="00FE77C9" w:rsidRPr="00FE77C9" w:rsidTr="00FE77C9">
        <w:trPr>
          <w:trHeight w:val="528"/>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4.9.3</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Determinación del volumen de probadores de desplazamiento por el método de calibración del medidor maestro.</w:t>
            </w:r>
          </w:p>
        </w:tc>
      </w:tr>
      <w:tr w:rsidR="00FE77C9" w:rsidRPr="00FE77C9" w:rsidTr="00FE77C9">
        <w:trPr>
          <w:trHeight w:val="528"/>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4.9.4</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Determinación del volumen de probadores de desplazamiento y de tanques por el método de calibración gravimétrico.</w:t>
            </w:r>
          </w:p>
        </w:tc>
      </w:tr>
      <w:tr w:rsidR="00FE77C9" w:rsidRPr="00FE77C9" w:rsidTr="00FE77C9">
        <w:trPr>
          <w:trHeight w:val="528"/>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13.2</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Métodos estadísticos de evaluación de los datos de probadores de medidores.</w:t>
            </w:r>
          </w:p>
        </w:tc>
      </w:tr>
    </w:tbl>
    <w:p w:rsidR="00FE77C9" w:rsidRPr="00FE77C9" w:rsidRDefault="00FE77C9" w:rsidP="00FE77C9">
      <w:pPr>
        <w:jc w:val="both"/>
        <w:rPr>
          <w:rFonts w:ascii="Verdana" w:hAnsi="Verdana"/>
          <w:bCs/>
          <w:sz w:val="20"/>
        </w:rPr>
      </w:pPr>
      <w:r w:rsidRPr="00FE77C9">
        <w:rPr>
          <w:rFonts w:ascii="Verdana" w:hAnsi="Verdana"/>
          <w:b/>
          <w:bCs/>
          <w:sz w:val="20"/>
        </w:rPr>
        <w:t>d)</w:t>
      </w:r>
      <w:r w:rsidRPr="00FE77C9">
        <w:rPr>
          <w:rFonts w:ascii="Verdana" w:hAnsi="Verdana"/>
          <w:bCs/>
          <w:sz w:val="20"/>
        </w:rPr>
        <w:t>   Cálculos.</w:t>
      </w:r>
    </w:p>
    <w:tbl>
      <w:tblPr>
        <w:tblW w:w="0" w:type="auto"/>
        <w:tblInd w:w="1080" w:type="dxa"/>
        <w:shd w:val="clear" w:color="auto" w:fill="FFFFFF"/>
        <w:tblCellMar>
          <w:top w:w="15" w:type="dxa"/>
          <w:left w:w="15" w:type="dxa"/>
          <w:bottom w:w="15" w:type="dxa"/>
          <w:right w:w="15" w:type="dxa"/>
        </w:tblCellMar>
        <w:tblLook w:val="04A0" w:firstRow="1" w:lastRow="0" w:firstColumn="1" w:lastColumn="0" w:noHBand="0" w:noVBand="1"/>
      </w:tblPr>
      <w:tblGrid>
        <w:gridCol w:w="2070"/>
        <w:gridCol w:w="5634"/>
      </w:tblGrid>
      <w:tr w:rsidR="00FE77C9" w:rsidRPr="00FE77C9" w:rsidTr="00FE77C9">
        <w:trPr>
          <w:trHeight w:val="744"/>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11.4.1</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Propiedades de los materiales de referencia - Parte 1: Densidad del agua y factores de corrección del volumen del agua para la calibración de probadores volumétricos.</w:t>
            </w:r>
          </w:p>
        </w:tc>
      </w:tr>
      <w:tr w:rsidR="00FE77C9" w:rsidRPr="00FE77C9" w:rsidTr="00FE77C9">
        <w:trPr>
          <w:trHeight w:val="744"/>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12.2.3</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Cálculo de cantidades de petróleo utilizando métodos de medición dinámica y factores de corrección volumétrica - Parte 3: Reporte de probadores.</w:t>
            </w:r>
          </w:p>
        </w:tc>
      </w:tr>
      <w:tr w:rsidR="00FE77C9" w:rsidRPr="00FE77C9" w:rsidTr="00FE77C9">
        <w:trPr>
          <w:trHeight w:val="744"/>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12.2.4</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Cálculo de cantidades de petróleo usando métodos de medición dinámica y factores de corrección volumétrica -Parte 4: Cálculo de volúmenes base de los probadores por el método </w:t>
            </w:r>
            <w:r w:rsidRPr="00FE77C9">
              <w:rPr>
                <w:rFonts w:ascii="Verdana" w:hAnsi="Verdana"/>
                <w:bCs/>
                <w:i/>
                <w:iCs/>
                <w:sz w:val="20"/>
              </w:rPr>
              <w:t>"Waterdraw"</w:t>
            </w:r>
            <w:r w:rsidRPr="00FE77C9">
              <w:rPr>
                <w:rFonts w:ascii="Verdana" w:hAnsi="Verdana"/>
                <w:bCs/>
                <w:sz w:val="20"/>
              </w:rPr>
              <w:t>.</w:t>
            </w:r>
          </w:p>
        </w:tc>
      </w:tr>
    </w:tbl>
    <w:p w:rsidR="00FE77C9" w:rsidRPr="00FE77C9" w:rsidRDefault="00FE77C9" w:rsidP="00FE77C9">
      <w:pPr>
        <w:jc w:val="both"/>
        <w:rPr>
          <w:rFonts w:ascii="Verdana" w:hAnsi="Verdana"/>
          <w:bCs/>
          <w:vanish/>
          <w:sz w:val="20"/>
        </w:rPr>
      </w:pPr>
    </w:p>
    <w:tbl>
      <w:tblPr>
        <w:tblW w:w="0" w:type="auto"/>
        <w:tblInd w:w="1080" w:type="dxa"/>
        <w:shd w:val="clear" w:color="auto" w:fill="FFFFFF"/>
        <w:tblCellMar>
          <w:top w:w="15" w:type="dxa"/>
          <w:left w:w="15" w:type="dxa"/>
          <w:bottom w:w="15" w:type="dxa"/>
          <w:right w:w="15" w:type="dxa"/>
        </w:tblCellMar>
        <w:tblLook w:val="04A0" w:firstRow="1" w:lastRow="0" w:firstColumn="1" w:lastColumn="0" w:noHBand="0" w:noVBand="1"/>
      </w:tblPr>
      <w:tblGrid>
        <w:gridCol w:w="2070"/>
        <w:gridCol w:w="5634"/>
      </w:tblGrid>
      <w:tr w:rsidR="00FE77C9" w:rsidRPr="00FE77C9" w:rsidTr="00FE77C9">
        <w:trPr>
          <w:trHeight w:val="648"/>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12.2.5</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 xml:space="preserve">Cálculo de cantidades de petróleo usando métodos de medición dinámica y factores de corrección volumétrica - Parte 5: el volumen base del probador </w:t>
            </w:r>
            <w:r w:rsidRPr="00FE77C9">
              <w:rPr>
                <w:rFonts w:ascii="Verdana" w:hAnsi="Verdana"/>
                <w:bCs/>
                <w:sz w:val="20"/>
              </w:rPr>
              <w:lastRenderedPageBreak/>
              <w:t>usando el método del medidor maestro.</w:t>
            </w:r>
          </w:p>
        </w:tc>
      </w:tr>
    </w:tbl>
    <w:p w:rsidR="00FE77C9" w:rsidRPr="00FE77C9" w:rsidRDefault="00FE77C9" w:rsidP="00FE77C9">
      <w:pPr>
        <w:jc w:val="both"/>
        <w:rPr>
          <w:rFonts w:ascii="Verdana" w:hAnsi="Verdana"/>
          <w:bCs/>
          <w:sz w:val="20"/>
        </w:rPr>
      </w:pPr>
      <w:r w:rsidRPr="00FE77C9">
        <w:rPr>
          <w:rFonts w:ascii="Verdana" w:hAnsi="Verdana"/>
          <w:b/>
          <w:bCs/>
          <w:sz w:val="20"/>
        </w:rPr>
        <w:lastRenderedPageBreak/>
        <w:t>e)</w:t>
      </w:r>
      <w:r w:rsidRPr="00FE77C9">
        <w:rPr>
          <w:rFonts w:ascii="Verdana" w:hAnsi="Verdana"/>
          <w:bCs/>
          <w:sz w:val="20"/>
        </w:rPr>
        <w:t>   Computación de flujo y volumen.</w:t>
      </w:r>
    </w:p>
    <w:tbl>
      <w:tblPr>
        <w:tblW w:w="0" w:type="auto"/>
        <w:tblInd w:w="1080" w:type="dxa"/>
        <w:shd w:val="clear" w:color="auto" w:fill="FFFFFF"/>
        <w:tblCellMar>
          <w:top w:w="15" w:type="dxa"/>
          <w:left w:w="15" w:type="dxa"/>
          <w:bottom w:w="15" w:type="dxa"/>
          <w:right w:w="15" w:type="dxa"/>
        </w:tblCellMar>
        <w:tblLook w:val="04A0" w:firstRow="1" w:lastRow="0" w:firstColumn="1" w:lastColumn="0" w:noHBand="0" w:noVBand="1"/>
      </w:tblPr>
      <w:tblGrid>
        <w:gridCol w:w="2070"/>
        <w:gridCol w:w="5634"/>
      </w:tblGrid>
      <w:tr w:rsidR="00FE77C9" w:rsidRPr="00FE77C9" w:rsidTr="00FE77C9">
        <w:trPr>
          <w:trHeight w:val="565"/>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5.5</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Fidelidad y seguridad de los sistemas de transmisión de datos de pulsos de medición de flujo.</w:t>
            </w:r>
          </w:p>
        </w:tc>
      </w:tr>
      <w:tr w:rsidR="00FE77C9" w:rsidRPr="00FE77C9" w:rsidTr="00FE77C9">
        <w:trPr>
          <w:trHeight w:val="797"/>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11.1</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Datos de propiedades físicas (factores de corrección del volumen) (todas las secciones y mesas pertinentes, incluyendo rutinas de computación).</w:t>
            </w:r>
          </w:p>
        </w:tc>
      </w:tr>
      <w:tr w:rsidR="00FE77C9" w:rsidRPr="00FE77C9" w:rsidTr="00FE77C9">
        <w:trPr>
          <w:trHeight w:val="797"/>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11.2.2</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Factores de compresibilidad de hidrocarburos: 0,350 a 0,637 de densidad relativa (60 °F / 60 °F) y -50 °F a 140 °F de temperatura de medidor.</w:t>
            </w:r>
          </w:p>
        </w:tc>
      </w:tr>
      <w:tr w:rsidR="00FE77C9" w:rsidRPr="00FE77C9" w:rsidTr="00FE77C9">
        <w:trPr>
          <w:trHeight w:val="797"/>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11.2.2M</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Factores de compresibilidad para hidrocarburos: 350-637 kilogramos por metro cúbico densidad (15 °C) y -46 °C a 60 °C temperatura de medidor.</w:t>
            </w:r>
          </w:p>
        </w:tc>
      </w:tr>
      <w:tr w:rsidR="00FE77C9" w:rsidRPr="00FE77C9" w:rsidTr="00FE77C9">
        <w:trPr>
          <w:trHeight w:val="565"/>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11.2.4</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Corrección de temperatura para los volúmenes de LNG y Tablas GLP 23E, 24E, 53E, 54E, 59E, 60E.</w:t>
            </w:r>
          </w:p>
        </w:tc>
      </w:tr>
      <w:tr w:rsidR="00FE77C9" w:rsidRPr="00FE77C9" w:rsidTr="00FE77C9">
        <w:trPr>
          <w:trHeight w:val="565"/>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11.2.5</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Correlación de presión de vapor simplificada para uso NGL comerciales.</w:t>
            </w:r>
          </w:p>
        </w:tc>
      </w:tr>
      <w:tr w:rsidR="00FE77C9" w:rsidRPr="00FE77C9" w:rsidTr="00FE77C9">
        <w:trPr>
          <w:trHeight w:val="333"/>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11.3.2.1</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Densidad de etileno.</w:t>
            </w:r>
          </w:p>
        </w:tc>
      </w:tr>
      <w:tr w:rsidR="00FE77C9" w:rsidRPr="00FE77C9" w:rsidTr="00FE77C9">
        <w:trPr>
          <w:trHeight w:val="333"/>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11.3.3.2</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Compresibilidad de polipropileno.</w:t>
            </w:r>
          </w:p>
        </w:tc>
      </w:tr>
      <w:tr w:rsidR="00FE77C9" w:rsidRPr="00FE77C9" w:rsidTr="00FE77C9">
        <w:trPr>
          <w:trHeight w:val="333"/>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11.5</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Intraconversión de densidad / peso / volumen.</w:t>
            </w:r>
          </w:p>
        </w:tc>
      </w:tr>
      <w:tr w:rsidR="00FE77C9" w:rsidRPr="00FE77C9" w:rsidTr="00FE77C9">
        <w:trPr>
          <w:trHeight w:val="797"/>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12.2.1</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Cálculo de cantidades de petróleo usando métodos de medición dinámica y factores de corrección del volumen -Parte 1: Introducción.</w:t>
            </w:r>
          </w:p>
        </w:tc>
      </w:tr>
      <w:tr w:rsidR="00FE77C9" w:rsidRPr="00FE77C9" w:rsidTr="00FE77C9">
        <w:trPr>
          <w:trHeight w:val="797"/>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12.2.2</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Cálculo de cantidades de petróleo usando métodos de medición dinámica y factores de corrección del volumen -Parte 2: Tickets de Medición.</w:t>
            </w:r>
          </w:p>
        </w:tc>
      </w:tr>
      <w:tr w:rsidR="00FE77C9" w:rsidRPr="00FE77C9" w:rsidTr="00FE77C9">
        <w:trPr>
          <w:trHeight w:val="797"/>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12.2.3</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Cálculo de cantidades de petróleo usando métodos de medición dinámica y factores de corrección del volumen Parte 3: Reportes de Probador.</w:t>
            </w:r>
          </w:p>
        </w:tc>
      </w:tr>
      <w:tr w:rsidR="00FE77C9" w:rsidRPr="00FE77C9" w:rsidTr="00FE77C9">
        <w:trPr>
          <w:trHeight w:val="565"/>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12.3</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Cálculo de contracción volumétrica por fusión de hidrocarburos livianos con petróleo crudo.</w:t>
            </w:r>
          </w:p>
        </w:tc>
      </w:tr>
      <w:tr w:rsidR="00FE77C9" w:rsidRPr="00FE77C9" w:rsidTr="00FE77C9">
        <w:trPr>
          <w:trHeight w:val="565"/>
        </w:trPr>
        <w:tc>
          <w:tcPr>
            <w:tcW w:w="2070"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lastRenderedPageBreak/>
              <w:t>API MPMS 21.2</w:t>
            </w:r>
          </w:p>
        </w:tc>
        <w:tc>
          <w:tcPr>
            <w:tcW w:w="563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electrónica del volumen líquido utilizando medidores de desplazamiento positivo y medidores de turbina.</w:t>
            </w:r>
          </w:p>
        </w:tc>
      </w:tr>
    </w:tbl>
    <w:p w:rsidR="00FE77C9" w:rsidRPr="00FE77C9" w:rsidRDefault="00FE77C9" w:rsidP="00FE77C9">
      <w:pPr>
        <w:jc w:val="both"/>
        <w:rPr>
          <w:rFonts w:ascii="Verdana" w:hAnsi="Verdana"/>
          <w:bCs/>
          <w:sz w:val="20"/>
        </w:rPr>
      </w:pPr>
      <w:r w:rsidRPr="00FE77C9">
        <w:rPr>
          <w:rFonts w:ascii="Verdana" w:hAnsi="Verdana"/>
          <w:b/>
          <w:bCs/>
          <w:sz w:val="20"/>
        </w:rPr>
        <w:t>IV.</w:t>
      </w:r>
      <w:r w:rsidRPr="00FE77C9">
        <w:rPr>
          <w:rFonts w:ascii="Verdana" w:hAnsi="Verdana"/>
          <w:bCs/>
          <w:sz w:val="20"/>
        </w:rPr>
        <w:t>   </w:t>
      </w:r>
      <w:r w:rsidRPr="00FE77C9">
        <w:rPr>
          <w:rFonts w:ascii="Verdana" w:hAnsi="Verdana"/>
          <w:b/>
          <w:bCs/>
          <w:sz w:val="20"/>
        </w:rPr>
        <w:t>Normas y estándares para la Medición dinámica de Hidrocarburos gaseosos.</w:t>
      </w:r>
    </w:p>
    <w:tbl>
      <w:tblPr>
        <w:tblW w:w="0" w:type="auto"/>
        <w:tblInd w:w="648" w:type="dxa"/>
        <w:shd w:val="clear" w:color="auto" w:fill="FFFFFF"/>
        <w:tblCellMar>
          <w:top w:w="15" w:type="dxa"/>
          <w:left w:w="15" w:type="dxa"/>
          <w:bottom w:w="15" w:type="dxa"/>
          <w:right w:w="15" w:type="dxa"/>
        </w:tblCellMar>
        <w:tblLook w:val="04A0" w:firstRow="1" w:lastRow="0" w:firstColumn="1" w:lastColumn="0" w:noHBand="0" w:noVBand="1"/>
      </w:tblPr>
      <w:tblGrid>
        <w:gridCol w:w="2498"/>
        <w:gridCol w:w="5624"/>
      </w:tblGrid>
      <w:tr w:rsidR="00FE77C9" w:rsidRPr="00FE77C9" w:rsidTr="00FE77C9">
        <w:trPr>
          <w:trHeight w:val="333"/>
        </w:trPr>
        <w:tc>
          <w:tcPr>
            <w:tcW w:w="2498"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NOM-003-SECRE-2011</w:t>
            </w:r>
          </w:p>
        </w:tc>
        <w:tc>
          <w:tcPr>
            <w:tcW w:w="562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Distribución de gas natural y gas licuado de petróleo por ductos.</w:t>
            </w:r>
          </w:p>
        </w:tc>
      </w:tr>
      <w:tr w:rsidR="00FE77C9" w:rsidRPr="00FE77C9" w:rsidTr="00FE77C9">
        <w:trPr>
          <w:trHeight w:val="797"/>
        </w:trPr>
        <w:tc>
          <w:tcPr>
            <w:tcW w:w="2498"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NMX-CH-5167-1-IMNC</w:t>
            </w:r>
          </w:p>
        </w:tc>
        <w:tc>
          <w:tcPr>
            <w:tcW w:w="562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del flujo de fluidos por medio de dispositivos de presión diferencial insertados en la sección transversal circular de ductos llenos Parte 1: Principios generales y requisitos.</w:t>
            </w:r>
          </w:p>
        </w:tc>
      </w:tr>
      <w:tr w:rsidR="00FE77C9" w:rsidRPr="00FE77C9" w:rsidTr="00FE77C9">
        <w:trPr>
          <w:trHeight w:val="797"/>
        </w:trPr>
        <w:tc>
          <w:tcPr>
            <w:tcW w:w="2498"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NMX-CH-5167-2-IMNC</w:t>
            </w:r>
          </w:p>
        </w:tc>
        <w:tc>
          <w:tcPr>
            <w:tcW w:w="562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del flujo de fluidos por medio de dispositivos de presión diferencial insertados en la sección transversal circular de ductos llenos Parte 2: Placas de orificio.</w:t>
            </w:r>
          </w:p>
        </w:tc>
      </w:tr>
      <w:tr w:rsidR="00FE77C9" w:rsidRPr="00FE77C9" w:rsidTr="00FE77C9">
        <w:trPr>
          <w:trHeight w:val="797"/>
        </w:trPr>
        <w:tc>
          <w:tcPr>
            <w:tcW w:w="2498"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5167-2</w:t>
            </w:r>
          </w:p>
        </w:tc>
        <w:tc>
          <w:tcPr>
            <w:tcW w:w="562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de flujo de fluido por medio de dispositivos de presión diferencial insertados en tubos de sección transversal circular Parte 2: Placas de orificio.</w:t>
            </w:r>
          </w:p>
        </w:tc>
      </w:tr>
      <w:tr w:rsidR="00FE77C9" w:rsidRPr="00FE77C9" w:rsidTr="00FE77C9">
        <w:trPr>
          <w:trHeight w:val="565"/>
        </w:trPr>
        <w:tc>
          <w:tcPr>
            <w:tcW w:w="2498"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9951</w:t>
            </w:r>
          </w:p>
        </w:tc>
        <w:tc>
          <w:tcPr>
            <w:tcW w:w="562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del flujo del gas en conductos cerrados Medidores de turbina.</w:t>
            </w:r>
          </w:p>
        </w:tc>
      </w:tr>
    </w:tbl>
    <w:p w:rsidR="00FE77C9" w:rsidRPr="00FE77C9" w:rsidRDefault="00FE77C9" w:rsidP="00FE77C9">
      <w:pPr>
        <w:jc w:val="both"/>
        <w:rPr>
          <w:rFonts w:ascii="Verdana" w:hAnsi="Verdana"/>
          <w:bCs/>
          <w:vanish/>
          <w:sz w:val="20"/>
        </w:rPr>
      </w:pPr>
    </w:p>
    <w:tbl>
      <w:tblPr>
        <w:tblW w:w="0" w:type="auto"/>
        <w:tblInd w:w="648" w:type="dxa"/>
        <w:shd w:val="clear" w:color="auto" w:fill="FFFFFF"/>
        <w:tblCellMar>
          <w:top w:w="15" w:type="dxa"/>
          <w:left w:w="15" w:type="dxa"/>
          <w:bottom w:w="15" w:type="dxa"/>
          <w:right w:w="15" w:type="dxa"/>
        </w:tblCellMar>
        <w:tblLook w:val="04A0" w:firstRow="1" w:lastRow="0" w:firstColumn="1" w:lastColumn="0" w:noHBand="0" w:noVBand="1"/>
      </w:tblPr>
      <w:tblGrid>
        <w:gridCol w:w="2498"/>
        <w:gridCol w:w="5624"/>
      </w:tblGrid>
      <w:tr w:rsidR="00FE77C9" w:rsidRPr="00FE77C9" w:rsidTr="00FE77C9">
        <w:trPr>
          <w:trHeight w:val="797"/>
        </w:trPr>
        <w:tc>
          <w:tcPr>
            <w:tcW w:w="2498"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10790</w:t>
            </w:r>
          </w:p>
        </w:tc>
        <w:tc>
          <w:tcPr>
            <w:tcW w:w="562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del flujo del fluido en conductos cerrados Guía de la selección, instalación y uso de medidores Coriolis (Medida del flujo de la masa, densidad y volumen del flujo).</w:t>
            </w:r>
          </w:p>
        </w:tc>
      </w:tr>
    </w:tbl>
    <w:p w:rsidR="00FE77C9" w:rsidRPr="00FE77C9" w:rsidRDefault="00FE77C9" w:rsidP="00FE77C9">
      <w:pPr>
        <w:jc w:val="both"/>
        <w:rPr>
          <w:rFonts w:ascii="Verdana" w:hAnsi="Verdana"/>
          <w:bCs/>
          <w:sz w:val="20"/>
        </w:rPr>
      </w:pPr>
      <w:r w:rsidRPr="00FE77C9">
        <w:rPr>
          <w:rFonts w:ascii="Verdana" w:hAnsi="Verdana"/>
          <w:bCs/>
          <w:sz w:val="20"/>
        </w:rPr>
        <w:t> </w:t>
      </w:r>
    </w:p>
    <w:tbl>
      <w:tblPr>
        <w:tblW w:w="0" w:type="auto"/>
        <w:tblInd w:w="648" w:type="dxa"/>
        <w:shd w:val="clear" w:color="auto" w:fill="FFFFFF"/>
        <w:tblCellMar>
          <w:top w:w="15" w:type="dxa"/>
          <w:left w:w="15" w:type="dxa"/>
          <w:bottom w:w="15" w:type="dxa"/>
          <w:right w:w="15" w:type="dxa"/>
        </w:tblCellMar>
        <w:tblLook w:val="04A0" w:firstRow="1" w:lastRow="0" w:firstColumn="1" w:lastColumn="0" w:noHBand="0" w:noVBand="1"/>
      </w:tblPr>
      <w:tblGrid>
        <w:gridCol w:w="2498"/>
        <w:gridCol w:w="5624"/>
      </w:tblGrid>
      <w:tr w:rsidR="00FE77C9" w:rsidRPr="00FE77C9" w:rsidTr="00FE77C9">
        <w:trPr>
          <w:trHeight w:val="833"/>
        </w:trPr>
        <w:tc>
          <w:tcPr>
            <w:tcW w:w="2498"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15970</w:t>
            </w:r>
          </w:p>
        </w:tc>
        <w:tc>
          <w:tcPr>
            <w:tcW w:w="562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Gas Natural Propiedades de Medición Propiedades Volumétricas: densidad, temperatura, presión y factor de compresión.</w:t>
            </w:r>
          </w:p>
        </w:tc>
      </w:tr>
      <w:tr w:rsidR="00FE77C9" w:rsidRPr="00FE77C9" w:rsidTr="00FE77C9">
        <w:trPr>
          <w:trHeight w:val="833"/>
        </w:trPr>
        <w:tc>
          <w:tcPr>
            <w:tcW w:w="2498"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ISO 17089 -1</w:t>
            </w:r>
          </w:p>
        </w:tc>
        <w:tc>
          <w:tcPr>
            <w:tcW w:w="562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del flujo del fluido en conductos cerrados Medidores ultrasónicos para gas Parte 1: Medidores para transferencia de custodia y medición de asignación.</w:t>
            </w:r>
          </w:p>
        </w:tc>
      </w:tr>
      <w:tr w:rsidR="00FE77C9" w:rsidRPr="00FE77C9" w:rsidTr="00FE77C9">
        <w:trPr>
          <w:trHeight w:val="589"/>
        </w:trPr>
        <w:tc>
          <w:tcPr>
            <w:tcW w:w="2498"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AGA Reporte No. 3</w:t>
            </w:r>
          </w:p>
        </w:tc>
        <w:tc>
          <w:tcPr>
            <w:tcW w:w="562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por medio de placa de orificio de gas natural y otros fluidos de hidrocarburos asociados.</w:t>
            </w:r>
          </w:p>
        </w:tc>
      </w:tr>
      <w:tr w:rsidR="00FE77C9" w:rsidRPr="00FE77C9" w:rsidTr="00FE77C9">
        <w:trPr>
          <w:trHeight w:val="345"/>
        </w:trPr>
        <w:tc>
          <w:tcPr>
            <w:tcW w:w="2498"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AGA Reporte No. 5</w:t>
            </w:r>
          </w:p>
        </w:tc>
        <w:tc>
          <w:tcPr>
            <w:tcW w:w="562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de energía del gas combustible.</w:t>
            </w:r>
          </w:p>
        </w:tc>
      </w:tr>
      <w:tr w:rsidR="00FE77C9" w:rsidRPr="00FE77C9" w:rsidTr="00FE77C9">
        <w:trPr>
          <w:trHeight w:val="345"/>
        </w:trPr>
        <w:tc>
          <w:tcPr>
            <w:tcW w:w="2498"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lastRenderedPageBreak/>
              <w:t>AGA Reporte No. 7</w:t>
            </w:r>
          </w:p>
        </w:tc>
        <w:tc>
          <w:tcPr>
            <w:tcW w:w="562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de gas natural por medio de medidores de turbina.</w:t>
            </w:r>
          </w:p>
        </w:tc>
      </w:tr>
      <w:tr w:rsidR="00FE77C9" w:rsidRPr="00FE77C9" w:rsidTr="00FE77C9">
        <w:trPr>
          <w:trHeight w:val="589"/>
        </w:trPr>
        <w:tc>
          <w:tcPr>
            <w:tcW w:w="2498"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AGA Reporte No. 9</w:t>
            </w:r>
          </w:p>
        </w:tc>
        <w:tc>
          <w:tcPr>
            <w:tcW w:w="562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de gas por medio de medidores ultrasónicos multitrayectorias.</w:t>
            </w:r>
          </w:p>
        </w:tc>
      </w:tr>
      <w:tr w:rsidR="00FE77C9" w:rsidRPr="00FE77C9" w:rsidTr="00FE77C9">
        <w:trPr>
          <w:trHeight w:val="589"/>
        </w:trPr>
        <w:tc>
          <w:tcPr>
            <w:tcW w:w="2498"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AGA Reporte No. 10</w:t>
            </w:r>
          </w:p>
        </w:tc>
        <w:tc>
          <w:tcPr>
            <w:tcW w:w="562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Velocidad del sonido en el gas natural y en otros gases de hidrocarburos asociados.</w:t>
            </w:r>
          </w:p>
        </w:tc>
      </w:tr>
      <w:tr w:rsidR="00FE77C9" w:rsidRPr="00FE77C9" w:rsidTr="00FE77C9">
        <w:trPr>
          <w:trHeight w:val="345"/>
        </w:trPr>
        <w:tc>
          <w:tcPr>
            <w:tcW w:w="2498"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AGA Reporte No. 11</w:t>
            </w:r>
          </w:p>
        </w:tc>
        <w:tc>
          <w:tcPr>
            <w:tcW w:w="562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de gas natural por medio de medidores de Coriolis.</w:t>
            </w:r>
          </w:p>
        </w:tc>
      </w:tr>
      <w:tr w:rsidR="00FE77C9" w:rsidRPr="00FE77C9" w:rsidTr="00FE77C9">
        <w:trPr>
          <w:trHeight w:val="1279"/>
        </w:trPr>
        <w:tc>
          <w:tcPr>
            <w:tcW w:w="2498"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14.3.1</w:t>
            </w:r>
          </w:p>
        </w:tc>
        <w:tc>
          <w:tcPr>
            <w:tcW w:w="562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Medidores de orificio concéntrico, de borde cuadrado</w:t>
            </w:r>
          </w:p>
          <w:p w:rsidR="00FE77C9" w:rsidRPr="00FE77C9" w:rsidRDefault="00FE77C9" w:rsidP="00FE77C9">
            <w:pPr>
              <w:jc w:val="both"/>
              <w:rPr>
                <w:rFonts w:ascii="Verdana" w:hAnsi="Verdana"/>
                <w:bCs/>
                <w:sz w:val="20"/>
              </w:rPr>
            </w:pPr>
            <w:r w:rsidRPr="00FE77C9">
              <w:rPr>
                <w:rFonts w:ascii="Verdana" w:hAnsi="Verdana"/>
                <w:bCs/>
                <w:sz w:val="20"/>
              </w:rPr>
              <w:t>Parte 1 Ecuaciones generales y guías de incertidumbre (ANSI/API MPMS 14.3.1-2013)</w:t>
            </w:r>
          </w:p>
          <w:p w:rsidR="00FE77C9" w:rsidRPr="00FE77C9" w:rsidRDefault="00FE77C9" w:rsidP="00FE77C9">
            <w:pPr>
              <w:jc w:val="both"/>
              <w:rPr>
                <w:rFonts w:ascii="Verdana" w:hAnsi="Verdana"/>
                <w:bCs/>
                <w:sz w:val="20"/>
              </w:rPr>
            </w:pPr>
            <w:r w:rsidRPr="00FE77C9">
              <w:rPr>
                <w:rFonts w:ascii="Verdana" w:hAnsi="Verdana"/>
                <w:bCs/>
                <w:sz w:val="20"/>
              </w:rPr>
              <w:t>(AGA Reporte No. 3, Parte 1) (GPA 8185-90, Parte 1).</w:t>
            </w:r>
          </w:p>
        </w:tc>
      </w:tr>
      <w:tr w:rsidR="00FE77C9" w:rsidRPr="00FE77C9" w:rsidTr="00FE77C9">
        <w:trPr>
          <w:trHeight w:val="1178"/>
        </w:trPr>
        <w:tc>
          <w:tcPr>
            <w:tcW w:w="2498"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14.3.2</w:t>
            </w:r>
          </w:p>
        </w:tc>
        <w:tc>
          <w:tcPr>
            <w:tcW w:w="562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Medidores de orificio concéntrico, de borde cuadrado</w:t>
            </w:r>
          </w:p>
          <w:p w:rsidR="00FE77C9" w:rsidRPr="00FE77C9" w:rsidRDefault="00FE77C9" w:rsidP="00FE77C9">
            <w:pPr>
              <w:jc w:val="both"/>
              <w:rPr>
                <w:rFonts w:ascii="Verdana" w:hAnsi="Verdana"/>
                <w:bCs/>
                <w:sz w:val="20"/>
              </w:rPr>
            </w:pPr>
            <w:r w:rsidRPr="00FE77C9">
              <w:rPr>
                <w:rFonts w:ascii="Verdana" w:hAnsi="Verdana"/>
                <w:bCs/>
                <w:sz w:val="20"/>
              </w:rPr>
              <w:t>Parte 2 Especificación y requerimientos de instalación (ANSI/API MPMS 14.3.2-2000) (AGA Reporte No. 3, Parte 2) (GPA 8185-00, Parte 2).</w:t>
            </w:r>
          </w:p>
        </w:tc>
      </w:tr>
      <w:tr w:rsidR="00FE77C9" w:rsidRPr="00FE77C9" w:rsidTr="00FE77C9">
        <w:trPr>
          <w:trHeight w:val="345"/>
        </w:trPr>
        <w:tc>
          <w:tcPr>
            <w:tcW w:w="2498"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14.9</w:t>
            </w:r>
          </w:p>
        </w:tc>
        <w:tc>
          <w:tcPr>
            <w:tcW w:w="562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de gas natural por medio de medidores de Coriolis.</w:t>
            </w:r>
          </w:p>
        </w:tc>
      </w:tr>
      <w:tr w:rsidR="00FE77C9" w:rsidRPr="00FE77C9" w:rsidTr="00FE77C9">
        <w:trPr>
          <w:trHeight w:val="345"/>
        </w:trPr>
        <w:tc>
          <w:tcPr>
            <w:tcW w:w="2498"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21.1</w:t>
            </w:r>
          </w:p>
        </w:tc>
        <w:tc>
          <w:tcPr>
            <w:tcW w:w="562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electrónica del gas.</w:t>
            </w:r>
          </w:p>
        </w:tc>
      </w:tr>
      <w:tr w:rsidR="00FE77C9" w:rsidRPr="00FE77C9" w:rsidTr="00FE77C9">
        <w:trPr>
          <w:trHeight w:val="589"/>
        </w:trPr>
        <w:tc>
          <w:tcPr>
            <w:tcW w:w="2498"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i/>
                <w:iCs/>
                <w:sz w:val="20"/>
              </w:rPr>
              <w:t>Energy Institute</w:t>
            </w:r>
            <w:r w:rsidRPr="00FE77C9">
              <w:rPr>
                <w:rFonts w:ascii="Verdana" w:hAnsi="Verdana"/>
                <w:bCs/>
                <w:sz w:val="20"/>
              </w:rPr>
              <w:t> HM 8.</w:t>
            </w:r>
          </w:p>
        </w:tc>
        <w:tc>
          <w:tcPr>
            <w:tcW w:w="562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Densidad, sedimento y agua. Sección 2: Medición continua de la densidad (anteriormente PMM Parte VII, S2).</w:t>
            </w:r>
          </w:p>
        </w:tc>
      </w:tr>
    </w:tbl>
    <w:p w:rsidR="00FE77C9" w:rsidRPr="00FE77C9" w:rsidRDefault="00FE77C9" w:rsidP="00FE77C9">
      <w:pPr>
        <w:jc w:val="both"/>
        <w:rPr>
          <w:rFonts w:ascii="Verdana" w:hAnsi="Verdana"/>
          <w:bCs/>
          <w:sz w:val="20"/>
        </w:rPr>
      </w:pPr>
      <w:r w:rsidRPr="00FE77C9">
        <w:rPr>
          <w:rFonts w:ascii="Verdana" w:hAnsi="Verdana"/>
          <w:b/>
          <w:bCs/>
          <w:sz w:val="20"/>
        </w:rPr>
        <w:t>V.</w:t>
      </w:r>
      <w:r w:rsidRPr="00FE77C9">
        <w:rPr>
          <w:rFonts w:ascii="Verdana" w:hAnsi="Verdana"/>
          <w:bCs/>
          <w:sz w:val="20"/>
        </w:rPr>
        <w:t>    </w:t>
      </w:r>
      <w:r w:rsidRPr="00FE77C9">
        <w:rPr>
          <w:rFonts w:ascii="Verdana" w:hAnsi="Verdana"/>
          <w:b/>
          <w:bCs/>
          <w:sz w:val="20"/>
        </w:rPr>
        <w:t>Normas y estándares para la medición multifásica de Hidrocarburos.</w:t>
      </w:r>
    </w:p>
    <w:tbl>
      <w:tblPr>
        <w:tblW w:w="0" w:type="auto"/>
        <w:tblInd w:w="648" w:type="dxa"/>
        <w:shd w:val="clear" w:color="auto" w:fill="FFFFFF"/>
        <w:tblCellMar>
          <w:top w:w="15" w:type="dxa"/>
          <w:left w:w="15" w:type="dxa"/>
          <w:bottom w:w="15" w:type="dxa"/>
          <w:right w:w="15" w:type="dxa"/>
        </w:tblCellMar>
        <w:tblLook w:val="04A0" w:firstRow="1" w:lastRow="0" w:firstColumn="1" w:lastColumn="0" w:noHBand="0" w:noVBand="1"/>
      </w:tblPr>
      <w:tblGrid>
        <w:gridCol w:w="2498"/>
        <w:gridCol w:w="5624"/>
      </w:tblGrid>
      <w:tr w:rsidR="00FE77C9" w:rsidRPr="00FE77C9" w:rsidTr="00FE77C9">
        <w:trPr>
          <w:trHeight w:val="345"/>
        </w:trPr>
        <w:tc>
          <w:tcPr>
            <w:tcW w:w="2498"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20.3</w:t>
            </w:r>
          </w:p>
        </w:tc>
        <w:tc>
          <w:tcPr>
            <w:tcW w:w="562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de flujo multifásico.</w:t>
            </w:r>
          </w:p>
        </w:tc>
      </w:tr>
    </w:tbl>
    <w:p w:rsidR="00FE77C9" w:rsidRPr="00FE77C9" w:rsidRDefault="00FE77C9" w:rsidP="00FE77C9">
      <w:pPr>
        <w:jc w:val="both"/>
        <w:rPr>
          <w:rFonts w:ascii="Verdana" w:hAnsi="Verdana"/>
          <w:bCs/>
          <w:sz w:val="20"/>
        </w:rPr>
      </w:pPr>
      <w:r w:rsidRPr="00FE77C9">
        <w:rPr>
          <w:rFonts w:ascii="Verdana" w:hAnsi="Verdana"/>
          <w:b/>
          <w:bCs/>
          <w:sz w:val="20"/>
        </w:rPr>
        <w:t>VI.</w:t>
      </w:r>
      <w:r w:rsidRPr="00FE77C9">
        <w:rPr>
          <w:rFonts w:ascii="Verdana" w:hAnsi="Verdana"/>
          <w:bCs/>
          <w:sz w:val="20"/>
        </w:rPr>
        <w:t>   </w:t>
      </w:r>
      <w:r w:rsidRPr="00FE77C9">
        <w:rPr>
          <w:rFonts w:ascii="Verdana" w:hAnsi="Verdana"/>
          <w:b/>
          <w:bCs/>
          <w:sz w:val="20"/>
        </w:rPr>
        <w:t>Normas y estándares relacionados con la gestión y gerencia de la medición.</w:t>
      </w:r>
    </w:p>
    <w:tbl>
      <w:tblPr>
        <w:tblW w:w="0" w:type="auto"/>
        <w:tblInd w:w="648" w:type="dxa"/>
        <w:shd w:val="clear" w:color="auto" w:fill="FFFFFF"/>
        <w:tblCellMar>
          <w:top w:w="15" w:type="dxa"/>
          <w:left w:w="15" w:type="dxa"/>
          <w:bottom w:w="15" w:type="dxa"/>
          <w:right w:w="15" w:type="dxa"/>
        </w:tblCellMar>
        <w:tblLook w:val="04A0" w:firstRow="1" w:lastRow="0" w:firstColumn="1" w:lastColumn="0" w:noHBand="0" w:noVBand="1"/>
      </w:tblPr>
      <w:tblGrid>
        <w:gridCol w:w="2498"/>
        <w:gridCol w:w="5624"/>
      </w:tblGrid>
      <w:tr w:rsidR="00FE77C9" w:rsidRPr="00FE77C9" w:rsidTr="00FE77C9">
        <w:trPr>
          <w:trHeight w:val="589"/>
        </w:trPr>
        <w:tc>
          <w:tcPr>
            <w:tcW w:w="2498"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NMX-CC-10012-IMNC</w:t>
            </w:r>
          </w:p>
        </w:tc>
        <w:tc>
          <w:tcPr>
            <w:tcW w:w="562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Sistemas de gestión de las mediciones Requisitos para los procesos de medición y los equipos de medición.</w:t>
            </w:r>
          </w:p>
        </w:tc>
      </w:tr>
      <w:tr w:rsidR="00FE77C9" w:rsidRPr="00FE77C9" w:rsidTr="00FE77C9">
        <w:trPr>
          <w:trHeight w:val="589"/>
        </w:trPr>
        <w:tc>
          <w:tcPr>
            <w:tcW w:w="2498"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NMX-EC-17020-IMNC</w:t>
            </w:r>
          </w:p>
        </w:tc>
        <w:tc>
          <w:tcPr>
            <w:tcW w:w="562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Criterios generales para la operación de varios tipos de unidades (organismos) que desarrollan la verificación (inspección).</w:t>
            </w:r>
          </w:p>
        </w:tc>
      </w:tr>
      <w:tr w:rsidR="00FE77C9" w:rsidRPr="00FE77C9" w:rsidTr="00FE77C9">
        <w:trPr>
          <w:trHeight w:val="589"/>
        </w:trPr>
        <w:tc>
          <w:tcPr>
            <w:tcW w:w="2498"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lastRenderedPageBreak/>
              <w:t>NMX-EC-17025-IMNC</w:t>
            </w:r>
          </w:p>
        </w:tc>
        <w:tc>
          <w:tcPr>
            <w:tcW w:w="562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Requisitos generales para la competencia de laboratorios de ensayo y calibración.</w:t>
            </w:r>
          </w:p>
        </w:tc>
      </w:tr>
      <w:tr w:rsidR="00FE77C9" w:rsidRPr="00FE77C9" w:rsidTr="00FE77C9">
        <w:trPr>
          <w:trHeight w:val="345"/>
        </w:trPr>
        <w:tc>
          <w:tcPr>
            <w:tcW w:w="2498"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NMX-CC-19011-IMNC</w:t>
            </w:r>
          </w:p>
        </w:tc>
        <w:tc>
          <w:tcPr>
            <w:tcW w:w="562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Sistemas de Gestión de la Calidad Requisitos (ISO 9001).</w:t>
            </w:r>
          </w:p>
        </w:tc>
      </w:tr>
      <w:tr w:rsidR="00FE77C9" w:rsidRPr="00FE77C9" w:rsidTr="00FE77C9">
        <w:trPr>
          <w:trHeight w:val="345"/>
        </w:trPr>
        <w:tc>
          <w:tcPr>
            <w:tcW w:w="2498"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API MPMS 20.0</w:t>
            </w:r>
          </w:p>
        </w:tc>
        <w:tc>
          <w:tcPr>
            <w:tcW w:w="5624" w:type="dxa"/>
            <w:shd w:val="clear" w:color="auto" w:fill="FFFFFF"/>
            <w:tcMar>
              <w:top w:w="15" w:type="dxa"/>
              <w:left w:w="72" w:type="dxa"/>
              <w:bottom w:w="15" w:type="dxa"/>
              <w:right w:w="72" w:type="dxa"/>
            </w:tcMar>
            <w:hideMark/>
          </w:tcPr>
          <w:p w:rsidR="00FE77C9" w:rsidRPr="00FE77C9" w:rsidRDefault="00FE77C9" w:rsidP="00FE77C9">
            <w:pPr>
              <w:jc w:val="both"/>
              <w:rPr>
                <w:rFonts w:ascii="Verdana" w:hAnsi="Verdana"/>
                <w:bCs/>
                <w:sz w:val="20"/>
              </w:rPr>
            </w:pPr>
            <w:r w:rsidRPr="00FE77C9">
              <w:rPr>
                <w:rFonts w:ascii="Verdana" w:hAnsi="Verdana"/>
                <w:bCs/>
                <w:sz w:val="20"/>
              </w:rPr>
              <w:t>Medición asignación de petróleo y gas natural.</w:t>
            </w:r>
          </w:p>
        </w:tc>
      </w:tr>
    </w:tbl>
    <w:p w:rsidR="00FE77C9" w:rsidRPr="00FE77C9" w:rsidRDefault="00FE77C9" w:rsidP="00FE77C9">
      <w:pPr>
        <w:jc w:val="both"/>
        <w:rPr>
          <w:rFonts w:ascii="Verdana" w:hAnsi="Verdana"/>
          <w:bCs/>
          <w:sz w:val="20"/>
        </w:rPr>
      </w:pPr>
      <w:r w:rsidRPr="00FE77C9">
        <w:rPr>
          <w:rFonts w:ascii="Verdana" w:hAnsi="Verdana"/>
          <w:bCs/>
          <w:sz w:val="20"/>
        </w:rPr>
        <w:t> </w:t>
      </w:r>
    </w:p>
    <w:p w:rsidR="00FE77C9" w:rsidRPr="00FE77C9" w:rsidRDefault="00FE77C9" w:rsidP="00FE77C9">
      <w:pPr>
        <w:jc w:val="both"/>
        <w:rPr>
          <w:rFonts w:ascii="Verdana" w:hAnsi="Verdana"/>
          <w:bCs/>
          <w:sz w:val="20"/>
        </w:rPr>
      </w:pPr>
      <w:r w:rsidRPr="00FE77C9">
        <w:rPr>
          <w:rFonts w:ascii="Verdana" w:hAnsi="Verdana"/>
          <w:bCs/>
          <w:sz w:val="20"/>
        </w:rPr>
        <w:t>Atentamente,</w:t>
      </w:r>
    </w:p>
    <w:p w:rsidR="00FE77C9" w:rsidRPr="00FE77C9" w:rsidRDefault="00FE77C9" w:rsidP="00FE77C9">
      <w:pPr>
        <w:jc w:val="both"/>
        <w:rPr>
          <w:rFonts w:ascii="Verdana" w:hAnsi="Verdana"/>
          <w:bCs/>
          <w:sz w:val="20"/>
        </w:rPr>
      </w:pPr>
      <w:r w:rsidRPr="00FE77C9">
        <w:rPr>
          <w:rFonts w:ascii="Verdana" w:hAnsi="Verdana"/>
          <w:bCs/>
          <w:sz w:val="20"/>
        </w:rPr>
        <w:t> </w:t>
      </w:r>
    </w:p>
    <w:p w:rsidR="00FE77C9" w:rsidRPr="00FE77C9" w:rsidRDefault="00FE77C9" w:rsidP="00FE77C9">
      <w:pPr>
        <w:jc w:val="both"/>
        <w:rPr>
          <w:rFonts w:ascii="Verdana" w:hAnsi="Verdana"/>
          <w:bCs/>
          <w:sz w:val="20"/>
        </w:rPr>
      </w:pPr>
      <w:r w:rsidRPr="00FE77C9">
        <w:rPr>
          <w:rFonts w:ascii="Verdana" w:hAnsi="Verdana"/>
          <w:bCs/>
          <w:sz w:val="20"/>
        </w:rPr>
        <w:t>Ciudad de México, a 23 de diciembre de 2019.- En suplencia por ausencia de la Jefa del Servicio de Administración Tributaria, con fundamento en el artículo 4, primer párrafo del Reglamento Interior del Servicio de Administración Tributaria vigente, firma la Administradora General Jurídica, </w:t>
      </w:r>
      <w:r w:rsidRPr="00FE77C9">
        <w:rPr>
          <w:rFonts w:ascii="Verdana" w:hAnsi="Verdana"/>
          <w:b/>
          <w:bCs/>
          <w:sz w:val="20"/>
        </w:rPr>
        <w:t>María de los Angeles Jasso Cisneros</w:t>
      </w:r>
      <w:r w:rsidRPr="00FE77C9">
        <w:rPr>
          <w:rFonts w:ascii="Verdana" w:hAnsi="Verdana"/>
          <w:bCs/>
          <w:sz w:val="20"/>
        </w:rPr>
        <w:t>.- Rúbrica.</w:t>
      </w:r>
    </w:p>
    <w:p w:rsidR="00FE77C9" w:rsidRPr="00FE77C9" w:rsidRDefault="00FE77C9" w:rsidP="00FE77C9">
      <w:pPr>
        <w:jc w:val="both"/>
        <w:rPr>
          <w:rFonts w:ascii="Verdana" w:hAnsi="Verdana"/>
          <w:bCs/>
          <w:sz w:val="20"/>
        </w:rPr>
      </w:pPr>
      <w:bookmarkStart w:id="0" w:name="_GoBack"/>
      <w:bookmarkEnd w:id="0"/>
    </w:p>
    <w:p w:rsidR="00BF3AEB" w:rsidRDefault="00FE77C9"/>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7C9"/>
    <w:rsid w:val="002228FA"/>
    <w:rsid w:val="00C06CE1"/>
    <w:rsid w:val="00FE7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E77C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E77C9"/>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FE77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77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E77C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E77C9"/>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FE77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77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800012">
      <w:bodyDiv w:val="1"/>
      <w:marLeft w:val="0"/>
      <w:marRight w:val="0"/>
      <w:marTop w:val="0"/>
      <w:marBottom w:val="0"/>
      <w:divBdr>
        <w:top w:val="none" w:sz="0" w:space="0" w:color="auto"/>
        <w:left w:val="none" w:sz="0" w:space="0" w:color="auto"/>
        <w:bottom w:val="none" w:sz="0" w:space="0" w:color="auto"/>
        <w:right w:val="none" w:sz="0" w:space="0" w:color="auto"/>
      </w:divBdr>
    </w:div>
    <w:div w:id="971905540">
      <w:bodyDiv w:val="1"/>
      <w:marLeft w:val="0"/>
      <w:marRight w:val="0"/>
      <w:marTop w:val="0"/>
      <w:marBottom w:val="0"/>
      <w:divBdr>
        <w:top w:val="none" w:sz="0" w:space="0" w:color="auto"/>
        <w:left w:val="none" w:sz="0" w:space="0" w:color="auto"/>
        <w:bottom w:val="none" w:sz="0" w:space="0" w:color="auto"/>
        <w:right w:val="none" w:sz="0" w:space="0" w:color="auto"/>
      </w:divBdr>
      <w:divsChild>
        <w:div w:id="490874330">
          <w:marLeft w:val="0"/>
          <w:marRight w:val="0"/>
          <w:marTop w:val="101"/>
          <w:marBottom w:val="101"/>
          <w:divBdr>
            <w:top w:val="none" w:sz="0" w:space="0" w:color="auto"/>
            <w:left w:val="none" w:sz="0" w:space="0" w:color="auto"/>
            <w:bottom w:val="none" w:sz="0" w:space="0" w:color="auto"/>
            <w:right w:val="none" w:sz="0" w:space="0" w:color="auto"/>
          </w:divBdr>
        </w:div>
        <w:div w:id="592056497">
          <w:marLeft w:val="0"/>
          <w:marRight w:val="0"/>
          <w:marTop w:val="0"/>
          <w:marBottom w:val="101"/>
          <w:divBdr>
            <w:top w:val="none" w:sz="0" w:space="0" w:color="auto"/>
            <w:left w:val="none" w:sz="0" w:space="0" w:color="auto"/>
            <w:bottom w:val="none" w:sz="0" w:space="0" w:color="auto"/>
            <w:right w:val="none" w:sz="0" w:space="0" w:color="auto"/>
          </w:divBdr>
        </w:div>
        <w:div w:id="1939754004">
          <w:marLeft w:val="1080"/>
          <w:marRight w:val="0"/>
          <w:marTop w:val="0"/>
          <w:marBottom w:val="101"/>
          <w:divBdr>
            <w:top w:val="none" w:sz="0" w:space="0" w:color="auto"/>
            <w:left w:val="none" w:sz="0" w:space="0" w:color="auto"/>
            <w:bottom w:val="none" w:sz="0" w:space="0" w:color="auto"/>
            <w:right w:val="none" w:sz="0" w:space="0" w:color="auto"/>
          </w:divBdr>
        </w:div>
        <w:div w:id="707146938">
          <w:marLeft w:val="0"/>
          <w:marRight w:val="0"/>
          <w:marTop w:val="0"/>
          <w:marBottom w:val="101"/>
          <w:divBdr>
            <w:top w:val="none" w:sz="0" w:space="0" w:color="auto"/>
            <w:left w:val="none" w:sz="0" w:space="0" w:color="auto"/>
            <w:bottom w:val="none" w:sz="0" w:space="0" w:color="auto"/>
            <w:right w:val="none" w:sz="0" w:space="0" w:color="auto"/>
          </w:divBdr>
        </w:div>
        <w:div w:id="1513033299">
          <w:marLeft w:val="0"/>
          <w:marRight w:val="0"/>
          <w:marTop w:val="0"/>
          <w:marBottom w:val="101"/>
          <w:divBdr>
            <w:top w:val="none" w:sz="0" w:space="0" w:color="auto"/>
            <w:left w:val="none" w:sz="0" w:space="0" w:color="auto"/>
            <w:bottom w:val="none" w:sz="0" w:space="0" w:color="auto"/>
            <w:right w:val="none" w:sz="0" w:space="0" w:color="auto"/>
          </w:divBdr>
        </w:div>
        <w:div w:id="13313021">
          <w:marLeft w:val="720"/>
          <w:marRight w:val="0"/>
          <w:marTop w:val="0"/>
          <w:marBottom w:val="101"/>
          <w:divBdr>
            <w:top w:val="none" w:sz="0" w:space="0" w:color="auto"/>
            <w:left w:val="none" w:sz="0" w:space="0" w:color="auto"/>
            <w:bottom w:val="none" w:sz="0" w:space="0" w:color="auto"/>
            <w:right w:val="none" w:sz="0" w:space="0" w:color="auto"/>
          </w:divBdr>
        </w:div>
        <w:div w:id="930432995">
          <w:marLeft w:val="720"/>
          <w:marRight w:val="0"/>
          <w:marTop w:val="0"/>
          <w:marBottom w:val="101"/>
          <w:divBdr>
            <w:top w:val="none" w:sz="0" w:space="0" w:color="auto"/>
            <w:left w:val="none" w:sz="0" w:space="0" w:color="auto"/>
            <w:bottom w:val="none" w:sz="0" w:space="0" w:color="auto"/>
            <w:right w:val="none" w:sz="0" w:space="0" w:color="auto"/>
          </w:divBdr>
        </w:div>
        <w:div w:id="1542980124">
          <w:marLeft w:val="1080"/>
          <w:marRight w:val="0"/>
          <w:marTop w:val="0"/>
          <w:marBottom w:val="101"/>
          <w:divBdr>
            <w:top w:val="none" w:sz="0" w:space="0" w:color="auto"/>
            <w:left w:val="none" w:sz="0" w:space="0" w:color="auto"/>
            <w:bottom w:val="none" w:sz="0" w:space="0" w:color="auto"/>
            <w:right w:val="none" w:sz="0" w:space="0" w:color="auto"/>
          </w:divBdr>
        </w:div>
        <w:div w:id="1802961434">
          <w:marLeft w:val="1080"/>
          <w:marRight w:val="0"/>
          <w:marTop w:val="0"/>
          <w:marBottom w:val="101"/>
          <w:divBdr>
            <w:top w:val="none" w:sz="0" w:space="0" w:color="auto"/>
            <w:left w:val="none" w:sz="0" w:space="0" w:color="auto"/>
            <w:bottom w:val="none" w:sz="0" w:space="0" w:color="auto"/>
            <w:right w:val="none" w:sz="0" w:space="0" w:color="auto"/>
          </w:divBdr>
        </w:div>
        <w:div w:id="417755532">
          <w:marLeft w:val="1080"/>
          <w:marRight w:val="0"/>
          <w:marTop w:val="0"/>
          <w:marBottom w:val="101"/>
          <w:divBdr>
            <w:top w:val="none" w:sz="0" w:space="0" w:color="auto"/>
            <w:left w:val="none" w:sz="0" w:space="0" w:color="auto"/>
            <w:bottom w:val="none" w:sz="0" w:space="0" w:color="auto"/>
            <w:right w:val="none" w:sz="0" w:space="0" w:color="auto"/>
          </w:divBdr>
        </w:div>
        <w:div w:id="840924012">
          <w:marLeft w:val="720"/>
          <w:marRight w:val="0"/>
          <w:marTop w:val="0"/>
          <w:marBottom w:val="101"/>
          <w:divBdr>
            <w:top w:val="none" w:sz="0" w:space="0" w:color="auto"/>
            <w:left w:val="none" w:sz="0" w:space="0" w:color="auto"/>
            <w:bottom w:val="none" w:sz="0" w:space="0" w:color="auto"/>
            <w:right w:val="none" w:sz="0" w:space="0" w:color="auto"/>
          </w:divBdr>
        </w:div>
        <w:div w:id="172379453">
          <w:marLeft w:val="0"/>
          <w:marRight w:val="0"/>
          <w:marTop w:val="0"/>
          <w:marBottom w:val="101"/>
          <w:divBdr>
            <w:top w:val="none" w:sz="0" w:space="0" w:color="auto"/>
            <w:left w:val="none" w:sz="0" w:space="0" w:color="auto"/>
            <w:bottom w:val="none" w:sz="0" w:space="0" w:color="auto"/>
            <w:right w:val="none" w:sz="0" w:space="0" w:color="auto"/>
          </w:divBdr>
        </w:div>
        <w:div w:id="1291091792">
          <w:marLeft w:val="1080"/>
          <w:marRight w:val="0"/>
          <w:marTop w:val="0"/>
          <w:marBottom w:val="101"/>
          <w:divBdr>
            <w:top w:val="none" w:sz="0" w:space="0" w:color="auto"/>
            <w:left w:val="none" w:sz="0" w:space="0" w:color="auto"/>
            <w:bottom w:val="none" w:sz="0" w:space="0" w:color="auto"/>
            <w:right w:val="none" w:sz="0" w:space="0" w:color="auto"/>
          </w:divBdr>
        </w:div>
        <w:div w:id="1442408354">
          <w:marLeft w:val="1080"/>
          <w:marRight w:val="0"/>
          <w:marTop w:val="0"/>
          <w:marBottom w:val="101"/>
          <w:divBdr>
            <w:top w:val="none" w:sz="0" w:space="0" w:color="auto"/>
            <w:left w:val="none" w:sz="0" w:space="0" w:color="auto"/>
            <w:bottom w:val="none" w:sz="0" w:space="0" w:color="auto"/>
            <w:right w:val="none" w:sz="0" w:space="0" w:color="auto"/>
          </w:divBdr>
        </w:div>
        <w:div w:id="1176728110">
          <w:marLeft w:val="0"/>
          <w:marRight w:val="0"/>
          <w:marTop w:val="0"/>
          <w:marBottom w:val="101"/>
          <w:divBdr>
            <w:top w:val="none" w:sz="0" w:space="0" w:color="auto"/>
            <w:left w:val="none" w:sz="0" w:space="0" w:color="auto"/>
            <w:bottom w:val="none" w:sz="0" w:space="0" w:color="auto"/>
            <w:right w:val="none" w:sz="0" w:space="0" w:color="auto"/>
          </w:divBdr>
        </w:div>
        <w:div w:id="1937444070">
          <w:marLeft w:val="0"/>
          <w:marRight w:val="0"/>
          <w:marTop w:val="0"/>
          <w:marBottom w:val="101"/>
          <w:divBdr>
            <w:top w:val="none" w:sz="0" w:space="0" w:color="auto"/>
            <w:left w:val="none" w:sz="0" w:space="0" w:color="auto"/>
            <w:bottom w:val="none" w:sz="0" w:space="0" w:color="auto"/>
            <w:right w:val="none" w:sz="0" w:space="0" w:color="auto"/>
          </w:divBdr>
        </w:div>
        <w:div w:id="1536851649">
          <w:marLeft w:val="0"/>
          <w:marRight w:val="0"/>
          <w:marTop w:val="0"/>
          <w:marBottom w:val="101"/>
          <w:divBdr>
            <w:top w:val="none" w:sz="0" w:space="0" w:color="auto"/>
            <w:left w:val="none" w:sz="0" w:space="0" w:color="auto"/>
            <w:bottom w:val="none" w:sz="0" w:space="0" w:color="auto"/>
            <w:right w:val="none" w:sz="0" w:space="0" w:color="auto"/>
          </w:divBdr>
        </w:div>
        <w:div w:id="1401750990">
          <w:marLeft w:val="0"/>
          <w:marRight w:val="0"/>
          <w:marTop w:val="0"/>
          <w:marBottom w:val="101"/>
          <w:divBdr>
            <w:top w:val="none" w:sz="0" w:space="0" w:color="auto"/>
            <w:left w:val="none" w:sz="0" w:space="0" w:color="auto"/>
            <w:bottom w:val="none" w:sz="0" w:space="0" w:color="auto"/>
            <w:right w:val="none" w:sz="0" w:space="0" w:color="auto"/>
          </w:divBdr>
        </w:div>
        <w:div w:id="810558787">
          <w:marLeft w:val="0"/>
          <w:marRight w:val="0"/>
          <w:marTop w:val="0"/>
          <w:marBottom w:val="101"/>
          <w:divBdr>
            <w:top w:val="none" w:sz="0" w:space="0" w:color="auto"/>
            <w:left w:val="none" w:sz="0" w:space="0" w:color="auto"/>
            <w:bottom w:val="none" w:sz="0" w:space="0" w:color="auto"/>
            <w:right w:val="none" w:sz="0" w:space="0" w:color="auto"/>
          </w:divBdr>
        </w:div>
        <w:div w:id="132793833">
          <w:marLeft w:val="0"/>
          <w:marRight w:val="0"/>
          <w:marTop w:val="0"/>
          <w:marBottom w:val="101"/>
          <w:divBdr>
            <w:top w:val="none" w:sz="0" w:space="0" w:color="auto"/>
            <w:left w:val="none" w:sz="0" w:space="0" w:color="auto"/>
            <w:bottom w:val="none" w:sz="0" w:space="0" w:color="auto"/>
            <w:right w:val="none" w:sz="0" w:space="0" w:color="auto"/>
          </w:divBdr>
        </w:div>
        <w:div w:id="128743480">
          <w:marLeft w:val="0"/>
          <w:marRight w:val="0"/>
          <w:marTop w:val="0"/>
          <w:marBottom w:val="101"/>
          <w:divBdr>
            <w:top w:val="none" w:sz="0" w:space="0" w:color="auto"/>
            <w:left w:val="none" w:sz="0" w:space="0" w:color="auto"/>
            <w:bottom w:val="none" w:sz="0" w:space="0" w:color="auto"/>
            <w:right w:val="none" w:sz="0" w:space="0" w:color="auto"/>
          </w:divBdr>
        </w:div>
        <w:div w:id="482701278">
          <w:marLeft w:val="0"/>
          <w:marRight w:val="0"/>
          <w:marTop w:val="0"/>
          <w:marBottom w:val="101"/>
          <w:divBdr>
            <w:top w:val="none" w:sz="0" w:space="0" w:color="auto"/>
            <w:left w:val="none" w:sz="0" w:space="0" w:color="auto"/>
            <w:bottom w:val="none" w:sz="0" w:space="0" w:color="auto"/>
            <w:right w:val="none" w:sz="0" w:space="0" w:color="auto"/>
          </w:divBdr>
        </w:div>
        <w:div w:id="1290018161">
          <w:marLeft w:val="0"/>
          <w:marRight w:val="0"/>
          <w:marTop w:val="0"/>
          <w:marBottom w:val="101"/>
          <w:divBdr>
            <w:top w:val="none" w:sz="0" w:space="0" w:color="auto"/>
            <w:left w:val="none" w:sz="0" w:space="0" w:color="auto"/>
            <w:bottom w:val="none" w:sz="0" w:space="0" w:color="auto"/>
            <w:right w:val="none" w:sz="0" w:space="0" w:color="auto"/>
          </w:divBdr>
        </w:div>
        <w:div w:id="1991716589">
          <w:marLeft w:val="0"/>
          <w:marRight w:val="0"/>
          <w:marTop w:val="0"/>
          <w:marBottom w:val="101"/>
          <w:divBdr>
            <w:top w:val="none" w:sz="0" w:space="0" w:color="auto"/>
            <w:left w:val="none" w:sz="0" w:space="0" w:color="auto"/>
            <w:bottom w:val="none" w:sz="0" w:space="0" w:color="auto"/>
            <w:right w:val="none" w:sz="0" w:space="0" w:color="auto"/>
          </w:divBdr>
        </w:div>
        <w:div w:id="1263609571">
          <w:marLeft w:val="0"/>
          <w:marRight w:val="0"/>
          <w:marTop w:val="0"/>
          <w:marBottom w:val="101"/>
          <w:divBdr>
            <w:top w:val="none" w:sz="0" w:space="0" w:color="auto"/>
            <w:left w:val="none" w:sz="0" w:space="0" w:color="auto"/>
            <w:bottom w:val="none" w:sz="0" w:space="0" w:color="auto"/>
            <w:right w:val="none" w:sz="0" w:space="0" w:color="auto"/>
          </w:divBdr>
        </w:div>
        <w:div w:id="1406149142">
          <w:marLeft w:val="0"/>
          <w:marRight w:val="0"/>
          <w:marTop w:val="0"/>
          <w:marBottom w:val="101"/>
          <w:divBdr>
            <w:top w:val="none" w:sz="0" w:space="0" w:color="auto"/>
            <w:left w:val="none" w:sz="0" w:space="0" w:color="auto"/>
            <w:bottom w:val="none" w:sz="0" w:space="0" w:color="auto"/>
            <w:right w:val="none" w:sz="0" w:space="0" w:color="auto"/>
          </w:divBdr>
        </w:div>
        <w:div w:id="641546566">
          <w:marLeft w:val="0"/>
          <w:marRight w:val="0"/>
          <w:marTop w:val="0"/>
          <w:marBottom w:val="101"/>
          <w:divBdr>
            <w:top w:val="none" w:sz="0" w:space="0" w:color="auto"/>
            <w:left w:val="none" w:sz="0" w:space="0" w:color="auto"/>
            <w:bottom w:val="none" w:sz="0" w:space="0" w:color="auto"/>
            <w:right w:val="none" w:sz="0" w:space="0" w:color="auto"/>
          </w:divBdr>
        </w:div>
        <w:div w:id="1403024667">
          <w:marLeft w:val="1080"/>
          <w:marRight w:val="0"/>
          <w:marTop w:val="0"/>
          <w:marBottom w:val="101"/>
          <w:divBdr>
            <w:top w:val="none" w:sz="0" w:space="0" w:color="auto"/>
            <w:left w:val="none" w:sz="0" w:space="0" w:color="auto"/>
            <w:bottom w:val="none" w:sz="0" w:space="0" w:color="auto"/>
            <w:right w:val="none" w:sz="0" w:space="0" w:color="auto"/>
          </w:divBdr>
        </w:div>
        <w:div w:id="1029647182">
          <w:marLeft w:val="1260"/>
          <w:marRight w:val="0"/>
          <w:marTop w:val="0"/>
          <w:marBottom w:val="101"/>
          <w:divBdr>
            <w:top w:val="none" w:sz="0" w:space="0" w:color="auto"/>
            <w:left w:val="none" w:sz="0" w:space="0" w:color="auto"/>
            <w:bottom w:val="none" w:sz="0" w:space="0" w:color="auto"/>
            <w:right w:val="none" w:sz="0" w:space="0" w:color="auto"/>
          </w:divBdr>
        </w:div>
        <w:div w:id="1710110870">
          <w:marLeft w:val="1260"/>
          <w:marRight w:val="0"/>
          <w:marTop w:val="0"/>
          <w:marBottom w:val="101"/>
          <w:divBdr>
            <w:top w:val="none" w:sz="0" w:space="0" w:color="auto"/>
            <w:left w:val="none" w:sz="0" w:space="0" w:color="auto"/>
            <w:bottom w:val="none" w:sz="0" w:space="0" w:color="auto"/>
            <w:right w:val="none" w:sz="0" w:space="0" w:color="auto"/>
          </w:divBdr>
        </w:div>
        <w:div w:id="2079591113">
          <w:marLeft w:val="1260"/>
          <w:marRight w:val="0"/>
          <w:marTop w:val="0"/>
          <w:marBottom w:val="101"/>
          <w:divBdr>
            <w:top w:val="none" w:sz="0" w:space="0" w:color="auto"/>
            <w:left w:val="none" w:sz="0" w:space="0" w:color="auto"/>
            <w:bottom w:val="none" w:sz="0" w:space="0" w:color="auto"/>
            <w:right w:val="none" w:sz="0" w:space="0" w:color="auto"/>
          </w:divBdr>
        </w:div>
        <w:div w:id="1143935752">
          <w:marLeft w:val="1260"/>
          <w:marRight w:val="0"/>
          <w:marTop w:val="0"/>
          <w:marBottom w:val="101"/>
          <w:divBdr>
            <w:top w:val="none" w:sz="0" w:space="0" w:color="auto"/>
            <w:left w:val="none" w:sz="0" w:space="0" w:color="auto"/>
            <w:bottom w:val="none" w:sz="0" w:space="0" w:color="auto"/>
            <w:right w:val="none" w:sz="0" w:space="0" w:color="auto"/>
          </w:divBdr>
        </w:div>
        <w:div w:id="414789893">
          <w:marLeft w:val="1260"/>
          <w:marRight w:val="0"/>
          <w:marTop w:val="0"/>
          <w:marBottom w:val="101"/>
          <w:divBdr>
            <w:top w:val="none" w:sz="0" w:space="0" w:color="auto"/>
            <w:left w:val="none" w:sz="0" w:space="0" w:color="auto"/>
            <w:bottom w:val="none" w:sz="0" w:space="0" w:color="auto"/>
            <w:right w:val="none" w:sz="0" w:space="0" w:color="auto"/>
          </w:divBdr>
        </w:div>
        <w:div w:id="638650246">
          <w:marLeft w:val="1260"/>
          <w:marRight w:val="0"/>
          <w:marTop w:val="0"/>
          <w:marBottom w:val="101"/>
          <w:divBdr>
            <w:top w:val="none" w:sz="0" w:space="0" w:color="auto"/>
            <w:left w:val="none" w:sz="0" w:space="0" w:color="auto"/>
            <w:bottom w:val="none" w:sz="0" w:space="0" w:color="auto"/>
            <w:right w:val="none" w:sz="0" w:space="0" w:color="auto"/>
          </w:divBdr>
        </w:div>
        <w:div w:id="807429666">
          <w:marLeft w:val="1260"/>
          <w:marRight w:val="0"/>
          <w:marTop w:val="0"/>
          <w:marBottom w:val="101"/>
          <w:divBdr>
            <w:top w:val="none" w:sz="0" w:space="0" w:color="auto"/>
            <w:left w:val="none" w:sz="0" w:space="0" w:color="auto"/>
            <w:bottom w:val="none" w:sz="0" w:space="0" w:color="auto"/>
            <w:right w:val="none" w:sz="0" w:space="0" w:color="auto"/>
          </w:divBdr>
        </w:div>
        <w:div w:id="1093824288">
          <w:marLeft w:val="1260"/>
          <w:marRight w:val="0"/>
          <w:marTop w:val="0"/>
          <w:marBottom w:val="101"/>
          <w:divBdr>
            <w:top w:val="none" w:sz="0" w:space="0" w:color="auto"/>
            <w:left w:val="none" w:sz="0" w:space="0" w:color="auto"/>
            <w:bottom w:val="none" w:sz="0" w:space="0" w:color="auto"/>
            <w:right w:val="none" w:sz="0" w:space="0" w:color="auto"/>
          </w:divBdr>
        </w:div>
        <w:div w:id="1147867301">
          <w:marLeft w:val="1260"/>
          <w:marRight w:val="0"/>
          <w:marTop w:val="0"/>
          <w:marBottom w:val="101"/>
          <w:divBdr>
            <w:top w:val="none" w:sz="0" w:space="0" w:color="auto"/>
            <w:left w:val="none" w:sz="0" w:space="0" w:color="auto"/>
            <w:bottom w:val="none" w:sz="0" w:space="0" w:color="auto"/>
            <w:right w:val="none" w:sz="0" w:space="0" w:color="auto"/>
          </w:divBdr>
        </w:div>
        <w:div w:id="668220726">
          <w:marLeft w:val="1260"/>
          <w:marRight w:val="0"/>
          <w:marTop w:val="0"/>
          <w:marBottom w:val="101"/>
          <w:divBdr>
            <w:top w:val="none" w:sz="0" w:space="0" w:color="auto"/>
            <w:left w:val="none" w:sz="0" w:space="0" w:color="auto"/>
            <w:bottom w:val="none" w:sz="0" w:space="0" w:color="auto"/>
            <w:right w:val="none" w:sz="0" w:space="0" w:color="auto"/>
          </w:divBdr>
        </w:div>
        <w:div w:id="1479491924">
          <w:marLeft w:val="1260"/>
          <w:marRight w:val="0"/>
          <w:marTop w:val="0"/>
          <w:marBottom w:val="101"/>
          <w:divBdr>
            <w:top w:val="none" w:sz="0" w:space="0" w:color="auto"/>
            <w:left w:val="none" w:sz="0" w:space="0" w:color="auto"/>
            <w:bottom w:val="none" w:sz="0" w:space="0" w:color="auto"/>
            <w:right w:val="none" w:sz="0" w:space="0" w:color="auto"/>
          </w:divBdr>
        </w:div>
        <w:div w:id="1312833587">
          <w:marLeft w:val="1260"/>
          <w:marRight w:val="0"/>
          <w:marTop w:val="0"/>
          <w:marBottom w:val="101"/>
          <w:divBdr>
            <w:top w:val="none" w:sz="0" w:space="0" w:color="auto"/>
            <w:left w:val="none" w:sz="0" w:space="0" w:color="auto"/>
            <w:bottom w:val="none" w:sz="0" w:space="0" w:color="auto"/>
            <w:right w:val="none" w:sz="0" w:space="0" w:color="auto"/>
          </w:divBdr>
        </w:div>
        <w:div w:id="11272452">
          <w:marLeft w:val="1260"/>
          <w:marRight w:val="0"/>
          <w:marTop w:val="0"/>
          <w:marBottom w:val="101"/>
          <w:divBdr>
            <w:top w:val="none" w:sz="0" w:space="0" w:color="auto"/>
            <w:left w:val="none" w:sz="0" w:space="0" w:color="auto"/>
            <w:bottom w:val="none" w:sz="0" w:space="0" w:color="auto"/>
            <w:right w:val="none" w:sz="0" w:space="0" w:color="auto"/>
          </w:divBdr>
        </w:div>
        <w:div w:id="160388269">
          <w:marLeft w:val="1260"/>
          <w:marRight w:val="0"/>
          <w:marTop w:val="0"/>
          <w:marBottom w:val="101"/>
          <w:divBdr>
            <w:top w:val="none" w:sz="0" w:space="0" w:color="auto"/>
            <w:left w:val="none" w:sz="0" w:space="0" w:color="auto"/>
            <w:bottom w:val="none" w:sz="0" w:space="0" w:color="auto"/>
            <w:right w:val="none" w:sz="0" w:space="0" w:color="auto"/>
          </w:divBdr>
        </w:div>
        <w:div w:id="622346398">
          <w:marLeft w:val="1260"/>
          <w:marRight w:val="0"/>
          <w:marTop w:val="0"/>
          <w:marBottom w:val="101"/>
          <w:divBdr>
            <w:top w:val="none" w:sz="0" w:space="0" w:color="auto"/>
            <w:left w:val="none" w:sz="0" w:space="0" w:color="auto"/>
            <w:bottom w:val="none" w:sz="0" w:space="0" w:color="auto"/>
            <w:right w:val="none" w:sz="0" w:space="0" w:color="auto"/>
          </w:divBdr>
        </w:div>
        <w:div w:id="52970242">
          <w:marLeft w:val="1080"/>
          <w:marRight w:val="0"/>
          <w:marTop w:val="0"/>
          <w:marBottom w:val="101"/>
          <w:divBdr>
            <w:top w:val="none" w:sz="0" w:space="0" w:color="auto"/>
            <w:left w:val="none" w:sz="0" w:space="0" w:color="auto"/>
            <w:bottom w:val="none" w:sz="0" w:space="0" w:color="auto"/>
            <w:right w:val="none" w:sz="0" w:space="0" w:color="auto"/>
          </w:divBdr>
        </w:div>
        <w:div w:id="1299341422">
          <w:marLeft w:val="0"/>
          <w:marRight w:val="0"/>
          <w:marTop w:val="0"/>
          <w:marBottom w:val="101"/>
          <w:divBdr>
            <w:top w:val="none" w:sz="0" w:space="0" w:color="auto"/>
            <w:left w:val="none" w:sz="0" w:space="0" w:color="auto"/>
            <w:bottom w:val="none" w:sz="0" w:space="0" w:color="auto"/>
            <w:right w:val="none" w:sz="0" w:space="0" w:color="auto"/>
          </w:divBdr>
        </w:div>
        <w:div w:id="326977063">
          <w:marLeft w:val="720"/>
          <w:marRight w:val="0"/>
          <w:marTop w:val="0"/>
          <w:marBottom w:val="101"/>
          <w:divBdr>
            <w:top w:val="none" w:sz="0" w:space="0" w:color="auto"/>
            <w:left w:val="none" w:sz="0" w:space="0" w:color="auto"/>
            <w:bottom w:val="none" w:sz="0" w:space="0" w:color="auto"/>
            <w:right w:val="none" w:sz="0" w:space="0" w:color="auto"/>
          </w:divBdr>
        </w:div>
        <w:div w:id="1770001893">
          <w:marLeft w:val="720"/>
          <w:marRight w:val="0"/>
          <w:marTop w:val="0"/>
          <w:marBottom w:val="101"/>
          <w:divBdr>
            <w:top w:val="none" w:sz="0" w:space="0" w:color="auto"/>
            <w:left w:val="none" w:sz="0" w:space="0" w:color="auto"/>
            <w:bottom w:val="none" w:sz="0" w:space="0" w:color="auto"/>
            <w:right w:val="none" w:sz="0" w:space="0" w:color="auto"/>
          </w:divBdr>
        </w:div>
        <w:div w:id="211038222">
          <w:marLeft w:val="720"/>
          <w:marRight w:val="0"/>
          <w:marTop w:val="0"/>
          <w:marBottom w:val="101"/>
          <w:divBdr>
            <w:top w:val="none" w:sz="0" w:space="0" w:color="auto"/>
            <w:left w:val="none" w:sz="0" w:space="0" w:color="auto"/>
            <w:bottom w:val="none" w:sz="0" w:space="0" w:color="auto"/>
            <w:right w:val="none" w:sz="0" w:space="0" w:color="auto"/>
          </w:divBdr>
        </w:div>
        <w:div w:id="301541010">
          <w:marLeft w:val="1080"/>
          <w:marRight w:val="0"/>
          <w:marTop w:val="0"/>
          <w:marBottom w:val="101"/>
          <w:divBdr>
            <w:top w:val="none" w:sz="0" w:space="0" w:color="auto"/>
            <w:left w:val="none" w:sz="0" w:space="0" w:color="auto"/>
            <w:bottom w:val="none" w:sz="0" w:space="0" w:color="auto"/>
            <w:right w:val="none" w:sz="0" w:space="0" w:color="auto"/>
          </w:divBdr>
        </w:div>
        <w:div w:id="990986157">
          <w:marLeft w:val="0"/>
          <w:marRight w:val="0"/>
          <w:marTop w:val="0"/>
          <w:marBottom w:val="101"/>
          <w:divBdr>
            <w:top w:val="none" w:sz="0" w:space="0" w:color="auto"/>
            <w:left w:val="none" w:sz="0" w:space="0" w:color="auto"/>
            <w:bottom w:val="none" w:sz="0" w:space="0" w:color="auto"/>
            <w:right w:val="none" w:sz="0" w:space="0" w:color="auto"/>
          </w:divBdr>
        </w:div>
        <w:div w:id="2067529755">
          <w:marLeft w:val="0"/>
          <w:marRight w:val="0"/>
          <w:marTop w:val="0"/>
          <w:marBottom w:val="101"/>
          <w:divBdr>
            <w:top w:val="none" w:sz="0" w:space="0" w:color="auto"/>
            <w:left w:val="none" w:sz="0" w:space="0" w:color="auto"/>
            <w:bottom w:val="none" w:sz="0" w:space="0" w:color="auto"/>
            <w:right w:val="none" w:sz="0" w:space="0" w:color="auto"/>
          </w:divBdr>
        </w:div>
        <w:div w:id="149568603">
          <w:marLeft w:val="1080"/>
          <w:marRight w:val="0"/>
          <w:marTop w:val="0"/>
          <w:marBottom w:val="101"/>
          <w:divBdr>
            <w:top w:val="none" w:sz="0" w:space="0" w:color="auto"/>
            <w:left w:val="none" w:sz="0" w:space="0" w:color="auto"/>
            <w:bottom w:val="none" w:sz="0" w:space="0" w:color="auto"/>
            <w:right w:val="none" w:sz="0" w:space="0" w:color="auto"/>
          </w:divBdr>
        </w:div>
        <w:div w:id="349795554">
          <w:marLeft w:val="720"/>
          <w:marRight w:val="0"/>
          <w:marTop w:val="0"/>
          <w:marBottom w:val="101"/>
          <w:divBdr>
            <w:top w:val="none" w:sz="0" w:space="0" w:color="auto"/>
            <w:left w:val="none" w:sz="0" w:space="0" w:color="auto"/>
            <w:bottom w:val="none" w:sz="0" w:space="0" w:color="auto"/>
            <w:right w:val="none" w:sz="0" w:space="0" w:color="auto"/>
          </w:divBdr>
        </w:div>
        <w:div w:id="796264540">
          <w:marLeft w:val="1080"/>
          <w:marRight w:val="0"/>
          <w:marTop w:val="0"/>
          <w:marBottom w:val="101"/>
          <w:divBdr>
            <w:top w:val="none" w:sz="0" w:space="0" w:color="auto"/>
            <w:left w:val="none" w:sz="0" w:space="0" w:color="auto"/>
            <w:bottom w:val="none" w:sz="0" w:space="0" w:color="auto"/>
            <w:right w:val="none" w:sz="0" w:space="0" w:color="auto"/>
          </w:divBdr>
        </w:div>
        <w:div w:id="1230581342">
          <w:marLeft w:val="1080"/>
          <w:marRight w:val="0"/>
          <w:marTop w:val="0"/>
          <w:marBottom w:val="101"/>
          <w:divBdr>
            <w:top w:val="none" w:sz="0" w:space="0" w:color="auto"/>
            <w:left w:val="none" w:sz="0" w:space="0" w:color="auto"/>
            <w:bottom w:val="none" w:sz="0" w:space="0" w:color="auto"/>
            <w:right w:val="none" w:sz="0" w:space="0" w:color="auto"/>
          </w:divBdr>
        </w:div>
        <w:div w:id="1741244033">
          <w:marLeft w:val="1080"/>
          <w:marRight w:val="0"/>
          <w:marTop w:val="0"/>
          <w:marBottom w:val="101"/>
          <w:divBdr>
            <w:top w:val="none" w:sz="0" w:space="0" w:color="auto"/>
            <w:left w:val="none" w:sz="0" w:space="0" w:color="auto"/>
            <w:bottom w:val="none" w:sz="0" w:space="0" w:color="auto"/>
            <w:right w:val="none" w:sz="0" w:space="0" w:color="auto"/>
          </w:divBdr>
        </w:div>
        <w:div w:id="1629823920">
          <w:marLeft w:val="1080"/>
          <w:marRight w:val="0"/>
          <w:marTop w:val="0"/>
          <w:marBottom w:val="101"/>
          <w:divBdr>
            <w:top w:val="none" w:sz="0" w:space="0" w:color="auto"/>
            <w:left w:val="none" w:sz="0" w:space="0" w:color="auto"/>
            <w:bottom w:val="none" w:sz="0" w:space="0" w:color="auto"/>
            <w:right w:val="none" w:sz="0" w:space="0" w:color="auto"/>
          </w:divBdr>
        </w:div>
        <w:div w:id="807472614">
          <w:marLeft w:val="1526"/>
          <w:marRight w:val="0"/>
          <w:marTop w:val="0"/>
          <w:marBottom w:val="101"/>
          <w:divBdr>
            <w:top w:val="none" w:sz="0" w:space="0" w:color="auto"/>
            <w:left w:val="none" w:sz="0" w:space="0" w:color="auto"/>
            <w:bottom w:val="none" w:sz="0" w:space="0" w:color="auto"/>
            <w:right w:val="none" w:sz="0" w:space="0" w:color="auto"/>
          </w:divBdr>
        </w:div>
        <w:div w:id="1141729873">
          <w:marLeft w:val="1526"/>
          <w:marRight w:val="0"/>
          <w:marTop w:val="0"/>
          <w:marBottom w:val="101"/>
          <w:divBdr>
            <w:top w:val="none" w:sz="0" w:space="0" w:color="auto"/>
            <w:left w:val="none" w:sz="0" w:space="0" w:color="auto"/>
            <w:bottom w:val="none" w:sz="0" w:space="0" w:color="auto"/>
            <w:right w:val="none" w:sz="0" w:space="0" w:color="auto"/>
          </w:divBdr>
        </w:div>
        <w:div w:id="1074470618">
          <w:marLeft w:val="1080"/>
          <w:marRight w:val="0"/>
          <w:marTop w:val="0"/>
          <w:marBottom w:val="101"/>
          <w:divBdr>
            <w:top w:val="none" w:sz="0" w:space="0" w:color="auto"/>
            <w:left w:val="none" w:sz="0" w:space="0" w:color="auto"/>
            <w:bottom w:val="none" w:sz="0" w:space="0" w:color="auto"/>
            <w:right w:val="none" w:sz="0" w:space="0" w:color="auto"/>
          </w:divBdr>
        </w:div>
        <w:div w:id="570118465">
          <w:marLeft w:val="720"/>
          <w:marRight w:val="0"/>
          <w:marTop w:val="0"/>
          <w:marBottom w:val="101"/>
          <w:divBdr>
            <w:top w:val="none" w:sz="0" w:space="0" w:color="auto"/>
            <w:left w:val="none" w:sz="0" w:space="0" w:color="auto"/>
            <w:bottom w:val="none" w:sz="0" w:space="0" w:color="auto"/>
            <w:right w:val="none" w:sz="0" w:space="0" w:color="auto"/>
          </w:divBdr>
        </w:div>
        <w:div w:id="1099834715">
          <w:marLeft w:val="720"/>
          <w:marRight w:val="0"/>
          <w:marTop w:val="0"/>
          <w:marBottom w:val="101"/>
          <w:divBdr>
            <w:top w:val="none" w:sz="0" w:space="0" w:color="auto"/>
            <w:left w:val="none" w:sz="0" w:space="0" w:color="auto"/>
            <w:bottom w:val="none" w:sz="0" w:space="0" w:color="auto"/>
            <w:right w:val="none" w:sz="0" w:space="0" w:color="auto"/>
          </w:divBdr>
        </w:div>
        <w:div w:id="814759797">
          <w:marLeft w:val="1080"/>
          <w:marRight w:val="0"/>
          <w:marTop w:val="0"/>
          <w:marBottom w:val="101"/>
          <w:divBdr>
            <w:top w:val="none" w:sz="0" w:space="0" w:color="auto"/>
            <w:left w:val="none" w:sz="0" w:space="0" w:color="auto"/>
            <w:bottom w:val="none" w:sz="0" w:space="0" w:color="auto"/>
            <w:right w:val="none" w:sz="0" w:space="0" w:color="auto"/>
          </w:divBdr>
        </w:div>
        <w:div w:id="253903163">
          <w:marLeft w:val="720"/>
          <w:marRight w:val="0"/>
          <w:marTop w:val="0"/>
          <w:marBottom w:val="101"/>
          <w:divBdr>
            <w:top w:val="none" w:sz="0" w:space="0" w:color="auto"/>
            <w:left w:val="none" w:sz="0" w:space="0" w:color="auto"/>
            <w:bottom w:val="none" w:sz="0" w:space="0" w:color="auto"/>
            <w:right w:val="none" w:sz="0" w:space="0" w:color="auto"/>
          </w:divBdr>
        </w:div>
        <w:div w:id="256640073">
          <w:marLeft w:val="1080"/>
          <w:marRight w:val="0"/>
          <w:marTop w:val="0"/>
          <w:marBottom w:val="101"/>
          <w:divBdr>
            <w:top w:val="none" w:sz="0" w:space="0" w:color="auto"/>
            <w:left w:val="none" w:sz="0" w:space="0" w:color="auto"/>
            <w:bottom w:val="none" w:sz="0" w:space="0" w:color="auto"/>
            <w:right w:val="none" w:sz="0" w:space="0" w:color="auto"/>
          </w:divBdr>
        </w:div>
        <w:div w:id="1656104438">
          <w:marLeft w:val="1080"/>
          <w:marRight w:val="0"/>
          <w:marTop w:val="0"/>
          <w:marBottom w:val="101"/>
          <w:divBdr>
            <w:top w:val="none" w:sz="0" w:space="0" w:color="auto"/>
            <w:left w:val="none" w:sz="0" w:space="0" w:color="auto"/>
            <w:bottom w:val="none" w:sz="0" w:space="0" w:color="auto"/>
            <w:right w:val="none" w:sz="0" w:space="0" w:color="auto"/>
          </w:divBdr>
        </w:div>
        <w:div w:id="1585799724">
          <w:marLeft w:val="720"/>
          <w:marRight w:val="0"/>
          <w:marTop w:val="0"/>
          <w:marBottom w:val="101"/>
          <w:divBdr>
            <w:top w:val="none" w:sz="0" w:space="0" w:color="auto"/>
            <w:left w:val="none" w:sz="0" w:space="0" w:color="auto"/>
            <w:bottom w:val="none" w:sz="0" w:space="0" w:color="auto"/>
            <w:right w:val="none" w:sz="0" w:space="0" w:color="auto"/>
          </w:divBdr>
        </w:div>
        <w:div w:id="1278944679">
          <w:marLeft w:val="720"/>
          <w:marRight w:val="0"/>
          <w:marTop w:val="0"/>
          <w:marBottom w:val="101"/>
          <w:divBdr>
            <w:top w:val="none" w:sz="0" w:space="0" w:color="auto"/>
            <w:left w:val="none" w:sz="0" w:space="0" w:color="auto"/>
            <w:bottom w:val="none" w:sz="0" w:space="0" w:color="auto"/>
            <w:right w:val="none" w:sz="0" w:space="0" w:color="auto"/>
          </w:divBdr>
        </w:div>
        <w:div w:id="314381276">
          <w:marLeft w:val="720"/>
          <w:marRight w:val="0"/>
          <w:marTop w:val="0"/>
          <w:marBottom w:val="101"/>
          <w:divBdr>
            <w:top w:val="none" w:sz="0" w:space="0" w:color="auto"/>
            <w:left w:val="none" w:sz="0" w:space="0" w:color="auto"/>
            <w:bottom w:val="none" w:sz="0" w:space="0" w:color="auto"/>
            <w:right w:val="none" w:sz="0" w:space="0" w:color="auto"/>
          </w:divBdr>
        </w:div>
        <w:div w:id="1622566566">
          <w:marLeft w:val="1080"/>
          <w:marRight w:val="0"/>
          <w:marTop w:val="0"/>
          <w:marBottom w:val="101"/>
          <w:divBdr>
            <w:top w:val="none" w:sz="0" w:space="0" w:color="auto"/>
            <w:left w:val="none" w:sz="0" w:space="0" w:color="auto"/>
            <w:bottom w:val="none" w:sz="0" w:space="0" w:color="auto"/>
            <w:right w:val="none" w:sz="0" w:space="0" w:color="auto"/>
          </w:divBdr>
        </w:div>
        <w:div w:id="358551908">
          <w:marLeft w:val="720"/>
          <w:marRight w:val="0"/>
          <w:marTop w:val="0"/>
          <w:marBottom w:val="101"/>
          <w:divBdr>
            <w:top w:val="none" w:sz="0" w:space="0" w:color="auto"/>
            <w:left w:val="none" w:sz="0" w:space="0" w:color="auto"/>
            <w:bottom w:val="none" w:sz="0" w:space="0" w:color="auto"/>
            <w:right w:val="none" w:sz="0" w:space="0" w:color="auto"/>
          </w:divBdr>
        </w:div>
        <w:div w:id="799156596">
          <w:marLeft w:val="720"/>
          <w:marRight w:val="0"/>
          <w:marTop w:val="0"/>
          <w:marBottom w:val="101"/>
          <w:divBdr>
            <w:top w:val="none" w:sz="0" w:space="0" w:color="auto"/>
            <w:left w:val="none" w:sz="0" w:space="0" w:color="auto"/>
            <w:bottom w:val="none" w:sz="0" w:space="0" w:color="auto"/>
            <w:right w:val="none" w:sz="0" w:space="0" w:color="auto"/>
          </w:divBdr>
        </w:div>
        <w:div w:id="1573153151">
          <w:marLeft w:val="1080"/>
          <w:marRight w:val="0"/>
          <w:marTop w:val="0"/>
          <w:marBottom w:val="101"/>
          <w:divBdr>
            <w:top w:val="none" w:sz="0" w:space="0" w:color="auto"/>
            <w:left w:val="none" w:sz="0" w:space="0" w:color="auto"/>
            <w:bottom w:val="none" w:sz="0" w:space="0" w:color="auto"/>
            <w:right w:val="none" w:sz="0" w:space="0" w:color="auto"/>
          </w:divBdr>
        </w:div>
        <w:div w:id="1256129729">
          <w:marLeft w:val="1080"/>
          <w:marRight w:val="0"/>
          <w:marTop w:val="0"/>
          <w:marBottom w:val="101"/>
          <w:divBdr>
            <w:top w:val="none" w:sz="0" w:space="0" w:color="auto"/>
            <w:left w:val="none" w:sz="0" w:space="0" w:color="auto"/>
            <w:bottom w:val="none" w:sz="0" w:space="0" w:color="auto"/>
            <w:right w:val="none" w:sz="0" w:space="0" w:color="auto"/>
          </w:divBdr>
        </w:div>
        <w:div w:id="2026519774">
          <w:marLeft w:val="1080"/>
          <w:marRight w:val="0"/>
          <w:marTop w:val="0"/>
          <w:marBottom w:val="101"/>
          <w:divBdr>
            <w:top w:val="none" w:sz="0" w:space="0" w:color="auto"/>
            <w:left w:val="none" w:sz="0" w:space="0" w:color="auto"/>
            <w:bottom w:val="none" w:sz="0" w:space="0" w:color="auto"/>
            <w:right w:val="none" w:sz="0" w:space="0" w:color="auto"/>
          </w:divBdr>
        </w:div>
        <w:div w:id="774403967">
          <w:marLeft w:val="1080"/>
          <w:marRight w:val="0"/>
          <w:marTop w:val="0"/>
          <w:marBottom w:val="101"/>
          <w:divBdr>
            <w:top w:val="none" w:sz="0" w:space="0" w:color="auto"/>
            <w:left w:val="none" w:sz="0" w:space="0" w:color="auto"/>
            <w:bottom w:val="none" w:sz="0" w:space="0" w:color="auto"/>
            <w:right w:val="none" w:sz="0" w:space="0" w:color="auto"/>
          </w:divBdr>
        </w:div>
        <w:div w:id="22245215">
          <w:marLeft w:val="1080"/>
          <w:marRight w:val="0"/>
          <w:marTop w:val="0"/>
          <w:marBottom w:val="101"/>
          <w:divBdr>
            <w:top w:val="none" w:sz="0" w:space="0" w:color="auto"/>
            <w:left w:val="none" w:sz="0" w:space="0" w:color="auto"/>
            <w:bottom w:val="none" w:sz="0" w:space="0" w:color="auto"/>
            <w:right w:val="none" w:sz="0" w:space="0" w:color="auto"/>
          </w:divBdr>
        </w:div>
        <w:div w:id="1011907487">
          <w:marLeft w:val="1080"/>
          <w:marRight w:val="0"/>
          <w:marTop w:val="0"/>
          <w:marBottom w:val="101"/>
          <w:divBdr>
            <w:top w:val="none" w:sz="0" w:space="0" w:color="auto"/>
            <w:left w:val="none" w:sz="0" w:space="0" w:color="auto"/>
            <w:bottom w:val="none" w:sz="0" w:space="0" w:color="auto"/>
            <w:right w:val="none" w:sz="0" w:space="0" w:color="auto"/>
          </w:divBdr>
        </w:div>
        <w:div w:id="694885902">
          <w:marLeft w:val="720"/>
          <w:marRight w:val="0"/>
          <w:marTop w:val="0"/>
          <w:marBottom w:val="101"/>
          <w:divBdr>
            <w:top w:val="none" w:sz="0" w:space="0" w:color="auto"/>
            <w:left w:val="none" w:sz="0" w:space="0" w:color="auto"/>
            <w:bottom w:val="none" w:sz="0" w:space="0" w:color="auto"/>
            <w:right w:val="none" w:sz="0" w:space="0" w:color="auto"/>
          </w:divBdr>
        </w:div>
        <w:div w:id="345593179">
          <w:marLeft w:val="720"/>
          <w:marRight w:val="0"/>
          <w:marTop w:val="0"/>
          <w:marBottom w:val="101"/>
          <w:divBdr>
            <w:top w:val="none" w:sz="0" w:space="0" w:color="auto"/>
            <w:left w:val="none" w:sz="0" w:space="0" w:color="auto"/>
            <w:bottom w:val="none" w:sz="0" w:space="0" w:color="auto"/>
            <w:right w:val="none" w:sz="0" w:space="0" w:color="auto"/>
          </w:divBdr>
        </w:div>
        <w:div w:id="719325374">
          <w:marLeft w:val="1080"/>
          <w:marRight w:val="0"/>
          <w:marTop w:val="0"/>
          <w:marBottom w:val="101"/>
          <w:divBdr>
            <w:top w:val="none" w:sz="0" w:space="0" w:color="auto"/>
            <w:left w:val="none" w:sz="0" w:space="0" w:color="auto"/>
            <w:bottom w:val="none" w:sz="0" w:space="0" w:color="auto"/>
            <w:right w:val="none" w:sz="0" w:space="0" w:color="auto"/>
          </w:divBdr>
        </w:div>
        <w:div w:id="1506214066">
          <w:marLeft w:val="1080"/>
          <w:marRight w:val="0"/>
          <w:marTop w:val="0"/>
          <w:marBottom w:val="101"/>
          <w:divBdr>
            <w:top w:val="none" w:sz="0" w:space="0" w:color="auto"/>
            <w:left w:val="none" w:sz="0" w:space="0" w:color="auto"/>
            <w:bottom w:val="none" w:sz="0" w:space="0" w:color="auto"/>
            <w:right w:val="none" w:sz="0" w:space="0" w:color="auto"/>
          </w:divBdr>
        </w:div>
        <w:div w:id="669989767">
          <w:marLeft w:val="1080"/>
          <w:marRight w:val="0"/>
          <w:marTop w:val="0"/>
          <w:marBottom w:val="101"/>
          <w:divBdr>
            <w:top w:val="none" w:sz="0" w:space="0" w:color="auto"/>
            <w:left w:val="none" w:sz="0" w:space="0" w:color="auto"/>
            <w:bottom w:val="none" w:sz="0" w:space="0" w:color="auto"/>
            <w:right w:val="none" w:sz="0" w:space="0" w:color="auto"/>
          </w:divBdr>
        </w:div>
        <w:div w:id="861086517">
          <w:marLeft w:val="0"/>
          <w:marRight w:val="0"/>
          <w:marTop w:val="0"/>
          <w:marBottom w:val="101"/>
          <w:divBdr>
            <w:top w:val="none" w:sz="0" w:space="0" w:color="auto"/>
            <w:left w:val="none" w:sz="0" w:space="0" w:color="auto"/>
            <w:bottom w:val="none" w:sz="0" w:space="0" w:color="auto"/>
            <w:right w:val="none" w:sz="0" w:space="0" w:color="auto"/>
          </w:divBdr>
        </w:div>
        <w:div w:id="703096273">
          <w:marLeft w:val="720"/>
          <w:marRight w:val="0"/>
          <w:marTop w:val="0"/>
          <w:marBottom w:val="101"/>
          <w:divBdr>
            <w:top w:val="none" w:sz="0" w:space="0" w:color="auto"/>
            <w:left w:val="none" w:sz="0" w:space="0" w:color="auto"/>
            <w:bottom w:val="none" w:sz="0" w:space="0" w:color="auto"/>
            <w:right w:val="none" w:sz="0" w:space="0" w:color="auto"/>
          </w:divBdr>
        </w:div>
        <w:div w:id="520895481">
          <w:marLeft w:val="720"/>
          <w:marRight w:val="0"/>
          <w:marTop w:val="0"/>
          <w:marBottom w:val="101"/>
          <w:divBdr>
            <w:top w:val="none" w:sz="0" w:space="0" w:color="auto"/>
            <w:left w:val="none" w:sz="0" w:space="0" w:color="auto"/>
            <w:bottom w:val="none" w:sz="0" w:space="0" w:color="auto"/>
            <w:right w:val="none" w:sz="0" w:space="0" w:color="auto"/>
          </w:divBdr>
        </w:div>
        <w:div w:id="1614941005">
          <w:marLeft w:val="720"/>
          <w:marRight w:val="0"/>
          <w:marTop w:val="0"/>
          <w:marBottom w:val="101"/>
          <w:divBdr>
            <w:top w:val="none" w:sz="0" w:space="0" w:color="auto"/>
            <w:left w:val="none" w:sz="0" w:space="0" w:color="auto"/>
            <w:bottom w:val="none" w:sz="0" w:space="0" w:color="auto"/>
            <w:right w:val="none" w:sz="0" w:space="0" w:color="auto"/>
          </w:divBdr>
        </w:div>
        <w:div w:id="575942002">
          <w:marLeft w:val="1080"/>
          <w:marRight w:val="0"/>
          <w:marTop w:val="0"/>
          <w:marBottom w:val="101"/>
          <w:divBdr>
            <w:top w:val="none" w:sz="0" w:space="0" w:color="auto"/>
            <w:left w:val="none" w:sz="0" w:space="0" w:color="auto"/>
            <w:bottom w:val="none" w:sz="0" w:space="0" w:color="auto"/>
            <w:right w:val="none" w:sz="0" w:space="0" w:color="auto"/>
          </w:divBdr>
        </w:div>
        <w:div w:id="107702193">
          <w:marLeft w:val="1080"/>
          <w:marRight w:val="0"/>
          <w:marTop w:val="0"/>
          <w:marBottom w:val="101"/>
          <w:divBdr>
            <w:top w:val="none" w:sz="0" w:space="0" w:color="auto"/>
            <w:left w:val="none" w:sz="0" w:space="0" w:color="auto"/>
            <w:bottom w:val="none" w:sz="0" w:space="0" w:color="auto"/>
            <w:right w:val="none" w:sz="0" w:space="0" w:color="auto"/>
          </w:divBdr>
        </w:div>
        <w:div w:id="470907864">
          <w:marLeft w:val="1080"/>
          <w:marRight w:val="0"/>
          <w:marTop w:val="0"/>
          <w:marBottom w:val="101"/>
          <w:divBdr>
            <w:top w:val="none" w:sz="0" w:space="0" w:color="auto"/>
            <w:left w:val="none" w:sz="0" w:space="0" w:color="auto"/>
            <w:bottom w:val="none" w:sz="0" w:space="0" w:color="auto"/>
            <w:right w:val="none" w:sz="0" w:space="0" w:color="auto"/>
          </w:divBdr>
        </w:div>
        <w:div w:id="909076858">
          <w:marLeft w:val="1080"/>
          <w:marRight w:val="0"/>
          <w:marTop w:val="0"/>
          <w:marBottom w:val="101"/>
          <w:divBdr>
            <w:top w:val="none" w:sz="0" w:space="0" w:color="auto"/>
            <w:left w:val="none" w:sz="0" w:space="0" w:color="auto"/>
            <w:bottom w:val="none" w:sz="0" w:space="0" w:color="auto"/>
            <w:right w:val="none" w:sz="0" w:space="0" w:color="auto"/>
          </w:divBdr>
        </w:div>
        <w:div w:id="398554000">
          <w:marLeft w:val="1080"/>
          <w:marRight w:val="0"/>
          <w:marTop w:val="0"/>
          <w:marBottom w:val="101"/>
          <w:divBdr>
            <w:top w:val="none" w:sz="0" w:space="0" w:color="auto"/>
            <w:left w:val="none" w:sz="0" w:space="0" w:color="auto"/>
            <w:bottom w:val="none" w:sz="0" w:space="0" w:color="auto"/>
            <w:right w:val="none" w:sz="0" w:space="0" w:color="auto"/>
          </w:divBdr>
        </w:div>
        <w:div w:id="1976446192">
          <w:marLeft w:val="1080"/>
          <w:marRight w:val="0"/>
          <w:marTop w:val="0"/>
          <w:marBottom w:val="101"/>
          <w:divBdr>
            <w:top w:val="none" w:sz="0" w:space="0" w:color="auto"/>
            <w:left w:val="none" w:sz="0" w:space="0" w:color="auto"/>
            <w:bottom w:val="none" w:sz="0" w:space="0" w:color="auto"/>
            <w:right w:val="none" w:sz="0" w:space="0" w:color="auto"/>
          </w:divBdr>
        </w:div>
        <w:div w:id="273246395">
          <w:marLeft w:val="1080"/>
          <w:marRight w:val="0"/>
          <w:marTop w:val="0"/>
          <w:marBottom w:val="101"/>
          <w:divBdr>
            <w:top w:val="none" w:sz="0" w:space="0" w:color="auto"/>
            <w:left w:val="none" w:sz="0" w:space="0" w:color="auto"/>
            <w:bottom w:val="none" w:sz="0" w:space="0" w:color="auto"/>
            <w:right w:val="none" w:sz="0" w:space="0" w:color="auto"/>
          </w:divBdr>
        </w:div>
        <w:div w:id="1825126104">
          <w:marLeft w:val="1080"/>
          <w:marRight w:val="0"/>
          <w:marTop w:val="0"/>
          <w:marBottom w:val="101"/>
          <w:divBdr>
            <w:top w:val="none" w:sz="0" w:space="0" w:color="auto"/>
            <w:left w:val="none" w:sz="0" w:space="0" w:color="auto"/>
            <w:bottom w:val="none" w:sz="0" w:space="0" w:color="auto"/>
            <w:right w:val="none" w:sz="0" w:space="0" w:color="auto"/>
          </w:divBdr>
        </w:div>
        <w:div w:id="108359753">
          <w:marLeft w:val="1080"/>
          <w:marRight w:val="0"/>
          <w:marTop w:val="0"/>
          <w:marBottom w:val="101"/>
          <w:divBdr>
            <w:top w:val="none" w:sz="0" w:space="0" w:color="auto"/>
            <w:left w:val="none" w:sz="0" w:space="0" w:color="auto"/>
            <w:bottom w:val="none" w:sz="0" w:space="0" w:color="auto"/>
            <w:right w:val="none" w:sz="0" w:space="0" w:color="auto"/>
          </w:divBdr>
        </w:div>
        <w:div w:id="1242524107">
          <w:marLeft w:val="1080"/>
          <w:marRight w:val="0"/>
          <w:marTop w:val="0"/>
          <w:marBottom w:val="101"/>
          <w:divBdr>
            <w:top w:val="none" w:sz="0" w:space="0" w:color="auto"/>
            <w:left w:val="none" w:sz="0" w:space="0" w:color="auto"/>
            <w:bottom w:val="none" w:sz="0" w:space="0" w:color="auto"/>
            <w:right w:val="none" w:sz="0" w:space="0" w:color="auto"/>
          </w:divBdr>
        </w:div>
        <w:div w:id="1126506468">
          <w:marLeft w:val="1080"/>
          <w:marRight w:val="0"/>
          <w:marTop w:val="0"/>
          <w:marBottom w:val="101"/>
          <w:divBdr>
            <w:top w:val="none" w:sz="0" w:space="0" w:color="auto"/>
            <w:left w:val="none" w:sz="0" w:space="0" w:color="auto"/>
            <w:bottom w:val="none" w:sz="0" w:space="0" w:color="auto"/>
            <w:right w:val="none" w:sz="0" w:space="0" w:color="auto"/>
          </w:divBdr>
        </w:div>
        <w:div w:id="2081630504">
          <w:marLeft w:val="1080"/>
          <w:marRight w:val="0"/>
          <w:marTop w:val="0"/>
          <w:marBottom w:val="101"/>
          <w:divBdr>
            <w:top w:val="none" w:sz="0" w:space="0" w:color="auto"/>
            <w:left w:val="none" w:sz="0" w:space="0" w:color="auto"/>
            <w:bottom w:val="none" w:sz="0" w:space="0" w:color="auto"/>
            <w:right w:val="none" w:sz="0" w:space="0" w:color="auto"/>
          </w:divBdr>
        </w:div>
        <w:div w:id="102843308">
          <w:marLeft w:val="1080"/>
          <w:marRight w:val="0"/>
          <w:marTop w:val="0"/>
          <w:marBottom w:val="101"/>
          <w:divBdr>
            <w:top w:val="none" w:sz="0" w:space="0" w:color="auto"/>
            <w:left w:val="none" w:sz="0" w:space="0" w:color="auto"/>
            <w:bottom w:val="none" w:sz="0" w:space="0" w:color="auto"/>
            <w:right w:val="none" w:sz="0" w:space="0" w:color="auto"/>
          </w:divBdr>
        </w:div>
        <w:div w:id="852887668">
          <w:marLeft w:val="1080"/>
          <w:marRight w:val="0"/>
          <w:marTop w:val="0"/>
          <w:marBottom w:val="101"/>
          <w:divBdr>
            <w:top w:val="none" w:sz="0" w:space="0" w:color="auto"/>
            <w:left w:val="none" w:sz="0" w:space="0" w:color="auto"/>
            <w:bottom w:val="none" w:sz="0" w:space="0" w:color="auto"/>
            <w:right w:val="none" w:sz="0" w:space="0" w:color="auto"/>
          </w:divBdr>
        </w:div>
        <w:div w:id="1443960991">
          <w:marLeft w:val="1080"/>
          <w:marRight w:val="0"/>
          <w:marTop w:val="0"/>
          <w:marBottom w:val="101"/>
          <w:divBdr>
            <w:top w:val="none" w:sz="0" w:space="0" w:color="auto"/>
            <w:left w:val="none" w:sz="0" w:space="0" w:color="auto"/>
            <w:bottom w:val="none" w:sz="0" w:space="0" w:color="auto"/>
            <w:right w:val="none" w:sz="0" w:space="0" w:color="auto"/>
          </w:divBdr>
        </w:div>
        <w:div w:id="718360835">
          <w:marLeft w:val="1080"/>
          <w:marRight w:val="0"/>
          <w:marTop w:val="0"/>
          <w:marBottom w:val="101"/>
          <w:divBdr>
            <w:top w:val="none" w:sz="0" w:space="0" w:color="auto"/>
            <w:left w:val="none" w:sz="0" w:space="0" w:color="auto"/>
            <w:bottom w:val="none" w:sz="0" w:space="0" w:color="auto"/>
            <w:right w:val="none" w:sz="0" w:space="0" w:color="auto"/>
          </w:divBdr>
        </w:div>
        <w:div w:id="199319720">
          <w:marLeft w:val="1080"/>
          <w:marRight w:val="0"/>
          <w:marTop w:val="0"/>
          <w:marBottom w:val="101"/>
          <w:divBdr>
            <w:top w:val="none" w:sz="0" w:space="0" w:color="auto"/>
            <w:left w:val="none" w:sz="0" w:space="0" w:color="auto"/>
            <w:bottom w:val="none" w:sz="0" w:space="0" w:color="auto"/>
            <w:right w:val="none" w:sz="0" w:space="0" w:color="auto"/>
          </w:divBdr>
        </w:div>
        <w:div w:id="868104889">
          <w:marLeft w:val="1080"/>
          <w:marRight w:val="0"/>
          <w:marTop w:val="0"/>
          <w:marBottom w:val="101"/>
          <w:divBdr>
            <w:top w:val="none" w:sz="0" w:space="0" w:color="auto"/>
            <w:left w:val="none" w:sz="0" w:space="0" w:color="auto"/>
            <w:bottom w:val="none" w:sz="0" w:space="0" w:color="auto"/>
            <w:right w:val="none" w:sz="0" w:space="0" w:color="auto"/>
          </w:divBdr>
        </w:div>
        <w:div w:id="1775395106">
          <w:marLeft w:val="1080"/>
          <w:marRight w:val="0"/>
          <w:marTop w:val="0"/>
          <w:marBottom w:val="101"/>
          <w:divBdr>
            <w:top w:val="none" w:sz="0" w:space="0" w:color="auto"/>
            <w:left w:val="none" w:sz="0" w:space="0" w:color="auto"/>
            <w:bottom w:val="none" w:sz="0" w:space="0" w:color="auto"/>
            <w:right w:val="none" w:sz="0" w:space="0" w:color="auto"/>
          </w:divBdr>
        </w:div>
        <w:div w:id="8456845">
          <w:marLeft w:val="1080"/>
          <w:marRight w:val="0"/>
          <w:marTop w:val="0"/>
          <w:marBottom w:val="101"/>
          <w:divBdr>
            <w:top w:val="none" w:sz="0" w:space="0" w:color="auto"/>
            <w:left w:val="none" w:sz="0" w:space="0" w:color="auto"/>
            <w:bottom w:val="none" w:sz="0" w:space="0" w:color="auto"/>
            <w:right w:val="none" w:sz="0" w:space="0" w:color="auto"/>
          </w:divBdr>
        </w:div>
        <w:div w:id="1170874990">
          <w:marLeft w:val="1080"/>
          <w:marRight w:val="0"/>
          <w:marTop w:val="0"/>
          <w:marBottom w:val="101"/>
          <w:divBdr>
            <w:top w:val="none" w:sz="0" w:space="0" w:color="auto"/>
            <w:left w:val="none" w:sz="0" w:space="0" w:color="auto"/>
            <w:bottom w:val="none" w:sz="0" w:space="0" w:color="auto"/>
            <w:right w:val="none" w:sz="0" w:space="0" w:color="auto"/>
          </w:divBdr>
        </w:div>
        <w:div w:id="2051758393">
          <w:marLeft w:val="1080"/>
          <w:marRight w:val="0"/>
          <w:marTop w:val="0"/>
          <w:marBottom w:val="101"/>
          <w:divBdr>
            <w:top w:val="none" w:sz="0" w:space="0" w:color="auto"/>
            <w:left w:val="none" w:sz="0" w:space="0" w:color="auto"/>
            <w:bottom w:val="none" w:sz="0" w:space="0" w:color="auto"/>
            <w:right w:val="none" w:sz="0" w:space="0" w:color="auto"/>
          </w:divBdr>
        </w:div>
        <w:div w:id="16126812">
          <w:marLeft w:val="1080"/>
          <w:marRight w:val="0"/>
          <w:marTop w:val="0"/>
          <w:marBottom w:val="101"/>
          <w:divBdr>
            <w:top w:val="none" w:sz="0" w:space="0" w:color="auto"/>
            <w:left w:val="none" w:sz="0" w:space="0" w:color="auto"/>
            <w:bottom w:val="none" w:sz="0" w:space="0" w:color="auto"/>
            <w:right w:val="none" w:sz="0" w:space="0" w:color="auto"/>
          </w:divBdr>
        </w:div>
        <w:div w:id="1118330044">
          <w:marLeft w:val="1080"/>
          <w:marRight w:val="0"/>
          <w:marTop w:val="0"/>
          <w:marBottom w:val="101"/>
          <w:divBdr>
            <w:top w:val="none" w:sz="0" w:space="0" w:color="auto"/>
            <w:left w:val="none" w:sz="0" w:space="0" w:color="auto"/>
            <w:bottom w:val="none" w:sz="0" w:space="0" w:color="auto"/>
            <w:right w:val="none" w:sz="0" w:space="0" w:color="auto"/>
          </w:divBdr>
        </w:div>
        <w:div w:id="880825638">
          <w:marLeft w:val="1080"/>
          <w:marRight w:val="0"/>
          <w:marTop w:val="0"/>
          <w:marBottom w:val="101"/>
          <w:divBdr>
            <w:top w:val="none" w:sz="0" w:space="0" w:color="auto"/>
            <w:left w:val="none" w:sz="0" w:space="0" w:color="auto"/>
            <w:bottom w:val="none" w:sz="0" w:space="0" w:color="auto"/>
            <w:right w:val="none" w:sz="0" w:space="0" w:color="auto"/>
          </w:divBdr>
        </w:div>
        <w:div w:id="793595985">
          <w:marLeft w:val="1080"/>
          <w:marRight w:val="0"/>
          <w:marTop w:val="0"/>
          <w:marBottom w:val="101"/>
          <w:divBdr>
            <w:top w:val="none" w:sz="0" w:space="0" w:color="auto"/>
            <w:left w:val="none" w:sz="0" w:space="0" w:color="auto"/>
            <w:bottom w:val="none" w:sz="0" w:space="0" w:color="auto"/>
            <w:right w:val="none" w:sz="0" w:space="0" w:color="auto"/>
          </w:divBdr>
        </w:div>
        <w:div w:id="1333753567">
          <w:marLeft w:val="1080"/>
          <w:marRight w:val="0"/>
          <w:marTop w:val="0"/>
          <w:marBottom w:val="101"/>
          <w:divBdr>
            <w:top w:val="none" w:sz="0" w:space="0" w:color="auto"/>
            <w:left w:val="none" w:sz="0" w:space="0" w:color="auto"/>
            <w:bottom w:val="none" w:sz="0" w:space="0" w:color="auto"/>
            <w:right w:val="none" w:sz="0" w:space="0" w:color="auto"/>
          </w:divBdr>
        </w:div>
        <w:div w:id="2021466108">
          <w:marLeft w:val="1080"/>
          <w:marRight w:val="0"/>
          <w:marTop w:val="0"/>
          <w:marBottom w:val="101"/>
          <w:divBdr>
            <w:top w:val="none" w:sz="0" w:space="0" w:color="auto"/>
            <w:left w:val="none" w:sz="0" w:space="0" w:color="auto"/>
            <w:bottom w:val="none" w:sz="0" w:space="0" w:color="auto"/>
            <w:right w:val="none" w:sz="0" w:space="0" w:color="auto"/>
          </w:divBdr>
        </w:div>
        <w:div w:id="422646844">
          <w:marLeft w:val="1080"/>
          <w:marRight w:val="0"/>
          <w:marTop w:val="0"/>
          <w:marBottom w:val="101"/>
          <w:divBdr>
            <w:top w:val="none" w:sz="0" w:space="0" w:color="auto"/>
            <w:left w:val="none" w:sz="0" w:space="0" w:color="auto"/>
            <w:bottom w:val="none" w:sz="0" w:space="0" w:color="auto"/>
            <w:right w:val="none" w:sz="0" w:space="0" w:color="auto"/>
          </w:divBdr>
        </w:div>
        <w:div w:id="1170097800">
          <w:marLeft w:val="1080"/>
          <w:marRight w:val="0"/>
          <w:marTop w:val="0"/>
          <w:marBottom w:val="101"/>
          <w:divBdr>
            <w:top w:val="none" w:sz="0" w:space="0" w:color="auto"/>
            <w:left w:val="none" w:sz="0" w:space="0" w:color="auto"/>
            <w:bottom w:val="none" w:sz="0" w:space="0" w:color="auto"/>
            <w:right w:val="none" w:sz="0" w:space="0" w:color="auto"/>
          </w:divBdr>
        </w:div>
        <w:div w:id="1863130969">
          <w:marLeft w:val="1080"/>
          <w:marRight w:val="0"/>
          <w:marTop w:val="0"/>
          <w:marBottom w:val="101"/>
          <w:divBdr>
            <w:top w:val="none" w:sz="0" w:space="0" w:color="auto"/>
            <w:left w:val="none" w:sz="0" w:space="0" w:color="auto"/>
            <w:bottom w:val="none" w:sz="0" w:space="0" w:color="auto"/>
            <w:right w:val="none" w:sz="0" w:space="0" w:color="auto"/>
          </w:divBdr>
        </w:div>
        <w:div w:id="574513056">
          <w:marLeft w:val="1080"/>
          <w:marRight w:val="0"/>
          <w:marTop w:val="0"/>
          <w:marBottom w:val="101"/>
          <w:divBdr>
            <w:top w:val="none" w:sz="0" w:space="0" w:color="auto"/>
            <w:left w:val="none" w:sz="0" w:space="0" w:color="auto"/>
            <w:bottom w:val="none" w:sz="0" w:space="0" w:color="auto"/>
            <w:right w:val="none" w:sz="0" w:space="0" w:color="auto"/>
          </w:divBdr>
        </w:div>
        <w:div w:id="851576701">
          <w:marLeft w:val="1080"/>
          <w:marRight w:val="0"/>
          <w:marTop w:val="0"/>
          <w:marBottom w:val="101"/>
          <w:divBdr>
            <w:top w:val="none" w:sz="0" w:space="0" w:color="auto"/>
            <w:left w:val="none" w:sz="0" w:space="0" w:color="auto"/>
            <w:bottom w:val="none" w:sz="0" w:space="0" w:color="auto"/>
            <w:right w:val="none" w:sz="0" w:space="0" w:color="auto"/>
          </w:divBdr>
        </w:div>
        <w:div w:id="1510832961">
          <w:marLeft w:val="1080"/>
          <w:marRight w:val="0"/>
          <w:marTop w:val="0"/>
          <w:marBottom w:val="101"/>
          <w:divBdr>
            <w:top w:val="none" w:sz="0" w:space="0" w:color="auto"/>
            <w:left w:val="none" w:sz="0" w:space="0" w:color="auto"/>
            <w:bottom w:val="none" w:sz="0" w:space="0" w:color="auto"/>
            <w:right w:val="none" w:sz="0" w:space="0" w:color="auto"/>
          </w:divBdr>
        </w:div>
        <w:div w:id="546799073">
          <w:marLeft w:val="1080"/>
          <w:marRight w:val="0"/>
          <w:marTop w:val="0"/>
          <w:marBottom w:val="101"/>
          <w:divBdr>
            <w:top w:val="none" w:sz="0" w:space="0" w:color="auto"/>
            <w:left w:val="none" w:sz="0" w:space="0" w:color="auto"/>
            <w:bottom w:val="none" w:sz="0" w:space="0" w:color="auto"/>
            <w:right w:val="none" w:sz="0" w:space="0" w:color="auto"/>
          </w:divBdr>
        </w:div>
        <w:div w:id="1491212876">
          <w:marLeft w:val="1080"/>
          <w:marRight w:val="0"/>
          <w:marTop w:val="0"/>
          <w:marBottom w:val="101"/>
          <w:divBdr>
            <w:top w:val="none" w:sz="0" w:space="0" w:color="auto"/>
            <w:left w:val="none" w:sz="0" w:space="0" w:color="auto"/>
            <w:bottom w:val="none" w:sz="0" w:space="0" w:color="auto"/>
            <w:right w:val="none" w:sz="0" w:space="0" w:color="auto"/>
          </w:divBdr>
        </w:div>
        <w:div w:id="1840924384">
          <w:marLeft w:val="1080"/>
          <w:marRight w:val="0"/>
          <w:marTop w:val="0"/>
          <w:marBottom w:val="101"/>
          <w:divBdr>
            <w:top w:val="none" w:sz="0" w:space="0" w:color="auto"/>
            <w:left w:val="none" w:sz="0" w:space="0" w:color="auto"/>
            <w:bottom w:val="none" w:sz="0" w:space="0" w:color="auto"/>
            <w:right w:val="none" w:sz="0" w:space="0" w:color="auto"/>
          </w:divBdr>
        </w:div>
        <w:div w:id="220946321">
          <w:marLeft w:val="1080"/>
          <w:marRight w:val="0"/>
          <w:marTop w:val="0"/>
          <w:marBottom w:val="101"/>
          <w:divBdr>
            <w:top w:val="none" w:sz="0" w:space="0" w:color="auto"/>
            <w:left w:val="none" w:sz="0" w:space="0" w:color="auto"/>
            <w:bottom w:val="none" w:sz="0" w:space="0" w:color="auto"/>
            <w:right w:val="none" w:sz="0" w:space="0" w:color="auto"/>
          </w:divBdr>
        </w:div>
        <w:div w:id="1633974728">
          <w:marLeft w:val="1080"/>
          <w:marRight w:val="0"/>
          <w:marTop w:val="0"/>
          <w:marBottom w:val="101"/>
          <w:divBdr>
            <w:top w:val="none" w:sz="0" w:space="0" w:color="auto"/>
            <w:left w:val="none" w:sz="0" w:space="0" w:color="auto"/>
            <w:bottom w:val="none" w:sz="0" w:space="0" w:color="auto"/>
            <w:right w:val="none" w:sz="0" w:space="0" w:color="auto"/>
          </w:divBdr>
        </w:div>
        <w:div w:id="257064843">
          <w:marLeft w:val="1080"/>
          <w:marRight w:val="0"/>
          <w:marTop w:val="0"/>
          <w:marBottom w:val="101"/>
          <w:divBdr>
            <w:top w:val="none" w:sz="0" w:space="0" w:color="auto"/>
            <w:left w:val="none" w:sz="0" w:space="0" w:color="auto"/>
            <w:bottom w:val="none" w:sz="0" w:space="0" w:color="auto"/>
            <w:right w:val="none" w:sz="0" w:space="0" w:color="auto"/>
          </w:divBdr>
        </w:div>
        <w:div w:id="933318797">
          <w:marLeft w:val="1080"/>
          <w:marRight w:val="0"/>
          <w:marTop w:val="0"/>
          <w:marBottom w:val="101"/>
          <w:divBdr>
            <w:top w:val="none" w:sz="0" w:space="0" w:color="auto"/>
            <w:left w:val="none" w:sz="0" w:space="0" w:color="auto"/>
            <w:bottom w:val="none" w:sz="0" w:space="0" w:color="auto"/>
            <w:right w:val="none" w:sz="0" w:space="0" w:color="auto"/>
          </w:divBdr>
        </w:div>
        <w:div w:id="1243637662">
          <w:marLeft w:val="1080"/>
          <w:marRight w:val="0"/>
          <w:marTop w:val="0"/>
          <w:marBottom w:val="101"/>
          <w:divBdr>
            <w:top w:val="none" w:sz="0" w:space="0" w:color="auto"/>
            <w:left w:val="none" w:sz="0" w:space="0" w:color="auto"/>
            <w:bottom w:val="none" w:sz="0" w:space="0" w:color="auto"/>
            <w:right w:val="none" w:sz="0" w:space="0" w:color="auto"/>
          </w:divBdr>
        </w:div>
        <w:div w:id="1277059542">
          <w:marLeft w:val="1080"/>
          <w:marRight w:val="0"/>
          <w:marTop w:val="0"/>
          <w:marBottom w:val="101"/>
          <w:divBdr>
            <w:top w:val="none" w:sz="0" w:space="0" w:color="auto"/>
            <w:left w:val="none" w:sz="0" w:space="0" w:color="auto"/>
            <w:bottom w:val="none" w:sz="0" w:space="0" w:color="auto"/>
            <w:right w:val="none" w:sz="0" w:space="0" w:color="auto"/>
          </w:divBdr>
        </w:div>
        <w:div w:id="1680233237">
          <w:marLeft w:val="1080"/>
          <w:marRight w:val="0"/>
          <w:marTop w:val="0"/>
          <w:marBottom w:val="101"/>
          <w:divBdr>
            <w:top w:val="none" w:sz="0" w:space="0" w:color="auto"/>
            <w:left w:val="none" w:sz="0" w:space="0" w:color="auto"/>
            <w:bottom w:val="none" w:sz="0" w:space="0" w:color="auto"/>
            <w:right w:val="none" w:sz="0" w:space="0" w:color="auto"/>
          </w:divBdr>
        </w:div>
        <w:div w:id="1765999047">
          <w:marLeft w:val="1080"/>
          <w:marRight w:val="0"/>
          <w:marTop w:val="0"/>
          <w:marBottom w:val="101"/>
          <w:divBdr>
            <w:top w:val="none" w:sz="0" w:space="0" w:color="auto"/>
            <w:left w:val="none" w:sz="0" w:space="0" w:color="auto"/>
            <w:bottom w:val="none" w:sz="0" w:space="0" w:color="auto"/>
            <w:right w:val="none" w:sz="0" w:space="0" w:color="auto"/>
          </w:divBdr>
        </w:div>
        <w:div w:id="904802914">
          <w:marLeft w:val="0"/>
          <w:marRight w:val="0"/>
          <w:marTop w:val="0"/>
          <w:marBottom w:val="101"/>
          <w:divBdr>
            <w:top w:val="none" w:sz="0" w:space="0" w:color="auto"/>
            <w:left w:val="none" w:sz="0" w:space="0" w:color="auto"/>
            <w:bottom w:val="none" w:sz="0" w:space="0" w:color="auto"/>
            <w:right w:val="none" w:sz="0" w:space="0" w:color="auto"/>
          </w:divBdr>
        </w:div>
        <w:div w:id="1838381441">
          <w:marLeft w:val="720"/>
          <w:marRight w:val="0"/>
          <w:marTop w:val="0"/>
          <w:marBottom w:val="101"/>
          <w:divBdr>
            <w:top w:val="none" w:sz="0" w:space="0" w:color="auto"/>
            <w:left w:val="none" w:sz="0" w:space="0" w:color="auto"/>
            <w:bottom w:val="none" w:sz="0" w:space="0" w:color="auto"/>
            <w:right w:val="none" w:sz="0" w:space="0" w:color="auto"/>
          </w:divBdr>
        </w:div>
        <w:div w:id="76219724">
          <w:marLeft w:val="1080"/>
          <w:marRight w:val="0"/>
          <w:marTop w:val="0"/>
          <w:marBottom w:val="101"/>
          <w:divBdr>
            <w:top w:val="none" w:sz="0" w:space="0" w:color="auto"/>
            <w:left w:val="none" w:sz="0" w:space="0" w:color="auto"/>
            <w:bottom w:val="none" w:sz="0" w:space="0" w:color="auto"/>
            <w:right w:val="none" w:sz="0" w:space="0" w:color="auto"/>
          </w:divBdr>
        </w:div>
        <w:div w:id="1150247897">
          <w:marLeft w:val="1526"/>
          <w:marRight w:val="0"/>
          <w:marTop w:val="0"/>
          <w:marBottom w:val="101"/>
          <w:divBdr>
            <w:top w:val="none" w:sz="0" w:space="0" w:color="auto"/>
            <w:left w:val="none" w:sz="0" w:space="0" w:color="auto"/>
            <w:bottom w:val="none" w:sz="0" w:space="0" w:color="auto"/>
            <w:right w:val="none" w:sz="0" w:space="0" w:color="auto"/>
          </w:divBdr>
        </w:div>
        <w:div w:id="556891714">
          <w:marLeft w:val="1526"/>
          <w:marRight w:val="0"/>
          <w:marTop w:val="0"/>
          <w:marBottom w:val="101"/>
          <w:divBdr>
            <w:top w:val="none" w:sz="0" w:space="0" w:color="auto"/>
            <w:left w:val="none" w:sz="0" w:space="0" w:color="auto"/>
            <w:bottom w:val="none" w:sz="0" w:space="0" w:color="auto"/>
            <w:right w:val="none" w:sz="0" w:space="0" w:color="auto"/>
          </w:divBdr>
        </w:div>
        <w:div w:id="1761681626">
          <w:marLeft w:val="1526"/>
          <w:marRight w:val="0"/>
          <w:marTop w:val="0"/>
          <w:marBottom w:val="101"/>
          <w:divBdr>
            <w:top w:val="none" w:sz="0" w:space="0" w:color="auto"/>
            <w:left w:val="none" w:sz="0" w:space="0" w:color="auto"/>
            <w:bottom w:val="none" w:sz="0" w:space="0" w:color="auto"/>
            <w:right w:val="none" w:sz="0" w:space="0" w:color="auto"/>
          </w:divBdr>
        </w:div>
        <w:div w:id="1839222874">
          <w:marLeft w:val="1526"/>
          <w:marRight w:val="0"/>
          <w:marTop w:val="0"/>
          <w:marBottom w:val="101"/>
          <w:divBdr>
            <w:top w:val="none" w:sz="0" w:space="0" w:color="auto"/>
            <w:left w:val="none" w:sz="0" w:space="0" w:color="auto"/>
            <w:bottom w:val="none" w:sz="0" w:space="0" w:color="auto"/>
            <w:right w:val="none" w:sz="0" w:space="0" w:color="auto"/>
          </w:divBdr>
        </w:div>
        <w:div w:id="535000338">
          <w:marLeft w:val="1080"/>
          <w:marRight w:val="0"/>
          <w:marTop w:val="0"/>
          <w:marBottom w:val="101"/>
          <w:divBdr>
            <w:top w:val="none" w:sz="0" w:space="0" w:color="auto"/>
            <w:left w:val="none" w:sz="0" w:space="0" w:color="auto"/>
            <w:bottom w:val="none" w:sz="0" w:space="0" w:color="auto"/>
            <w:right w:val="none" w:sz="0" w:space="0" w:color="auto"/>
          </w:divBdr>
        </w:div>
        <w:div w:id="1466893066">
          <w:marLeft w:val="1080"/>
          <w:marRight w:val="0"/>
          <w:marTop w:val="0"/>
          <w:marBottom w:val="101"/>
          <w:divBdr>
            <w:top w:val="none" w:sz="0" w:space="0" w:color="auto"/>
            <w:left w:val="none" w:sz="0" w:space="0" w:color="auto"/>
            <w:bottom w:val="none" w:sz="0" w:space="0" w:color="auto"/>
            <w:right w:val="none" w:sz="0" w:space="0" w:color="auto"/>
          </w:divBdr>
        </w:div>
        <w:div w:id="537669900">
          <w:marLeft w:val="1526"/>
          <w:marRight w:val="0"/>
          <w:marTop w:val="0"/>
          <w:marBottom w:val="101"/>
          <w:divBdr>
            <w:top w:val="none" w:sz="0" w:space="0" w:color="auto"/>
            <w:left w:val="none" w:sz="0" w:space="0" w:color="auto"/>
            <w:bottom w:val="none" w:sz="0" w:space="0" w:color="auto"/>
            <w:right w:val="none" w:sz="0" w:space="0" w:color="auto"/>
          </w:divBdr>
        </w:div>
        <w:div w:id="1029524832">
          <w:marLeft w:val="1526"/>
          <w:marRight w:val="0"/>
          <w:marTop w:val="0"/>
          <w:marBottom w:val="101"/>
          <w:divBdr>
            <w:top w:val="none" w:sz="0" w:space="0" w:color="auto"/>
            <w:left w:val="none" w:sz="0" w:space="0" w:color="auto"/>
            <w:bottom w:val="none" w:sz="0" w:space="0" w:color="auto"/>
            <w:right w:val="none" w:sz="0" w:space="0" w:color="auto"/>
          </w:divBdr>
        </w:div>
        <w:div w:id="158278373">
          <w:marLeft w:val="1526"/>
          <w:marRight w:val="0"/>
          <w:marTop w:val="0"/>
          <w:marBottom w:val="101"/>
          <w:divBdr>
            <w:top w:val="none" w:sz="0" w:space="0" w:color="auto"/>
            <w:left w:val="none" w:sz="0" w:space="0" w:color="auto"/>
            <w:bottom w:val="none" w:sz="0" w:space="0" w:color="auto"/>
            <w:right w:val="none" w:sz="0" w:space="0" w:color="auto"/>
          </w:divBdr>
        </w:div>
        <w:div w:id="1264649147">
          <w:marLeft w:val="1080"/>
          <w:marRight w:val="0"/>
          <w:marTop w:val="0"/>
          <w:marBottom w:val="101"/>
          <w:divBdr>
            <w:top w:val="none" w:sz="0" w:space="0" w:color="auto"/>
            <w:left w:val="none" w:sz="0" w:space="0" w:color="auto"/>
            <w:bottom w:val="none" w:sz="0" w:space="0" w:color="auto"/>
            <w:right w:val="none" w:sz="0" w:space="0" w:color="auto"/>
          </w:divBdr>
        </w:div>
        <w:div w:id="919565296">
          <w:marLeft w:val="1526"/>
          <w:marRight w:val="0"/>
          <w:marTop w:val="0"/>
          <w:marBottom w:val="101"/>
          <w:divBdr>
            <w:top w:val="none" w:sz="0" w:space="0" w:color="auto"/>
            <w:left w:val="none" w:sz="0" w:space="0" w:color="auto"/>
            <w:bottom w:val="none" w:sz="0" w:space="0" w:color="auto"/>
            <w:right w:val="none" w:sz="0" w:space="0" w:color="auto"/>
          </w:divBdr>
        </w:div>
        <w:div w:id="1479110610">
          <w:marLeft w:val="1526"/>
          <w:marRight w:val="0"/>
          <w:marTop w:val="0"/>
          <w:marBottom w:val="101"/>
          <w:divBdr>
            <w:top w:val="none" w:sz="0" w:space="0" w:color="auto"/>
            <w:left w:val="none" w:sz="0" w:space="0" w:color="auto"/>
            <w:bottom w:val="none" w:sz="0" w:space="0" w:color="auto"/>
            <w:right w:val="none" w:sz="0" w:space="0" w:color="auto"/>
          </w:divBdr>
        </w:div>
        <w:div w:id="2021931675">
          <w:marLeft w:val="1526"/>
          <w:marRight w:val="0"/>
          <w:marTop w:val="0"/>
          <w:marBottom w:val="101"/>
          <w:divBdr>
            <w:top w:val="none" w:sz="0" w:space="0" w:color="auto"/>
            <w:left w:val="none" w:sz="0" w:space="0" w:color="auto"/>
            <w:bottom w:val="none" w:sz="0" w:space="0" w:color="auto"/>
            <w:right w:val="none" w:sz="0" w:space="0" w:color="auto"/>
          </w:divBdr>
        </w:div>
        <w:div w:id="1618680405">
          <w:marLeft w:val="1526"/>
          <w:marRight w:val="0"/>
          <w:marTop w:val="0"/>
          <w:marBottom w:val="101"/>
          <w:divBdr>
            <w:top w:val="none" w:sz="0" w:space="0" w:color="auto"/>
            <w:left w:val="none" w:sz="0" w:space="0" w:color="auto"/>
            <w:bottom w:val="none" w:sz="0" w:space="0" w:color="auto"/>
            <w:right w:val="none" w:sz="0" w:space="0" w:color="auto"/>
          </w:divBdr>
        </w:div>
        <w:div w:id="856888374">
          <w:marLeft w:val="1526"/>
          <w:marRight w:val="0"/>
          <w:marTop w:val="0"/>
          <w:marBottom w:val="101"/>
          <w:divBdr>
            <w:top w:val="none" w:sz="0" w:space="0" w:color="auto"/>
            <w:left w:val="none" w:sz="0" w:space="0" w:color="auto"/>
            <w:bottom w:val="none" w:sz="0" w:space="0" w:color="auto"/>
            <w:right w:val="none" w:sz="0" w:space="0" w:color="auto"/>
          </w:divBdr>
        </w:div>
        <w:div w:id="1685279238">
          <w:marLeft w:val="1080"/>
          <w:marRight w:val="0"/>
          <w:marTop w:val="0"/>
          <w:marBottom w:val="101"/>
          <w:divBdr>
            <w:top w:val="none" w:sz="0" w:space="0" w:color="auto"/>
            <w:left w:val="none" w:sz="0" w:space="0" w:color="auto"/>
            <w:bottom w:val="none" w:sz="0" w:space="0" w:color="auto"/>
            <w:right w:val="none" w:sz="0" w:space="0" w:color="auto"/>
          </w:divBdr>
        </w:div>
        <w:div w:id="1192376017">
          <w:marLeft w:val="1526"/>
          <w:marRight w:val="0"/>
          <w:marTop w:val="0"/>
          <w:marBottom w:val="101"/>
          <w:divBdr>
            <w:top w:val="none" w:sz="0" w:space="0" w:color="auto"/>
            <w:left w:val="none" w:sz="0" w:space="0" w:color="auto"/>
            <w:bottom w:val="none" w:sz="0" w:space="0" w:color="auto"/>
            <w:right w:val="none" w:sz="0" w:space="0" w:color="auto"/>
          </w:divBdr>
        </w:div>
        <w:div w:id="305091354">
          <w:marLeft w:val="1958"/>
          <w:marRight w:val="0"/>
          <w:marTop w:val="0"/>
          <w:marBottom w:val="101"/>
          <w:divBdr>
            <w:top w:val="none" w:sz="0" w:space="0" w:color="auto"/>
            <w:left w:val="none" w:sz="0" w:space="0" w:color="auto"/>
            <w:bottom w:val="none" w:sz="0" w:space="0" w:color="auto"/>
            <w:right w:val="none" w:sz="0" w:space="0" w:color="auto"/>
          </w:divBdr>
        </w:div>
        <w:div w:id="712733615">
          <w:marLeft w:val="1958"/>
          <w:marRight w:val="0"/>
          <w:marTop w:val="0"/>
          <w:marBottom w:val="101"/>
          <w:divBdr>
            <w:top w:val="none" w:sz="0" w:space="0" w:color="auto"/>
            <w:left w:val="none" w:sz="0" w:space="0" w:color="auto"/>
            <w:bottom w:val="none" w:sz="0" w:space="0" w:color="auto"/>
            <w:right w:val="none" w:sz="0" w:space="0" w:color="auto"/>
          </w:divBdr>
        </w:div>
        <w:div w:id="724108964">
          <w:marLeft w:val="1526"/>
          <w:marRight w:val="0"/>
          <w:marTop w:val="0"/>
          <w:marBottom w:val="101"/>
          <w:divBdr>
            <w:top w:val="none" w:sz="0" w:space="0" w:color="auto"/>
            <w:left w:val="none" w:sz="0" w:space="0" w:color="auto"/>
            <w:bottom w:val="none" w:sz="0" w:space="0" w:color="auto"/>
            <w:right w:val="none" w:sz="0" w:space="0" w:color="auto"/>
          </w:divBdr>
        </w:div>
        <w:div w:id="1260486470">
          <w:marLeft w:val="1958"/>
          <w:marRight w:val="0"/>
          <w:marTop w:val="0"/>
          <w:marBottom w:val="101"/>
          <w:divBdr>
            <w:top w:val="none" w:sz="0" w:space="0" w:color="auto"/>
            <w:left w:val="none" w:sz="0" w:space="0" w:color="auto"/>
            <w:bottom w:val="none" w:sz="0" w:space="0" w:color="auto"/>
            <w:right w:val="none" w:sz="0" w:space="0" w:color="auto"/>
          </w:divBdr>
        </w:div>
        <w:div w:id="1571768956">
          <w:marLeft w:val="1958"/>
          <w:marRight w:val="0"/>
          <w:marTop w:val="0"/>
          <w:marBottom w:val="101"/>
          <w:divBdr>
            <w:top w:val="none" w:sz="0" w:space="0" w:color="auto"/>
            <w:left w:val="none" w:sz="0" w:space="0" w:color="auto"/>
            <w:bottom w:val="none" w:sz="0" w:space="0" w:color="auto"/>
            <w:right w:val="none" w:sz="0" w:space="0" w:color="auto"/>
          </w:divBdr>
        </w:div>
        <w:div w:id="81343895">
          <w:marLeft w:val="1080"/>
          <w:marRight w:val="0"/>
          <w:marTop w:val="0"/>
          <w:marBottom w:val="101"/>
          <w:divBdr>
            <w:top w:val="none" w:sz="0" w:space="0" w:color="auto"/>
            <w:left w:val="none" w:sz="0" w:space="0" w:color="auto"/>
            <w:bottom w:val="none" w:sz="0" w:space="0" w:color="auto"/>
            <w:right w:val="none" w:sz="0" w:space="0" w:color="auto"/>
          </w:divBdr>
        </w:div>
        <w:div w:id="139538311">
          <w:marLeft w:val="1526"/>
          <w:marRight w:val="0"/>
          <w:marTop w:val="0"/>
          <w:marBottom w:val="101"/>
          <w:divBdr>
            <w:top w:val="none" w:sz="0" w:space="0" w:color="auto"/>
            <w:left w:val="none" w:sz="0" w:space="0" w:color="auto"/>
            <w:bottom w:val="none" w:sz="0" w:space="0" w:color="auto"/>
            <w:right w:val="none" w:sz="0" w:space="0" w:color="auto"/>
          </w:divBdr>
        </w:div>
        <w:div w:id="1729913165">
          <w:marLeft w:val="1958"/>
          <w:marRight w:val="0"/>
          <w:marTop w:val="0"/>
          <w:marBottom w:val="101"/>
          <w:divBdr>
            <w:top w:val="none" w:sz="0" w:space="0" w:color="auto"/>
            <w:left w:val="none" w:sz="0" w:space="0" w:color="auto"/>
            <w:bottom w:val="none" w:sz="0" w:space="0" w:color="auto"/>
            <w:right w:val="none" w:sz="0" w:space="0" w:color="auto"/>
          </w:divBdr>
        </w:div>
        <w:div w:id="2091997031">
          <w:marLeft w:val="1958"/>
          <w:marRight w:val="0"/>
          <w:marTop w:val="0"/>
          <w:marBottom w:val="101"/>
          <w:divBdr>
            <w:top w:val="none" w:sz="0" w:space="0" w:color="auto"/>
            <w:left w:val="none" w:sz="0" w:space="0" w:color="auto"/>
            <w:bottom w:val="none" w:sz="0" w:space="0" w:color="auto"/>
            <w:right w:val="none" w:sz="0" w:space="0" w:color="auto"/>
          </w:divBdr>
        </w:div>
        <w:div w:id="773983054">
          <w:marLeft w:val="1958"/>
          <w:marRight w:val="0"/>
          <w:marTop w:val="0"/>
          <w:marBottom w:val="101"/>
          <w:divBdr>
            <w:top w:val="none" w:sz="0" w:space="0" w:color="auto"/>
            <w:left w:val="none" w:sz="0" w:space="0" w:color="auto"/>
            <w:bottom w:val="none" w:sz="0" w:space="0" w:color="auto"/>
            <w:right w:val="none" w:sz="0" w:space="0" w:color="auto"/>
          </w:divBdr>
        </w:div>
        <w:div w:id="816802368">
          <w:marLeft w:val="1958"/>
          <w:marRight w:val="0"/>
          <w:marTop w:val="0"/>
          <w:marBottom w:val="101"/>
          <w:divBdr>
            <w:top w:val="none" w:sz="0" w:space="0" w:color="auto"/>
            <w:left w:val="none" w:sz="0" w:space="0" w:color="auto"/>
            <w:bottom w:val="none" w:sz="0" w:space="0" w:color="auto"/>
            <w:right w:val="none" w:sz="0" w:space="0" w:color="auto"/>
          </w:divBdr>
        </w:div>
        <w:div w:id="1018509707">
          <w:marLeft w:val="1526"/>
          <w:marRight w:val="0"/>
          <w:marTop w:val="0"/>
          <w:marBottom w:val="101"/>
          <w:divBdr>
            <w:top w:val="none" w:sz="0" w:space="0" w:color="auto"/>
            <w:left w:val="none" w:sz="0" w:space="0" w:color="auto"/>
            <w:bottom w:val="none" w:sz="0" w:space="0" w:color="auto"/>
            <w:right w:val="none" w:sz="0" w:space="0" w:color="auto"/>
          </w:divBdr>
        </w:div>
        <w:div w:id="605574009">
          <w:marLeft w:val="1526"/>
          <w:marRight w:val="0"/>
          <w:marTop w:val="0"/>
          <w:marBottom w:val="101"/>
          <w:divBdr>
            <w:top w:val="none" w:sz="0" w:space="0" w:color="auto"/>
            <w:left w:val="none" w:sz="0" w:space="0" w:color="auto"/>
            <w:bottom w:val="none" w:sz="0" w:space="0" w:color="auto"/>
            <w:right w:val="none" w:sz="0" w:space="0" w:color="auto"/>
          </w:divBdr>
        </w:div>
        <w:div w:id="1711176613">
          <w:marLeft w:val="1958"/>
          <w:marRight w:val="0"/>
          <w:marTop w:val="0"/>
          <w:marBottom w:val="101"/>
          <w:divBdr>
            <w:top w:val="none" w:sz="0" w:space="0" w:color="auto"/>
            <w:left w:val="none" w:sz="0" w:space="0" w:color="auto"/>
            <w:bottom w:val="none" w:sz="0" w:space="0" w:color="auto"/>
            <w:right w:val="none" w:sz="0" w:space="0" w:color="auto"/>
          </w:divBdr>
        </w:div>
        <w:div w:id="644898341">
          <w:marLeft w:val="1958"/>
          <w:marRight w:val="0"/>
          <w:marTop w:val="0"/>
          <w:marBottom w:val="101"/>
          <w:divBdr>
            <w:top w:val="none" w:sz="0" w:space="0" w:color="auto"/>
            <w:left w:val="none" w:sz="0" w:space="0" w:color="auto"/>
            <w:bottom w:val="none" w:sz="0" w:space="0" w:color="auto"/>
            <w:right w:val="none" w:sz="0" w:space="0" w:color="auto"/>
          </w:divBdr>
        </w:div>
        <w:div w:id="1308126072">
          <w:marLeft w:val="1958"/>
          <w:marRight w:val="0"/>
          <w:marTop w:val="0"/>
          <w:marBottom w:val="101"/>
          <w:divBdr>
            <w:top w:val="none" w:sz="0" w:space="0" w:color="auto"/>
            <w:left w:val="none" w:sz="0" w:space="0" w:color="auto"/>
            <w:bottom w:val="none" w:sz="0" w:space="0" w:color="auto"/>
            <w:right w:val="none" w:sz="0" w:space="0" w:color="auto"/>
          </w:divBdr>
        </w:div>
        <w:div w:id="162475093">
          <w:marLeft w:val="1958"/>
          <w:marRight w:val="0"/>
          <w:marTop w:val="0"/>
          <w:marBottom w:val="101"/>
          <w:divBdr>
            <w:top w:val="none" w:sz="0" w:space="0" w:color="auto"/>
            <w:left w:val="none" w:sz="0" w:space="0" w:color="auto"/>
            <w:bottom w:val="none" w:sz="0" w:space="0" w:color="auto"/>
            <w:right w:val="none" w:sz="0" w:space="0" w:color="auto"/>
          </w:divBdr>
        </w:div>
        <w:div w:id="1112625157">
          <w:marLeft w:val="1526"/>
          <w:marRight w:val="0"/>
          <w:marTop w:val="0"/>
          <w:marBottom w:val="101"/>
          <w:divBdr>
            <w:top w:val="none" w:sz="0" w:space="0" w:color="auto"/>
            <w:left w:val="none" w:sz="0" w:space="0" w:color="auto"/>
            <w:bottom w:val="none" w:sz="0" w:space="0" w:color="auto"/>
            <w:right w:val="none" w:sz="0" w:space="0" w:color="auto"/>
          </w:divBdr>
        </w:div>
        <w:div w:id="1594360743">
          <w:marLeft w:val="1958"/>
          <w:marRight w:val="0"/>
          <w:marTop w:val="0"/>
          <w:marBottom w:val="101"/>
          <w:divBdr>
            <w:top w:val="none" w:sz="0" w:space="0" w:color="auto"/>
            <w:left w:val="none" w:sz="0" w:space="0" w:color="auto"/>
            <w:bottom w:val="none" w:sz="0" w:space="0" w:color="auto"/>
            <w:right w:val="none" w:sz="0" w:space="0" w:color="auto"/>
          </w:divBdr>
        </w:div>
        <w:div w:id="612327340">
          <w:marLeft w:val="1958"/>
          <w:marRight w:val="0"/>
          <w:marTop w:val="0"/>
          <w:marBottom w:val="101"/>
          <w:divBdr>
            <w:top w:val="none" w:sz="0" w:space="0" w:color="auto"/>
            <w:left w:val="none" w:sz="0" w:space="0" w:color="auto"/>
            <w:bottom w:val="none" w:sz="0" w:space="0" w:color="auto"/>
            <w:right w:val="none" w:sz="0" w:space="0" w:color="auto"/>
          </w:divBdr>
        </w:div>
        <w:div w:id="1940327891">
          <w:marLeft w:val="1958"/>
          <w:marRight w:val="0"/>
          <w:marTop w:val="0"/>
          <w:marBottom w:val="101"/>
          <w:divBdr>
            <w:top w:val="none" w:sz="0" w:space="0" w:color="auto"/>
            <w:left w:val="none" w:sz="0" w:space="0" w:color="auto"/>
            <w:bottom w:val="none" w:sz="0" w:space="0" w:color="auto"/>
            <w:right w:val="none" w:sz="0" w:space="0" w:color="auto"/>
          </w:divBdr>
        </w:div>
        <w:div w:id="1420247536">
          <w:marLeft w:val="1958"/>
          <w:marRight w:val="0"/>
          <w:marTop w:val="0"/>
          <w:marBottom w:val="101"/>
          <w:divBdr>
            <w:top w:val="none" w:sz="0" w:space="0" w:color="auto"/>
            <w:left w:val="none" w:sz="0" w:space="0" w:color="auto"/>
            <w:bottom w:val="none" w:sz="0" w:space="0" w:color="auto"/>
            <w:right w:val="none" w:sz="0" w:space="0" w:color="auto"/>
          </w:divBdr>
        </w:div>
        <w:div w:id="744381997">
          <w:marLeft w:val="1958"/>
          <w:marRight w:val="0"/>
          <w:marTop w:val="0"/>
          <w:marBottom w:val="101"/>
          <w:divBdr>
            <w:top w:val="none" w:sz="0" w:space="0" w:color="auto"/>
            <w:left w:val="none" w:sz="0" w:space="0" w:color="auto"/>
            <w:bottom w:val="none" w:sz="0" w:space="0" w:color="auto"/>
            <w:right w:val="none" w:sz="0" w:space="0" w:color="auto"/>
          </w:divBdr>
        </w:div>
        <w:div w:id="161046733">
          <w:marLeft w:val="720"/>
          <w:marRight w:val="0"/>
          <w:marTop w:val="0"/>
          <w:marBottom w:val="101"/>
          <w:divBdr>
            <w:top w:val="none" w:sz="0" w:space="0" w:color="auto"/>
            <w:left w:val="none" w:sz="0" w:space="0" w:color="auto"/>
            <w:bottom w:val="none" w:sz="0" w:space="0" w:color="auto"/>
            <w:right w:val="none" w:sz="0" w:space="0" w:color="auto"/>
          </w:divBdr>
        </w:div>
        <w:div w:id="978143540">
          <w:marLeft w:val="720"/>
          <w:marRight w:val="0"/>
          <w:marTop w:val="0"/>
          <w:marBottom w:val="101"/>
          <w:divBdr>
            <w:top w:val="none" w:sz="0" w:space="0" w:color="auto"/>
            <w:left w:val="none" w:sz="0" w:space="0" w:color="auto"/>
            <w:bottom w:val="none" w:sz="0" w:space="0" w:color="auto"/>
            <w:right w:val="none" w:sz="0" w:space="0" w:color="auto"/>
          </w:divBdr>
        </w:div>
        <w:div w:id="1757479216">
          <w:marLeft w:val="720"/>
          <w:marRight w:val="0"/>
          <w:marTop w:val="0"/>
          <w:marBottom w:val="101"/>
          <w:divBdr>
            <w:top w:val="none" w:sz="0" w:space="0" w:color="auto"/>
            <w:left w:val="none" w:sz="0" w:space="0" w:color="auto"/>
            <w:bottom w:val="none" w:sz="0" w:space="0" w:color="auto"/>
            <w:right w:val="none" w:sz="0" w:space="0" w:color="auto"/>
          </w:divBdr>
        </w:div>
        <w:div w:id="322587597">
          <w:marLeft w:val="1080"/>
          <w:marRight w:val="0"/>
          <w:marTop w:val="0"/>
          <w:marBottom w:val="101"/>
          <w:divBdr>
            <w:top w:val="none" w:sz="0" w:space="0" w:color="auto"/>
            <w:left w:val="none" w:sz="0" w:space="0" w:color="auto"/>
            <w:bottom w:val="none" w:sz="0" w:space="0" w:color="auto"/>
            <w:right w:val="none" w:sz="0" w:space="0" w:color="auto"/>
          </w:divBdr>
        </w:div>
        <w:div w:id="439372774">
          <w:marLeft w:val="1080"/>
          <w:marRight w:val="0"/>
          <w:marTop w:val="0"/>
          <w:marBottom w:val="101"/>
          <w:divBdr>
            <w:top w:val="none" w:sz="0" w:space="0" w:color="auto"/>
            <w:left w:val="none" w:sz="0" w:space="0" w:color="auto"/>
            <w:bottom w:val="none" w:sz="0" w:space="0" w:color="auto"/>
            <w:right w:val="none" w:sz="0" w:space="0" w:color="auto"/>
          </w:divBdr>
        </w:div>
        <w:div w:id="1317152555">
          <w:marLeft w:val="1080"/>
          <w:marRight w:val="0"/>
          <w:marTop w:val="0"/>
          <w:marBottom w:val="101"/>
          <w:divBdr>
            <w:top w:val="none" w:sz="0" w:space="0" w:color="auto"/>
            <w:left w:val="none" w:sz="0" w:space="0" w:color="auto"/>
            <w:bottom w:val="none" w:sz="0" w:space="0" w:color="auto"/>
            <w:right w:val="none" w:sz="0" w:space="0" w:color="auto"/>
          </w:divBdr>
        </w:div>
        <w:div w:id="887448501">
          <w:marLeft w:val="1526"/>
          <w:marRight w:val="0"/>
          <w:marTop w:val="0"/>
          <w:marBottom w:val="101"/>
          <w:divBdr>
            <w:top w:val="none" w:sz="0" w:space="0" w:color="auto"/>
            <w:left w:val="none" w:sz="0" w:space="0" w:color="auto"/>
            <w:bottom w:val="none" w:sz="0" w:space="0" w:color="auto"/>
            <w:right w:val="none" w:sz="0" w:space="0" w:color="auto"/>
          </w:divBdr>
        </w:div>
        <w:div w:id="783961362">
          <w:marLeft w:val="1958"/>
          <w:marRight w:val="0"/>
          <w:marTop w:val="0"/>
          <w:marBottom w:val="101"/>
          <w:divBdr>
            <w:top w:val="none" w:sz="0" w:space="0" w:color="auto"/>
            <w:left w:val="none" w:sz="0" w:space="0" w:color="auto"/>
            <w:bottom w:val="none" w:sz="0" w:space="0" w:color="auto"/>
            <w:right w:val="none" w:sz="0" w:space="0" w:color="auto"/>
          </w:divBdr>
        </w:div>
        <w:div w:id="1291863291">
          <w:marLeft w:val="1958"/>
          <w:marRight w:val="0"/>
          <w:marTop w:val="0"/>
          <w:marBottom w:val="101"/>
          <w:divBdr>
            <w:top w:val="none" w:sz="0" w:space="0" w:color="auto"/>
            <w:left w:val="none" w:sz="0" w:space="0" w:color="auto"/>
            <w:bottom w:val="none" w:sz="0" w:space="0" w:color="auto"/>
            <w:right w:val="none" w:sz="0" w:space="0" w:color="auto"/>
          </w:divBdr>
        </w:div>
        <w:div w:id="1528257869">
          <w:marLeft w:val="1958"/>
          <w:marRight w:val="0"/>
          <w:marTop w:val="0"/>
          <w:marBottom w:val="101"/>
          <w:divBdr>
            <w:top w:val="none" w:sz="0" w:space="0" w:color="auto"/>
            <w:left w:val="none" w:sz="0" w:space="0" w:color="auto"/>
            <w:bottom w:val="none" w:sz="0" w:space="0" w:color="auto"/>
            <w:right w:val="none" w:sz="0" w:space="0" w:color="auto"/>
          </w:divBdr>
        </w:div>
        <w:div w:id="2062443057">
          <w:marLeft w:val="1526"/>
          <w:marRight w:val="0"/>
          <w:marTop w:val="0"/>
          <w:marBottom w:val="101"/>
          <w:divBdr>
            <w:top w:val="none" w:sz="0" w:space="0" w:color="auto"/>
            <w:left w:val="none" w:sz="0" w:space="0" w:color="auto"/>
            <w:bottom w:val="none" w:sz="0" w:space="0" w:color="auto"/>
            <w:right w:val="none" w:sz="0" w:space="0" w:color="auto"/>
          </w:divBdr>
        </w:div>
        <w:div w:id="578829789">
          <w:marLeft w:val="1526"/>
          <w:marRight w:val="0"/>
          <w:marTop w:val="0"/>
          <w:marBottom w:val="101"/>
          <w:divBdr>
            <w:top w:val="none" w:sz="0" w:space="0" w:color="auto"/>
            <w:left w:val="none" w:sz="0" w:space="0" w:color="auto"/>
            <w:bottom w:val="none" w:sz="0" w:space="0" w:color="auto"/>
            <w:right w:val="none" w:sz="0" w:space="0" w:color="auto"/>
          </w:divBdr>
        </w:div>
        <w:div w:id="1947693083">
          <w:marLeft w:val="1526"/>
          <w:marRight w:val="0"/>
          <w:marTop w:val="0"/>
          <w:marBottom w:val="101"/>
          <w:divBdr>
            <w:top w:val="none" w:sz="0" w:space="0" w:color="auto"/>
            <w:left w:val="none" w:sz="0" w:space="0" w:color="auto"/>
            <w:bottom w:val="none" w:sz="0" w:space="0" w:color="auto"/>
            <w:right w:val="none" w:sz="0" w:space="0" w:color="auto"/>
          </w:divBdr>
        </w:div>
        <w:div w:id="1710295688">
          <w:marLeft w:val="1526"/>
          <w:marRight w:val="0"/>
          <w:marTop w:val="0"/>
          <w:marBottom w:val="101"/>
          <w:divBdr>
            <w:top w:val="none" w:sz="0" w:space="0" w:color="auto"/>
            <w:left w:val="none" w:sz="0" w:space="0" w:color="auto"/>
            <w:bottom w:val="none" w:sz="0" w:space="0" w:color="auto"/>
            <w:right w:val="none" w:sz="0" w:space="0" w:color="auto"/>
          </w:divBdr>
        </w:div>
        <w:div w:id="551965616">
          <w:marLeft w:val="1080"/>
          <w:marRight w:val="0"/>
          <w:marTop w:val="0"/>
          <w:marBottom w:val="97"/>
          <w:divBdr>
            <w:top w:val="none" w:sz="0" w:space="0" w:color="auto"/>
            <w:left w:val="none" w:sz="0" w:space="0" w:color="auto"/>
            <w:bottom w:val="none" w:sz="0" w:space="0" w:color="auto"/>
            <w:right w:val="none" w:sz="0" w:space="0" w:color="auto"/>
          </w:divBdr>
        </w:div>
        <w:div w:id="893539533">
          <w:marLeft w:val="1080"/>
          <w:marRight w:val="0"/>
          <w:marTop w:val="0"/>
          <w:marBottom w:val="97"/>
          <w:divBdr>
            <w:top w:val="none" w:sz="0" w:space="0" w:color="auto"/>
            <w:left w:val="none" w:sz="0" w:space="0" w:color="auto"/>
            <w:bottom w:val="none" w:sz="0" w:space="0" w:color="auto"/>
            <w:right w:val="none" w:sz="0" w:space="0" w:color="auto"/>
          </w:divBdr>
        </w:div>
        <w:div w:id="1608852654">
          <w:marLeft w:val="1080"/>
          <w:marRight w:val="0"/>
          <w:marTop w:val="0"/>
          <w:marBottom w:val="97"/>
          <w:divBdr>
            <w:top w:val="none" w:sz="0" w:space="0" w:color="auto"/>
            <w:left w:val="none" w:sz="0" w:space="0" w:color="auto"/>
            <w:bottom w:val="none" w:sz="0" w:space="0" w:color="auto"/>
            <w:right w:val="none" w:sz="0" w:space="0" w:color="auto"/>
          </w:divBdr>
        </w:div>
        <w:div w:id="1128234467">
          <w:marLeft w:val="720"/>
          <w:marRight w:val="0"/>
          <w:marTop w:val="0"/>
          <w:marBottom w:val="97"/>
          <w:divBdr>
            <w:top w:val="none" w:sz="0" w:space="0" w:color="auto"/>
            <w:left w:val="none" w:sz="0" w:space="0" w:color="auto"/>
            <w:bottom w:val="none" w:sz="0" w:space="0" w:color="auto"/>
            <w:right w:val="none" w:sz="0" w:space="0" w:color="auto"/>
          </w:divBdr>
        </w:div>
        <w:div w:id="673460311">
          <w:marLeft w:val="720"/>
          <w:marRight w:val="0"/>
          <w:marTop w:val="0"/>
          <w:marBottom w:val="97"/>
          <w:divBdr>
            <w:top w:val="none" w:sz="0" w:space="0" w:color="auto"/>
            <w:left w:val="none" w:sz="0" w:space="0" w:color="auto"/>
            <w:bottom w:val="none" w:sz="0" w:space="0" w:color="auto"/>
            <w:right w:val="none" w:sz="0" w:space="0" w:color="auto"/>
          </w:divBdr>
        </w:div>
        <w:div w:id="521091644">
          <w:marLeft w:val="720"/>
          <w:marRight w:val="0"/>
          <w:marTop w:val="0"/>
          <w:marBottom w:val="97"/>
          <w:divBdr>
            <w:top w:val="none" w:sz="0" w:space="0" w:color="auto"/>
            <w:left w:val="none" w:sz="0" w:space="0" w:color="auto"/>
            <w:bottom w:val="none" w:sz="0" w:space="0" w:color="auto"/>
            <w:right w:val="none" w:sz="0" w:space="0" w:color="auto"/>
          </w:divBdr>
        </w:div>
        <w:div w:id="474028954">
          <w:marLeft w:val="1080"/>
          <w:marRight w:val="0"/>
          <w:marTop w:val="0"/>
          <w:marBottom w:val="97"/>
          <w:divBdr>
            <w:top w:val="none" w:sz="0" w:space="0" w:color="auto"/>
            <w:left w:val="none" w:sz="0" w:space="0" w:color="auto"/>
            <w:bottom w:val="none" w:sz="0" w:space="0" w:color="auto"/>
            <w:right w:val="none" w:sz="0" w:space="0" w:color="auto"/>
          </w:divBdr>
        </w:div>
        <w:div w:id="1646857371">
          <w:marLeft w:val="1526"/>
          <w:marRight w:val="0"/>
          <w:marTop w:val="0"/>
          <w:marBottom w:val="97"/>
          <w:divBdr>
            <w:top w:val="none" w:sz="0" w:space="0" w:color="auto"/>
            <w:left w:val="none" w:sz="0" w:space="0" w:color="auto"/>
            <w:bottom w:val="none" w:sz="0" w:space="0" w:color="auto"/>
            <w:right w:val="none" w:sz="0" w:space="0" w:color="auto"/>
          </w:divBdr>
        </w:div>
        <w:div w:id="764570651">
          <w:marLeft w:val="1958"/>
          <w:marRight w:val="0"/>
          <w:marTop w:val="0"/>
          <w:marBottom w:val="97"/>
          <w:divBdr>
            <w:top w:val="none" w:sz="0" w:space="0" w:color="auto"/>
            <w:left w:val="none" w:sz="0" w:space="0" w:color="auto"/>
            <w:bottom w:val="none" w:sz="0" w:space="0" w:color="auto"/>
            <w:right w:val="none" w:sz="0" w:space="0" w:color="auto"/>
          </w:divBdr>
        </w:div>
        <w:div w:id="2088266593">
          <w:marLeft w:val="1958"/>
          <w:marRight w:val="0"/>
          <w:marTop w:val="0"/>
          <w:marBottom w:val="97"/>
          <w:divBdr>
            <w:top w:val="none" w:sz="0" w:space="0" w:color="auto"/>
            <w:left w:val="none" w:sz="0" w:space="0" w:color="auto"/>
            <w:bottom w:val="none" w:sz="0" w:space="0" w:color="auto"/>
            <w:right w:val="none" w:sz="0" w:space="0" w:color="auto"/>
          </w:divBdr>
        </w:div>
        <w:div w:id="274483036">
          <w:marLeft w:val="1958"/>
          <w:marRight w:val="0"/>
          <w:marTop w:val="0"/>
          <w:marBottom w:val="97"/>
          <w:divBdr>
            <w:top w:val="none" w:sz="0" w:space="0" w:color="auto"/>
            <w:left w:val="none" w:sz="0" w:space="0" w:color="auto"/>
            <w:bottom w:val="none" w:sz="0" w:space="0" w:color="auto"/>
            <w:right w:val="none" w:sz="0" w:space="0" w:color="auto"/>
          </w:divBdr>
        </w:div>
        <w:div w:id="528180602">
          <w:marLeft w:val="1958"/>
          <w:marRight w:val="0"/>
          <w:marTop w:val="0"/>
          <w:marBottom w:val="97"/>
          <w:divBdr>
            <w:top w:val="none" w:sz="0" w:space="0" w:color="auto"/>
            <w:left w:val="none" w:sz="0" w:space="0" w:color="auto"/>
            <w:bottom w:val="none" w:sz="0" w:space="0" w:color="auto"/>
            <w:right w:val="none" w:sz="0" w:space="0" w:color="auto"/>
          </w:divBdr>
        </w:div>
        <w:div w:id="244922436">
          <w:marLeft w:val="1958"/>
          <w:marRight w:val="0"/>
          <w:marTop w:val="0"/>
          <w:marBottom w:val="97"/>
          <w:divBdr>
            <w:top w:val="none" w:sz="0" w:space="0" w:color="auto"/>
            <w:left w:val="none" w:sz="0" w:space="0" w:color="auto"/>
            <w:bottom w:val="none" w:sz="0" w:space="0" w:color="auto"/>
            <w:right w:val="none" w:sz="0" w:space="0" w:color="auto"/>
          </w:divBdr>
        </w:div>
        <w:div w:id="828715465">
          <w:marLeft w:val="1958"/>
          <w:marRight w:val="0"/>
          <w:marTop w:val="0"/>
          <w:marBottom w:val="97"/>
          <w:divBdr>
            <w:top w:val="none" w:sz="0" w:space="0" w:color="auto"/>
            <w:left w:val="none" w:sz="0" w:space="0" w:color="auto"/>
            <w:bottom w:val="none" w:sz="0" w:space="0" w:color="auto"/>
            <w:right w:val="none" w:sz="0" w:space="0" w:color="auto"/>
          </w:divBdr>
        </w:div>
        <w:div w:id="315303027">
          <w:marLeft w:val="1526"/>
          <w:marRight w:val="0"/>
          <w:marTop w:val="0"/>
          <w:marBottom w:val="97"/>
          <w:divBdr>
            <w:top w:val="none" w:sz="0" w:space="0" w:color="auto"/>
            <w:left w:val="none" w:sz="0" w:space="0" w:color="auto"/>
            <w:bottom w:val="none" w:sz="0" w:space="0" w:color="auto"/>
            <w:right w:val="none" w:sz="0" w:space="0" w:color="auto"/>
          </w:divBdr>
        </w:div>
        <w:div w:id="1400857671">
          <w:marLeft w:val="1526"/>
          <w:marRight w:val="0"/>
          <w:marTop w:val="0"/>
          <w:marBottom w:val="97"/>
          <w:divBdr>
            <w:top w:val="none" w:sz="0" w:space="0" w:color="auto"/>
            <w:left w:val="none" w:sz="0" w:space="0" w:color="auto"/>
            <w:bottom w:val="none" w:sz="0" w:space="0" w:color="auto"/>
            <w:right w:val="none" w:sz="0" w:space="0" w:color="auto"/>
          </w:divBdr>
        </w:div>
        <w:div w:id="273682571">
          <w:marLeft w:val="1526"/>
          <w:marRight w:val="0"/>
          <w:marTop w:val="0"/>
          <w:marBottom w:val="97"/>
          <w:divBdr>
            <w:top w:val="none" w:sz="0" w:space="0" w:color="auto"/>
            <w:left w:val="none" w:sz="0" w:space="0" w:color="auto"/>
            <w:bottom w:val="none" w:sz="0" w:space="0" w:color="auto"/>
            <w:right w:val="none" w:sz="0" w:space="0" w:color="auto"/>
          </w:divBdr>
        </w:div>
        <w:div w:id="1139347726">
          <w:marLeft w:val="1526"/>
          <w:marRight w:val="0"/>
          <w:marTop w:val="0"/>
          <w:marBottom w:val="97"/>
          <w:divBdr>
            <w:top w:val="none" w:sz="0" w:space="0" w:color="auto"/>
            <w:left w:val="none" w:sz="0" w:space="0" w:color="auto"/>
            <w:bottom w:val="none" w:sz="0" w:space="0" w:color="auto"/>
            <w:right w:val="none" w:sz="0" w:space="0" w:color="auto"/>
          </w:divBdr>
        </w:div>
        <w:div w:id="1594510420">
          <w:marLeft w:val="1080"/>
          <w:marRight w:val="0"/>
          <w:marTop w:val="0"/>
          <w:marBottom w:val="97"/>
          <w:divBdr>
            <w:top w:val="none" w:sz="0" w:space="0" w:color="auto"/>
            <w:left w:val="none" w:sz="0" w:space="0" w:color="auto"/>
            <w:bottom w:val="none" w:sz="0" w:space="0" w:color="auto"/>
            <w:right w:val="none" w:sz="0" w:space="0" w:color="auto"/>
          </w:divBdr>
        </w:div>
        <w:div w:id="1139617088">
          <w:marLeft w:val="1080"/>
          <w:marRight w:val="0"/>
          <w:marTop w:val="0"/>
          <w:marBottom w:val="97"/>
          <w:divBdr>
            <w:top w:val="none" w:sz="0" w:space="0" w:color="auto"/>
            <w:left w:val="none" w:sz="0" w:space="0" w:color="auto"/>
            <w:bottom w:val="none" w:sz="0" w:space="0" w:color="auto"/>
            <w:right w:val="none" w:sz="0" w:space="0" w:color="auto"/>
          </w:divBdr>
        </w:div>
        <w:div w:id="199367800">
          <w:marLeft w:val="720"/>
          <w:marRight w:val="0"/>
          <w:marTop w:val="0"/>
          <w:marBottom w:val="97"/>
          <w:divBdr>
            <w:top w:val="none" w:sz="0" w:space="0" w:color="auto"/>
            <w:left w:val="none" w:sz="0" w:space="0" w:color="auto"/>
            <w:bottom w:val="none" w:sz="0" w:space="0" w:color="auto"/>
            <w:right w:val="none" w:sz="0" w:space="0" w:color="auto"/>
          </w:divBdr>
        </w:div>
        <w:div w:id="912618036">
          <w:marLeft w:val="720"/>
          <w:marRight w:val="0"/>
          <w:marTop w:val="0"/>
          <w:marBottom w:val="97"/>
          <w:divBdr>
            <w:top w:val="none" w:sz="0" w:space="0" w:color="auto"/>
            <w:left w:val="none" w:sz="0" w:space="0" w:color="auto"/>
            <w:bottom w:val="none" w:sz="0" w:space="0" w:color="auto"/>
            <w:right w:val="none" w:sz="0" w:space="0" w:color="auto"/>
          </w:divBdr>
        </w:div>
        <w:div w:id="1308124078">
          <w:marLeft w:val="1080"/>
          <w:marRight w:val="0"/>
          <w:marTop w:val="0"/>
          <w:marBottom w:val="97"/>
          <w:divBdr>
            <w:top w:val="none" w:sz="0" w:space="0" w:color="auto"/>
            <w:left w:val="none" w:sz="0" w:space="0" w:color="auto"/>
            <w:bottom w:val="none" w:sz="0" w:space="0" w:color="auto"/>
            <w:right w:val="none" w:sz="0" w:space="0" w:color="auto"/>
          </w:divBdr>
        </w:div>
        <w:div w:id="577985780">
          <w:marLeft w:val="1080"/>
          <w:marRight w:val="0"/>
          <w:marTop w:val="0"/>
          <w:marBottom w:val="97"/>
          <w:divBdr>
            <w:top w:val="none" w:sz="0" w:space="0" w:color="auto"/>
            <w:left w:val="none" w:sz="0" w:space="0" w:color="auto"/>
            <w:bottom w:val="none" w:sz="0" w:space="0" w:color="auto"/>
            <w:right w:val="none" w:sz="0" w:space="0" w:color="auto"/>
          </w:divBdr>
        </w:div>
        <w:div w:id="699403880">
          <w:marLeft w:val="1080"/>
          <w:marRight w:val="0"/>
          <w:marTop w:val="0"/>
          <w:marBottom w:val="97"/>
          <w:divBdr>
            <w:top w:val="none" w:sz="0" w:space="0" w:color="auto"/>
            <w:left w:val="none" w:sz="0" w:space="0" w:color="auto"/>
            <w:bottom w:val="none" w:sz="0" w:space="0" w:color="auto"/>
            <w:right w:val="none" w:sz="0" w:space="0" w:color="auto"/>
          </w:divBdr>
        </w:div>
        <w:div w:id="1020397578">
          <w:marLeft w:val="1526"/>
          <w:marRight w:val="0"/>
          <w:marTop w:val="0"/>
          <w:marBottom w:val="97"/>
          <w:divBdr>
            <w:top w:val="none" w:sz="0" w:space="0" w:color="auto"/>
            <w:left w:val="none" w:sz="0" w:space="0" w:color="auto"/>
            <w:bottom w:val="none" w:sz="0" w:space="0" w:color="auto"/>
            <w:right w:val="none" w:sz="0" w:space="0" w:color="auto"/>
          </w:divBdr>
        </w:div>
        <w:div w:id="1634368594">
          <w:marLeft w:val="1526"/>
          <w:marRight w:val="0"/>
          <w:marTop w:val="0"/>
          <w:marBottom w:val="97"/>
          <w:divBdr>
            <w:top w:val="none" w:sz="0" w:space="0" w:color="auto"/>
            <w:left w:val="none" w:sz="0" w:space="0" w:color="auto"/>
            <w:bottom w:val="none" w:sz="0" w:space="0" w:color="auto"/>
            <w:right w:val="none" w:sz="0" w:space="0" w:color="auto"/>
          </w:divBdr>
        </w:div>
        <w:div w:id="2106265252">
          <w:marLeft w:val="1526"/>
          <w:marRight w:val="0"/>
          <w:marTop w:val="0"/>
          <w:marBottom w:val="97"/>
          <w:divBdr>
            <w:top w:val="none" w:sz="0" w:space="0" w:color="auto"/>
            <w:left w:val="none" w:sz="0" w:space="0" w:color="auto"/>
            <w:bottom w:val="none" w:sz="0" w:space="0" w:color="auto"/>
            <w:right w:val="none" w:sz="0" w:space="0" w:color="auto"/>
          </w:divBdr>
        </w:div>
        <w:div w:id="744649125">
          <w:marLeft w:val="1526"/>
          <w:marRight w:val="0"/>
          <w:marTop w:val="0"/>
          <w:marBottom w:val="101"/>
          <w:divBdr>
            <w:top w:val="none" w:sz="0" w:space="0" w:color="auto"/>
            <w:left w:val="none" w:sz="0" w:space="0" w:color="auto"/>
            <w:bottom w:val="none" w:sz="0" w:space="0" w:color="auto"/>
            <w:right w:val="none" w:sz="0" w:space="0" w:color="auto"/>
          </w:divBdr>
        </w:div>
        <w:div w:id="1921676279">
          <w:marLeft w:val="1526"/>
          <w:marRight w:val="0"/>
          <w:marTop w:val="0"/>
          <w:marBottom w:val="101"/>
          <w:divBdr>
            <w:top w:val="none" w:sz="0" w:space="0" w:color="auto"/>
            <w:left w:val="none" w:sz="0" w:space="0" w:color="auto"/>
            <w:bottom w:val="none" w:sz="0" w:space="0" w:color="auto"/>
            <w:right w:val="none" w:sz="0" w:space="0" w:color="auto"/>
          </w:divBdr>
        </w:div>
        <w:div w:id="2114547379">
          <w:marLeft w:val="1526"/>
          <w:marRight w:val="0"/>
          <w:marTop w:val="0"/>
          <w:marBottom w:val="101"/>
          <w:divBdr>
            <w:top w:val="none" w:sz="0" w:space="0" w:color="auto"/>
            <w:left w:val="none" w:sz="0" w:space="0" w:color="auto"/>
            <w:bottom w:val="none" w:sz="0" w:space="0" w:color="auto"/>
            <w:right w:val="none" w:sz="0" w:space="0" w:color="auto"/>
          </w:divBdr>
        </w:div>
        <w:div w:id="47455803">
          <w:marLeft w:val="1526"/>
          <w:marRight w:val="0"/>
          <w:marTop w:val="0"/>
          <w:marBottom w:val="101"/>
          <w:divBdr>
            <w:top w:val="none" w:sz="0" w:space="0" w:color="auto"/>
            <w:left w:val="none" w:sz="0" w:space="0" w:color="auto"/>
            <w:bottom w:val="none" w:sz="0" w:space="0" w:color="auto"/>
            <w:right w:val="none" w:sz="0" w:space="0" w:color="auto"/>
          </w:divBdr>
        </w:div>
        <w:div w:id="1253275955">
          <w:marLeft w:val="1526"/>
          <w:marRight w:val="0"/>
          <w:marTop w:val="0"/>
          <w:marBottom w:val="101"/>
          <w:divBdr>
            <w:top w:val="none" w:sz="0" w:space="0" w:color="auto"/>
            <w:left w:val="none" w:sz="0" w:space="0" w:color="auto"/>
            <w:bottom w:val="none" w:sz="0" w:space="0" w:color="auto"/>
            <w:right w:val="none" w:sz="0" w:space="0" w:color="auto"/>
          </w:divBdr>
        </w:div>
        <w:div w:id="1052728410">
          <w:marLeft w:val="1526"/>
          <w:marRight w:val="0"/>
          <w:marTop w:val="0"/>
          <w:marBottom w:val="101"/>
          <w:divBdr>
            <w:top w:val="none" w:sz="0" w:space="0" w:color="auto"/>
            <w:left w:val="none" w:sz="0" w:space="0" w:color="auto"/>
            <w:bottom w:val="none" w:sz="0" w:space="0" w:color="auto"/>
            <w:right w:val="none" w:sz="0" w:space="0" w:color="auto"/>
          </w:divBdr>
        </w:div>
        <w:div w:id="2108233642">
          <w:marLeft w:val="1080"/>
          <w:marRight w:val="0"/>
          <w:marTop w:val="0"/>
          <w:marBottom w:val="101"/>
          <w:divBdr>
            <w:top w:val="none" w:sz="0" w:space="0" w:color="auto"/>
            <w:left w:val="none" w:sz="0" w:space="0" w:color="auto"/>
            <w:bottom w:val="none" w:sz="0" w:space="0" w:color="auto"/>
            <w:right w:val="none" w:sz="0" w:space="0" w:color="auto"/>
          </w:divBdr>
        </w:div>
        <w:div w:id="1360546865">
          <w:marLeft w:val="0"/>
          <w:marRight w:val="0"/>
          <w:marTop w:val="0"/>
          <w:marBottom w:val="101"/>
          <w:divBdr>
            <w:top w:val="none" w:sz="0" w:space="0" w:color="auto"/>
            <w:left w:val="none" w:sz="0" w:space="0" w:color="auto"/>
            <w:bottom w:val="none" w:sz="0" w:space="0" w:color="auto"/>
            <w:right w:val="none" w:sz="0" w:space="0" w:color="auto"/>
          </w:divBdr>
        </w:div>
        <w:div w:id="352387326">
          <w:marLeft w:val="720"/>
          <w:marRight w:val="0"/>
          <w:marTop w:val="0"/>
          <w:marBottom w:val="101"/>
          <w:divBdr>
            <w:top w:val="none" w:sz="0" w:space="0" w:color="auto"/>
            <w:left w:val="none" w:sz="0" w:space="0" w:color="auto"/>
            <w:bottom w:val="none" w:sz="0" w:space="0" w:color="auto"/>
            <w:right w:val="none" w:sz="0" w:space="0" w:color="auto"/>
          </w:divBdr>
        </w:div>
        <w:div w:id="433747310">
          <w:marLeft w:val="720"/>
          <w:marRight w:val="0"/>
          <w:marTop w:val="0"/>
          <w:marBottom w:val="101"/>
          <w:divBdr>
            <w:top w:val="none" w:sz="0" w:space="0" w:color="auto"/>
            <w:left w:val="none" w:sz="0" w:space="0" w:color="auto"/>
            <w:bottom w:val="none" w:sz="0" w:space="0" w:color="auto"/>
            <w:right w:val="none" w:sz="0" w:space="0" w:color="auto"/>
          </w:divBdr>
        </w:div>
        <w:div w:id="603538677">
          <w:marLeft w:val="720"/>
          <w:marRight w:val="0"/>
          <w:marTop w:val="0"/>
          <w:marBottom w:val="101"/>
          <w:divBdr>
            <w:top w:val="none" w:sz="0" w:space="0" w:color="auto"/>
            <w:left w:val="none" w:sz="0" w:space="0" w:color="auto"/>
            <w:bottom w:val="none" w:sz="0" w:space="0" w:color="auto"/>
            <w:right w:val="none" w:sz="0" w:space="0" w:color="auto"/>
          </w:divBdr>
        </w:div>
        <w:div w:id="2009818702">
          <w:marLeft w:val="0"/>
          <w:marRight w:val="0"/>
          <w:marTop w:val="0"/>
          <w:marBottom w:val="101"/>
          <w:divBdr>
            <w:top w:val="none" w:sz="0" w:space="0" w:color="auto"/>
            <w:left w:val="none" w:sz="0" w:space="0" w:color="auto"/>
            <w:bottom w:val="none" w:sz="0" w:space="0" w:color="auto"/>
            <w:right w:val="none" w:sz="0" w:space="0" w:color="auto"/>
          </w:divBdr>
        </w:div>
        <w:div w:id="1791900729">
          <w:marLeft w:val="1080"/>
          <w:marRight w:val="0"/>
          <w:marTop w:val="0"/>
          <w:marBottom w:val="101"/>
          <w:divBdr>
            <w:top w:val="none" w:sz="0" w:space="0" w:color="auto"/>
            <w:left w:val="none" w:sz="0" w:space="0" w:color="auto"/>
            <w:bottom w:val="none" w:sz="0" w:space="0" w:color="auto"/>
            <w:right w:val="none" w:sz="0" w:space="0" w:color="auto"/>
          </w:divBdr>
        </w:div>
        <w:div w:id="1911846286">
          <w:marLeft w:val="0"/>
          <w:marRight w:val="0"/>
          <w:marTop w:val="0"/>
          <w:marBottom w:val="101"/>
          <w:divBdr>
            <w:top w:val="none" w:sz="0" w:space="0" w:color="auto"/>
            <w:left w:val="none" w:sz="0" w:space="0" w:color="auto"/>
            <w:bottom w:val="none" w:sz="0" w:space="0" w:color="auto"/>
            <w:right w:val="none" w:sz="0" w:space="0" w:color="auto"/>
          </w:divBdr>
        </w:div>
        <w:div w:id="2041470290">
          <w:marLeft w:val="1080"/>
          <w:marRight w:val="0"/>
          <w:marTop w:val="0"/>
          <w:marBottom w:val="101"/>
          <w:divBdr>
            <w:top w:val="none" w:sz="0" w:space="0" w:color="auto"/>
            <w:left w:val="none" w:sz="0" w:space="0" w:color="auto"/>
            <w:bottom w:val="none" w:sz="0" w:space="0" w:color="auto"/>
            <w:right w:val="none" w:sz="0" w:space="0" w:color="auto"/>
          </w:divBdr>
        </w:div>
        <w:div w:id="1225602581">
          <w:marLeft w:val="0"/>
          <w:marRight w:val="0"/>
          <w:marTop w:val="0"/>
          <w:marBottom w:val="101"/>
          <w:divBdr>
            <w:top w:val="none" w:sz="0" w:space="0" w:color="auto"/>
            <w:left w:val="none" w:sz="0" w:space="0" w:color="auto"/>
            <w:bottom w:val="none" w:sz="0" w:space="0" w:color="auto"/>
            <w:right w:val="none" w:sz="0" w:space="0" w:color="auto"/>
          </w:divBdr>
        </w:div>
        <w:div w:id="1743480248">
          <w:marLeft w:val="720"/>
          <w:marRight w:val="0"/>
          <w:marTop w:val="0"/>
          <w:marBottom w:val="101"/>
          <w:divBdr>
            <w:top w:val="none" w:sz="0" w:space="0" w:color="auto"/>
            <w:left w:val="none" w:sz="0" w:space="0" w:color="auto"/>
            <w:bottom w:val="none" w:sz="0" w:space="0" w:color="auto"/>
            <w:right w:val="none" w:sz="0" w:space="0" w:color="auto"/>
          </w:divBdr>
        </w:div>
        <w:div w:id="1637680477">
          <w:marLeft w:val="720"/>
          <w:marRight w:val="0"/>
          <w:marTop w:val="0"/>
          <w:marBottom w:val="101"/>
          <w:divBdr>
            <w:top w:val="none" w:sz="0" w:space="0" w:color="auto"/>
            <w:left w:val="none" w:sz="0" w:space="0" w:color="auto"/>
            <w:bottom w:val="none" w:sz="0" w:space="0" w:color="auto"/>
            <w:right w:val="none" w:sz="0" w:space="0" w:color="auto"/>
          </w:divBdr>
        </w:div>
        <w:div w:id="1282030648">
          <w:marLeft w:val="720"/>
          <w:marRight w:val="0"/>
          <w:marTop w:val="0"/>
          <w:marBottom w:val="101"/>
          <w:divBdr>
            <w:top w:val="none" w:sz="0" w:space="0" w:color="auto"/>
            <w:left w:val="none" w:sz="0" w:space="0" w:color="auto"/>
            <w:bottom w:val="none" w:sz="0" w:space="0" w:color="auto"/>
            <w:right w:val="none" w:sz="0" w:space="0" w:color="auto"/>
          </w:divBdr>
        </w:div>
        <w:div w:id="1286082852">
          <w:marLeft w:val="720"/>
          <w:marRight w:val="0"/>
          <w:marTop w:val="0"/>
          <w:marBottom w:val="101"/>
          <w:divBdr>
            <w:top w:val="none" w:sz="0" w:space="0" w:color="auto"/>
            <w:left w:val="none" w:sz="0" w:space="0" w:color="auto"/>
            <w:bottom w:val="none" w:sz="0" w:space="0" w:color="auto"/>
            <w:right w:val="none" w:sz="0" w:space="0" w:color="auto"/>
          </w:divBdr>
        </w:div>
        <w:div w:id="492725260">
          <w:marLeft w:val="1080"/>
          <w:marRight w:val="0"/>
          <w:marTop w:val="0"/>
          <w:marBottom w:val="101"/>
          <w:divBdr>
            <w:top w:val="none" w:sz="0" w:space="0" w:color="auto"/>
            <w:left w:val="none" w:sz="0" w:space="0" w:color="auto"/>
            <w:bottom w:val="none" w:sz="0" w:space="0" w:color="auto"/>
            <w:right w:val="none" w:sz="0" w:space="0" w:color="auto"/>
          </w:divBdr>
        </w:div>
        <w:div w:id="1235552847">
          <w:marLeft w:val="1526"/>
          <w:marRight w:val="0"/>
          <w:marTop w:val="0"/>
          <w:marBottom w:val="101"/>
          <w:divBdr>
            <w:top w:val="none" w:sz="0" w:space="0" w:color="auto"/>
            <w:left w:val="none" w:sz="0" w:space="0" w:color="auto"/>
            <w:bottom w:val="none" w:sz="0" w:space="0" w:color="auto"/>
            <w:right w:val="none" w:sz="0" w:space="0" w:color="auto"/>
          </w:divBdr>
        </w:div>
        <w:div w:id="274794885">
          <w:marLeft w:val="1526"/>
          <w:marRight w:val="0"/>
          <w:marTop w:val="0"/>
          <w:marBottom w:val="101"/>
          <w:divBdr>
            <w:top w:val="none" w:sz="0" w:space="0" w:color="auto"/>
            <w:left w:val="none" w:sz="0" w:space="0" w:color="auto"/>
            <w:bottom w:val="none" w:sz="0" w:space="0" w:color="auto"/>
            <w:right w:val="none" w:sz="0" w:space="0" w:color="auto"/>
          </w:divBdr>
        </w:div>
        <w:div w:id="1277179060">
          <w:marLeft w:val="1526"/>
          <w:marRight w:val="0"/>
          <w:marTop w:val="0"/>
          <w:marBottom w:val="101"/>
          <w:divBdr>
            <w:top w:val="none" w:sz="0" w:space="0" w:color="auto"/>
            <w:left w:val="none" w:sz="0" w:space="0" w:color="auto"/>
            <w:bottom w:val="none" w:sz="0" w:space="0" w:color="auto"/>
            <w:right w:val="none" w:sz="0" w:space="0" w:color="auto"/>
          </w:divBdr>
        </w:div>
        <w:div w:id="1752508997">
          <w:marLeft w:val="1526"/>
          <w:marRight w:val="0"/>
          <w:marTop w:val="0"/>
          <w:marBottom w:val="101"/>
          <w:divBdr>
            <w:top w:val="none" w:sz="0" w:space="0" w:color="auto"/>
            <w:left w:val="none" w:sz="0" w:space="0" w:color="auto"/>
            <w:bottom w:val="none" w:sz="0" w:space="0" w:color="auto"/>
            <w:right w:val="none" w:sz="0" w:space="0" w:color="auto"/>
          </w:divBdr>
        </w:div>
        <w:div w:id="754745136">
          <w:marLeft w:val="1080"/>
          <w:marRight w:val="0"/>
          <w:marTop w:val="0"/>
          <w:marBottom w:val="92"/>
          <w:divBdr>
            <w:top w:val="none" w:sz="0" w:space="0" w:color="auto"/>
            <w:left w:val="none" w:sz="0" w:space="0" w:color="auto"/>
            <w:bottom w:val="none" w:sz="0" w:space="0" w:color="auto"/>
            <w:right w:val="none" w:sz="0" w:space="0" w:color="auto"/>
          </w:divBdr>
        </w:div>
        <w:div w:id="131024857">
          <w:marLeft w:val="1080"/>
          <w:marRight w:val="0"/>
          <w:marTop w:val="0"/>
          <w:marBottom w:val="92"/>
          <w:divBdr>
            <w:top w:val="none" w:sz="0" w:space="0" w:color="auto"/>
            <w:left w:val="none" w:sz="0" w:space="0" w:color="auto"/>
            <w:bottom w:val="none" w:sz="0" w:space="0" w:color="auto"/>
            <w:right w:val="none" w:sz="0" w:space="0" w:color="auto"/>
          </w:divBdr>
        </w:div>
        <w:div w:id="1812215182">
          <w:marLeft w:val="1080"/>
          <w:marRight w:val="0"/>
          <w:marTop w:val="0"/>
          <w:marBottom w:val="92"/>
          <w:divBdr>
            <w:top w:val="none" w:sz="0" w:space="0" w:color="auto"/>
            <w:left w:val="none" w:sz="0" w:space="0" w:color="auto"/>
            <w:bottom w:val="none" w:sz="0" w:space="0" w:color="auto"/>
            <w:right w:val="none" w:sz="0" w:space="0" w:color="auto"/>
          </w:divBdr>
        </w:div>
        <w:div w:id="496575359">
          <w:marLeft w:val="1080"/>
          <w:marRight w:val="0"/>
          <w:marTop w:val="0"/>
          <w:marBottom w:val="92"/>
          <w:divBdr>
            <w:top w:val="none" w:sz="0" w:space="0" w:color="auto"/>
            <w:left w:val="none" w:sz="0" w:space="0" w:color="auto"/>
            <w:bottom w:val="none" w:sz="0" w:space="0" w:color="auto"/>
            <w:right w:val="none" w:sz="0" w:space="0" w:color="auto"/>
          </w:divBdr>
        </w:div>
        <w:div w:id="1318653910">
          <w:marLeft w:val="1080"/>
          <w:marRight w:val="0"/>
          <w:marTop w:val="0"/>
          <w:marBottom w:val="92"/>
          <w:divBdr>
            <w:top w:val="none" w:sz="0" w:space="0" w:color="auto"/>
            <w:left w:val="none" w:sz="0" w:space="0" w:color="auto"/>
            <w:bottom w:val="none" w:sz="0" w:space="0" w:color="auto"/>
            <w:right w:val="none" w:sz="0" w:space="0" w:color="auto"/>
          </w:divBdr>
        </w:div>
        <w:div w:id="325743667">
          <w:marLeft w:val="1080"/>
          <w:marRight w:val="0"/>
          <w:marTop w:val="0"/>
          <w:marBottom w:val="92"/>
          <w:divBdr>
            <w:top w:val="none" w:sz="0" w:space="0" w:color="auto"/>
            <w:left w:val="none" w:sz="0" w:space="0" w:color="auto"/>
            <w:bottom w:val="none" w:sz="0" w:space="0" w:color="auto"/>
            <w:right w:val="none" w:sz="0" w:space="0" w:color="auto"/>
          </w:divBdr>
        </w:div>
        <w:div w:id="2049181039">
          <w:marLeft w:val="1080"/>
          <w:marRight w:val="0"/>
          <w:marTop w:val="0"/>
          <w:marBottom w:val="92"/>
          <w:divBdr>
            <w:top w:val="none" w:sz="0" w:space="0" w:color="auto"/>
            <w:left w:val="none" w:sz="0" w:space="0" w:color="auto"/>
            <w:bottom w:val="none" w:sz="0" w:space="0" w:color="auto"/>
            <w:right w:val="none" w:sz="0" w:space="0" w:color="auto"/>
          </w:divBdr>
        </w:div>
        <w:div w:id="52000464">
          <w:marLeft w:val="720"/>
          <w:marRight w:val="0"/>
          <w:marTop w:val="0"/>
          <w:marBottom w:val="92"/>
          <w:divBdr>
            <w:top w:val="none" w:sz="0" w:space="0" w:color="auto"/>
            <w:left w:val="none" w:sz="0" w:space="0" w:color="auto"/>
            <w:bottom w:val="none" w:sz="0" w:space="0" w:color="auto"/>
            <w:right w:val="none" w:sz="0" w:space="0" w:color="auto"/>
          </w:divBdr>
        </w:div>
        <w:div w:id="650141813">
          <w:marLeft w:val="720"/>
          <w:marRight w:val="0"/>
          <w:marTop w:val="0"/>
          <w:marBottom w:val="92"/>
          <w:divBdr>
            <w:top w:val="none" w:sz="0" w:space="0" w:color="auto"/>
            <w:left w:val="none" w:sz="0" w:space="0" w:color="auto"/>
            <w:bottom w:val="none" w:sz="0" w:space="0" w:color="auto"/>
            <w:right w:val="none" w:sz="0" w:space="0" w:color="auto"/>
          </w:divBdr>
        </w:div>
        <w:div w:id="2110007086">
          <w:marLeft w:val="1080"/>
          <w:marRight w:val="0"/>
          <w:marTop w:val="0"/>
          <w:marBottom w:val="92"/>
          <w:divBdr>
            <w:top w:val="none" w:sz="0" w:space="0" w:color="auto"/>
            <w:left w:val="none" w:sz="0" w:space="0" w:color="auto"/>
            <w:bottom w:val="none" w:sz="0" w:space="0" w:color="auto"/>
            <w:right w:val="none" w:sz="0" w:space="0" w:color="auto"/>
          </w:divBdr>
        </w:div>
        <w:div w:id="625281674">
          <w:marLeft w:val="1080"/>
          <w:marRight w:val="0"/>
          <w:marTop w:val="0"/>
          <w:marBottom w:val="92"/>
          <w:divBdr>
            <w:top w:val="none" w:sz="0" w:space="0" w:color="auto"/>
            <w:left w:val="none" w:sz="0" w:space="0" w:color="auto"/>
            <w:bottom w:val="none" w:sz="0" w:space="0" w:color="auto"/>
            <w:right w:val="none" w:sz="0" w:space="0" w:color="auto"/>
          </w:divBdr>
        </w:div>
        <w:div w:id="1533495198">
          <w:marLeft w:val="1526"/>
          <w:marRight w:val="0"/>
          <w:marTop w:val="0"/>
          <w:marBottom w:val="92"/>
          <w:divBdr>
            <w:top w:val="none" w:sz="0" w:space="0" w:color="auto"/>
            <w:left w:val="none" w:sz="0" w:space="0" w:color="auto"/>
            <w:bottom w:val="none" w:sz="0" w:space="0" w:color="auto"/>
            <w:right w:val="none" w:sz="0" w:space="0" w:color="auto"/>
          </w:divBdr>
        </w:div>
        <w:div w:id="524290645">
          <w:marLeft w:val="1526"/>
          <w:marRight w:val="0"/>
          <w:marTop w:val="0"/>
          <w:marBottom w:val="92"/>
          <w:divBdr>
            <w:top w:val="none" w:sz="0" w:space="0" w:color="auto"/>
            <w:left w:val="none" w:sz="0" w:space="0" w:color="auto"/>
            <w:bottom w:val="none" w:sz="0" w:space="0" w:color="auto"/>
            <w:right w:val="none" w:sz="0" w:space="0" w:color="auto"/>
          </w:divBdr>
        </w:div>
        <w:div w:id="2003654022">
          <w:marLeft w:val="1526"/>
          <w:marRight w:val="0"/>
          <w:marTop w:val="0"/>
          <w:marBottom w:val="92"/>
          <w:divBdr>
            <w:top w:val="none" w:sz="0" w:space="0" w:color="auto"/>
            <w:left w:val="none" w:sz="0" w:space="0" w:color="auto"/>
            <w:bottom w:val="none" w:sz="0" w:space="0" w:color="auto"/>
            <w:right w:val="none" w:sz="0" w:space="0" w:color="auto"/>
          </w:divBdr>
        </w:div>
        <w:div w:id="500632389">
          <w:marLeft w:val="720"/>
          <w:marRight w:val="0"/>
          <w:marTop w:val="0"/>
          <w:marBottom w:val="92"/>
          <w:divBdr>
            <w:top w:val="none" w:sz="0" w:space="0" w:color="auto"/>
            <w:left w:val="none" w:sz="0" w:space="0" w:color="auto"/>
            <w:bottom w:val="none" w:sz="0" w:space="0" w:color="auto"/>
            <w:right w:val="none" w:sz="0" w:space="0" w:color="auto"/>
          </w:divBdr>
        </w:div>
        <w:div w:id="1931808940">
          <w:marLeft w:val="1080"/>
          <w:marRight w:val="0"/>
          <w:marTop w:val="0"/>
          <w:marBottom w:val="92"/>
          <w:divBdr>
            <w:top w:val="none" w:sz="0" w:space="0" w:color="auto"/>
            <w:left w:val="none" w:sz="0" w:space="0" w:color="auto"/>
            <w:bottom w:val="none" w:sz="0" w:space="0" w:color="auto"/>
            <w:right w:val="none" w:sz="0" w:space="0" w:color="auto"/>
          </w:divBdr>
        </w:div>
        <w:div w:id="823663459">
          <w:marLeft w:val="1080"/>
          <w:marRight w:val="0"/>
          <w:marTop w:val="0"/>
          <w:marBottom w:val="92"/>
          <w:divBdr>
            <w:top w:val="none" w:sz="0" w:space="0" w:color="auto"/>
            <w:left w:val="none" w:sz="0" w:space="0" w:color="auto"/>
            <w:bottom w:val="none" w:sz="0" w:space="0" w:color="auto"/>
            <w:right w:val="none" w:sz="0" w:space="0" w:color="auto"/>
          </w:divBdr>
        </w:div>
        <w:div w:id="1043598843">
          <w:marLeft w:val="1080"/>
          <w:marRight w:val="0"/>
          <w:marTop w:val="0"/>
          <w:marBottom w:val="92"/>
          <w:divBdr>
            <w:top w:val="none" w:sz="0" w:space="0" w:color="auto"/>
            <w:left w:val="none" w:sz="0" w:space="0" w:color="auto"/>
            <w:bottom w:val="none" w:sz="0" w:space="0" w:color="auto"/>
            <w:right w:val="none" w:sz="0" w:space="0" w:color="auto"/>
          </w:divBdr>
        </w:div>
        <w:div w:id="1380520268">
          <w:marLeft w:val="1080"/>
          <w:marRight w:val="0"/>
          <w:marTop w:val="0"/>
          <w:marBottom w:val="92"/>
          <w:divBdr>
            <w:top w:val="none" w:sz="0" w:space="0" w:color="auto"/>
            <w:left w:val="none" w:sz="0" w:space="0" w:color="auto"/>
            <w:bottom w:val="none" w:sz="0" w:space="0" w:color="auto"/>
            <w:right w:val="none" w:sz="0" w:space="0" w:color="auto"/>
          </w:divBdr>
        </w:div>
        <w:div w:id="723870694">
          <w:marLeft w:val="1080"/>
          <w:marRight w:val="0"/>
          <w:marTop w:val="0"/>
          <w:marBottom w:val="92"/>
          <w:divBdr>
            <w:top w:val="none" w:sz="0" w:space="0" w:color="auto"/>
            <w:left w:val="none" w:sz="0" w:space="0" w:color="auto"/>
            <w:bottom w:val="none" w:sz="0" w:space="0" w:color="auto"/>
            <w:right w:val="none" w:sz="0" w:space="0" w:color="auto"/>
          </w:divBdr>
        </w:div>
        <w:div w:id="49379322">
          <w:marLeft w:val="1080"/>
          <w:marRight w:val="0"/>
          <w:marTop w:val="0"/>
          <w:marBottom w:val="92"/>
          <w:divBdr>
            <w:top w:val="none" w:sz="0" w:space="0" w:color="auto"/>
            <w:left w:val="none" w:sz="0" w:space="0" w:color="auto"/>
            <w:bottom w:val="none" w:sz="0" w:space="0" w:color="auto"/>
            <w:right w:val="none" w:sz="0" w:space="0" w:color="auto"/>
          </w:divBdr>
        </w:div>
        <w:div w:id="1559317682">
          <w:marLeft w:val="1526"/>
          <w:marRight w:val="0"/>
          <w:marTop w:val="0"/>
          <w:marBottom w:val="92"/>
          <w:divBdr>
            <w:top w:val="none" w:sz="0" w:space="0" w:color="auto"/>
            <w:left w:val="none" w:sz="0" w:space="0" w:color="auto"/>
            <w:bottom w:val="none" w:sz="0" w:space="0" w:color="auto"/>
            <w:right w:val="none" w:sz="0" w:space="0" w:color="auto"/>
          </w:divBdr>
        </w:div>
        <w:div w:id="1932934836">
          <w:marLeft w:val="1526"/>
          <w:marRight w:val="0"/>
          <w:marTop w:val="0"/>
          <w:marBottom w:val="92"/>
          <w:divBdr>
            <w:top w:val="none" w:sz="0" w:space="0" w:color="auto"/>
            <w:left w:val="none" w:sz="0" w:space="0" w:color="auto"/>
            <w:bottom w:val="none" w:sz="0" w:space="0" w:color="auto"/>
            <w:right w:val="none" w:sz="0" w:space="0" w:color="auto"/>
          </w:divBdr>
        </w:div>
        <w:div w:id="191656077">
          <w:marLeft w:val="1526"/>
          <w:marRight w:val="0"/>
          <w:marTop w:val="0"/>
          <w:marBottom w:val="92"/>
          <w:divBdr>
            <w:top w:val="none" w:sz="0" w:space="0" w:color="auto"/>
            <w:left w:val="none" w:sz="0" w:space="0" w:color="auto"/>
            <w:bottom w:val="none" w:sz="0" w:space="0" w:color="auto"/>
            <w:right w:val="none" w:sz="0" w:space="0" w:color="auto"/>
          </w:divBdr>
        </w:div>
        <w:div w:id="1847551061">
          <w:marLeft w:val="1526"/>
          <w:marRight w:val="0"/>
          <w:marTop w:val="0"/>
          <w:marBottom w:val="92"/>
          <w:divBdr>
            <w:top w:val="none" w:sz="0" w:space="0" w:color="auto"/>
            <w:left w:val="none" w:sz="0" w:space="0" w:color="auto"/>
            <w:bottom w:val="none" w:sz="0" w:space="0" w:color="auto"/>
            <w:right w:val="none" w:sz="0" w:space="0" w:color="auto"/>
          </w:divBdr>
        </w:div>
        <w:div w:id="1153326340">
          <w:marLeft w:val="1526"/>
          <w:marRight w:val="0"/>
          <w:marTop w:val="0"/>
          <w:marBottom w:val="92"/>
          <w:divBdr>
            <w:top w:val="none" w:sz="0" w:space="0" w:color="auto"/>
            <w:left w:val="none" w:sz="0" w:space="0" w:color="auto"/>
            <w:bottom w:val="none" w:sz="0" w:space="0" w:color="auto"/>
            <w:right w:val="none" w:sz="0" w:space="0" w:color="auto"/>
          </w:divBdr>
        </w:div>
        <w:div w:id="375394645">
          <w:marLeft w:val="1526"/>
          <w:marRight w:val="0"/>
          <w:marTop w:val="0"/>
          <w:marBottom w:val="92"/>
          <w:divBdr>
            <w:top w:val="none" w:sz="0" w:space="0" w:color="auto"/>
            <w:left w:val="none" w:sz="0" w:space="0" w:color="auto"/>
            <w:bottom w:val="none" w:sz="0" w:space="0" w:color="auto"/>
            <w:right w:val="none" w:sz="0" w:space="0" w:color="auto"/>
          </w:divBdr>
        </w:div>
        <w:div w:id="1900431536">
          <w:marLeft w:val="1526"/>
          <w:marRight w:val="0"/>
          <w:marTop w:val="0"/>
          <w:marBottom w:val="92"/>
          <w:divBdr>
            <w:top w:val="none" w:sz="0" w:space="0" w:color="auto"/>
            <w:left w:val="none" w:sz="0" w:space="0" w:color="auto"/>
            <w:bottom w:val="none" w:sz="0" w:space="0" w:color="auto"/>
            <w:right w:val="none" w:sz="0" w:space="0" w:color="auto"/>
          </w:divBdr>
        </w:div>
        <w:div w:id="739711494">
          <w:marLeft w:val="1526"/>
          <w:marRight w:val="0"/>
          <w:marTop w:val="0"/>
          <w:marBottom w:val="92"/>
          <w:divBdr>
            <w:top w:val="none" w:sz="0" w:space="0" w:color="auto"/>
            <w:left w:val="none" w:sz="0" w:space="0" w:color="auto"/>
            <w:bottom w:val="none" w:sz="0" w:space="0" w:color="auto"/>
            <w:right w:val="none" w:sz="0" w:space="0" w:color="auto"/>
          </w:divBdr>
        </w:div>
        <w:div w:id="1801998659">
          <w:marLeft w:val="1526"/>
          <w:marRight w:val="0"/>
          <w:marTop w:val="0"/>
          <w:marBottom w:val="92"/>
          <w:divBdr>
            <w:top w:val="none" w:sz="0" w:space="0" w:color="auto"/>
            <w:left w:val="none" w:sz="0" w:space="0" w:color="auto"/>
            <w:bottom w:val="none" w:sz="0" w:space="0" w:color="auto"/>
            <w:right w:val="none" w:sz="0" w:space="0" w:color="auto"/>
          </w:divBdr>
        </w:div>
        <w:div w:id="364989251">
          <w:marLeft w:val="1526"/>
          <w:marRight w:val="0"/>
          <w:marTop w:val="0"/>
          <w:marBottom w:val="92"/>
          <w:divBdr>
            <w:top w:val="none" w:sz="0" w:space="0" w:color="auto"/>
            <w:left w:val="none" w:sz="0" w:space="0" w:color="auto"/>
            <w:bottom w:val="none" w:sz="0" w:space="0" w:color="auto"/>
            <w:right w:val="none" w:sz="0" w:space="0" w:color="auto"/>
          </w:divBdr>
        </w:div>
        <w:div w:id="1653216066">
          <w:marLeft w:val="1526"/>
          <w:marRight w:val="0"/>
          <w:marTop w:val="0"/>
          <w:marBottom w:val="92"/>
          <w:divBdr>
            <w:top w:val="none" w:sz="0" w:space="0" w:color="auto"/>
            <w:left w:val="none" w:sz="0" w:space="0" w:color="auto"/>
            <w:bottom w:val="none" w:sz="0" w:space="0" w:color="auto"/>
            <w:right w:val="none" w:sz="0" w:space="0" w:color="auto"/>
          </w:divBdr>
        </w:div>
        <w:div w:id="1275213556">
          <w:marLeft w:val="1080"/>
          <w:marRight w:val="0"/>
          <w:marTop w:val="0"/>
          <w:marBottom w:val="101"/>
          <w:divBdr>
            <w:top w:val="none" w:sz="0" w:space="0" w:color="auto"/>
            <w:left w:val="none" w:sz="0" w:space="0" w:color="auto"/>
            <w:bottom w:val="none" w:sz="0" w:space="0" w:color="auto"/>
            <w:right w:val="none" w:sz="0" w:space="0" w:color="auto"/>
          </w:divBdr>
        </w:div>
        <w:div w:id="1020859443">
          <w:marLeft w:val="1080"/>
          <w:marRight w:val="0"/>
          <w:marTop w:val="0"/>
          <w:marBottom w:val="101"/>
          <w:divBdr>
            <w:top w:val="none" w:sz="0" w:space="0" w:color="auto"/>
            <w:left w:val="none" w:sz="0" w:space="0" w:color="auto"/>
            <w:bottom w:val="none" w:sz="0" w:space="0" w:color="auto"/>
            <w:right w:val="none" w:sz="0" w:space="0" w:color="auto"/>
          </w:divBdr>
        </w:div>
        <w:div w:id="138303572">
          <w:marLeft w:val="1526"/>
          <w:marRight w:val="0"/>
          <w:marTop w:val="0"/>
          <w:marBottom w:val="101"/>
          <w:divBdr>
            <w:top w:val="none" w:sz="0" w:space="0" w:color="auto"/>
            <w:left w:val="none" w:sz="0" w:space="0" w:color="auto"/>
            <w:bottom w:val="none" w:sz="0" w:space="0" w:color="auto"/>
            <w:right w:val="none" w:sz="0" w:space="0" w:color="auto"/>
          </w:divBdr>
        </w:div>
        <w:div w:id="884371011">
          <w:marLeft w:val="1526"/>
          <w:marRight w:val="0"/>
          <w:marTop w:val="0"/>
          <w:marBottom w:val="101"/>
          <w:divBdr>
            <w:top w:val="none" w:sz="0" w:space="0" w:color="auto"/>
            <w:left w:val="none" w:sz="0" w:space="0" w:color="auto"/>
            <w:bottom w:val="none" w:sz="0" w:space="0" w:color="auto"/>
            <w:right w:val="none" w:sz="0" w:space="0" w:color="auto"/>
          </w:divBdr>
        </w:div>
        <w:div w:id="619997538">
          <w:marLeft w:val="1526"/>
          <w:marRight w:val="0"/>
          <w:marTop w:val="0"/>
          <w:marBottom w:val="101"/>
          <w:divBdr>
            <w:top w:val="none" w:sz="0" w:space="0" w:color="auto"/>
            <w:left w:val="none" w:sz="0" w:space="0" w:color="auto"/>
            <w:bottom w:val="none" w:sz="0" w:space="0" w:color="auto"/>
            <w:right w:val="none" w:sz="0" w:space="0" w:color="auto"/>
          </w:divBdr>
        </w:div>
        <w:div w:id="1873760362">
          <w:marLeft w:val="1526"/>
          <w:marRight w:val="0"/>
          <w:marTop w:val="0"/>
          <w:marBottom w:val="101"/>
          <w:divBdr>
            <w:top w:val="none" w:sz="0" w:space="0" w:color="auto"/>
            <w:left w:val="none" w:sz="0" w:space="0" w:color="auto"/>
            <w:bottom w:val="none" w:sz="0" w:space="0" w:color="auto"/>
            <w:right w:val="none" w:sz="0" w:space="0" w:color="auto"/>
          </w:divBdr>
        </w:div>
        <w:div w:id="610238080">
          <w:marLeft w:val="1526"/>
          <w:marRight w:val="0"/>
          <w:marTop w:val="0"/>
          <w:marBottom w:val="101"/>
          <w:divBdr>
            <w:top w:val="none" w:sz="0" w:space="0" w:color="auto"/>
            <w:left w:val="none" w:sz="0" w:space="0" w:color="auto"/>
            <w:bottom w:val="none" w:sz="0" w:space="0" w:color="auto"/>
            <w:right w:val="none" w:sz="0" w:space="0" w:color="auto"/>
          </w:divBdr>
        </w:div>
        <w:div w:id="388457008">
          <w:marLeft w:val="1526"/>
          <w:marRight w:val="0"/>
          <w:marTop w:val="0"/>
          <w:marBottom w:val="101"/>
          <w:divBdr>
            <w:top w:val="none" w:sz="0" w:space="0" w:color="auto"/>
            <w:left w:val="none" w:sz="0" w:space="0" w:color="auto"/>
            <w:bottom w:val="none" w:sz="0" w:space="0" w:color="auto"/>
            <w:right w:val="none" w:sz="0" w:space="0" w:color="auto"/>
          </w:divBdr>
        </w:div>
        <w:div w:id="1673021776">
          <w:marLeft w:val="1526"/>
          <w:marRight w:val="0"/>
          <w:marTop w:val="0"/>
          <w:marBottom w:val="101"/>
          <w:divBdr>
            <w:top w:val="none" w:sz="0" w:space="0" w:color="auto"/>
            <w:left w:val="none" w:sz="0" w:space="0" w:color="auto"/>
            <w:bottom w:val="none" w:sz="0" w:space="0" w:color="auto"/>
            <w:right w:val="none" w:sz="0" w:space="0" w:color="auto"/>
          </w:divBdr>
        </w:div>
        <w:div w:id="379091761">
          <w:marLeft w:val="1958"/>
          <w:marRight w:val="0"/>
          <w:marTop w:val="0"/>
          <w:marBottom w:val="101"/>
          <w:divBdr>
            <w:top w:val="none" w:sz="0" w:space="0" w:color="auto"/>
            <w:left w:val="none" w:sz="0" w:space="0" w:color="auto"/>
            <w:bottom w:val="none" w:sz="0" w:space="0" w:color="auto"/>
            <w:right w:val="none" w:sz="0" w:space="0" w:color="auto"/>
          </w:divBdr>
        </w:div>
        <w:div w:id="543954214">
          <w:marLeft w:val="1958"/>
          <w:marRight w:val="0"/>
          <w:marTop w:val="0"/>
          <w:marBottom w:val="101"/>
          <w:divBdr>
            <w:top w:val="none" w:sz="0" w:space="0" w:color="auto"/>
            <w:left w:val="none" w:sz="0" w:space="0" w:color="auto"/>
            <w:bottom w:val="none" w:sz="0" w:space="0" w:color="auto"/>
            <w:right w:val="none" w:sz="0" w:space="0" w:color="auto"/>
          </w:divBdr>
        </w:div>
        <w:div w:id="1858620380">
          <w:marLeft w:val="1958"/>
          <w:marRight w:val="0"/>
          <w:marTop w:val="0"/>
          <w:marBottom w:val="101"/>
          <w:divBdr>
            <w:top w:val="none" w:sz="0" w:space="0" w:color="auto"/>
            <w:left w:val="none" w:sz="0" w:space="0" w:color="auto"/>
            <w:bottom w:val="none" w:sz="0" w:space="0" w:color="auto"/>
            <w:right w:val="none" w:sz="0" w:space="0" w:color="auto"/>
          </w:divBdr>
        </w:div>
        <w:div w:id="1182663608">
          <w:marLeft w:val="1958"/>
          <w:marRight w:val="0"/>
          <w:marTop w:val="0"/>
          <w:marBottom w:val="101"/>
          <w:divBdr>
            <w:top w:val="none" w:sz="0" w:space="0" w:color="auto"/>
            <w:left w:val="none" w:sz="0" w:space="0" w:color="auto"/>
            <w:bottom w:val="none" w:sz="0" w:space="0" w:color="auto"/>
            <w:right w:val="none" w:sz="0" w:space="0" w:color="auto"/>
          </w:divBdr>
        </w:div>
        <w:div w:id="1119184733">
          <w:marLeft w:val="1958"/>
          <w:marRight w:val="0"/>
          <w:marTop w:val="0"/>
          <w:marBottom w:val="101"/>
          <w:divBdr>
            <w:top w:val="none" w:sz="0" w:space="0" w:color="auto"/>
            <w:left w:val="none" w:sz="0" w:space="0" w:color="auto"/>
            <w:bottom w:val="none" w:sz="0" w:space="0" w:color="auto"/>
            <w:right w:val="none" w:sz="0" w:space="0" w:color="auto"/>
          </w:divBdr>
        </w:div>
        <w:div w:id="84036576">
          <w:marLeft w:val="720"/>
          <w:marRight w:val="0"/>
          <w:marTop w:val="0"/>
          <w:marBottom w:val="101"/>
          <w:divBdr>
            <w:top w:val="none" w:sz="0" w:space="0" w:color="auto"/>
            <w:left w:val="none" w:sz="0" w:space="0" w:color="auto"/>
            <w:bottom w:val="none" w:sz="0" w:space="0" w:color="auto"/>
            <w:right w:val="none" w:sz="0" w:space="0" w:color="auto"/>
          </w:divBdr>
        </w:div>
        <w:div w:id="1955288125">
          <w:marLeft w:val="1080"/>
          <w:marRight w:val="0"/>
          <w:marTop w:val="0"/>
          <w:marBottom w:val="101"/>
          <w:divBdr>
            <w:top w:val="none" w:sz="0" w:space="0" w:color="auto"/>
            <w:left w:val="none" w:sz="0" w:space="0" w:color="auto"/>
            <w:bottom w:val="none" w:sz="0" w:space="0" w:color="auto"/>
            <w:right w:val="none" w:sz="0" w:space="0" w:color="auto"/>
          </w:divBdr>
        </w:div>
        <w:div w:id="1275164095">
          <w:marLeft w:val="1526"/>
          <w:marRight w:val="0"/>
          <w:marTop w:val="0"/>
          <w:marBottom w:val="101"/>
          <w:divBdr>
            <w:top w:val="none" w:sz="0" w:space="0" w:color="auto"/>
            <w:left w:val="none" w:sz="0" w:space="0" w:color="auto"/>
            <w:bottom w:val="none" w:sz="0" w:space="0" w:color="auto"/>
            <w:right w:val="none" w:sz="0" w:space="0" w:color="auto"/>
          </w:divBdr>
        </w:div>
        <w:div w:id="1513685767">
          <w:marLeft w:val="1526"/>
          <w:marRight w:val="0"/>
          <w:marTop w:val="0"/>
          <w:marBottom w:val="101"/>
          <w:divBdr>
            <w:top w:val="none" w:sz="0" w:space="0" w:color="auto"/>
            <w:left w:val="none" w:sz="0" w:space="0" w:color="auto"/>
            <w:bottom w:val="none" w:sz="0" w:space="0" w:color="auto"/>
            <w:right w:val="none" w:sz="0" w:space="0" w:color="auto"/>
          </w:divBdr>
        </w:div>
        <w:div w:id="630133380">
          <w:marLeft w:val="1526"/>
          <w:marRight w:val="0"/>
          <w:marTop w:val="0"/>
          <w:marBottom w:val="101"/>
          <w:divBdr>
            <w:top w:val="none" w:sz="0" w:space="0" w:color="auto"/>
            <w:left w:val="none" w:sz="0" w:space="0" w:color="auto"/>
            <w:bottom w:val="none" w:sz="0" w:space="0" w:color="auto"/>
            <w:right w:val="none" w:sz="0" w:space="0" w:color="auto"/>
          </w:divBdr>
        </w:div>
        <w:div w:id="1692875722">
          <w:marLeft w:val="1526"/>
          <w:marRight w:val="0"/>
          <w:marTop w:val="0"/>
          <w:marBottom w:val="101"/>
          <w:divBdr>
            <w:top w:val="none" w:sz="0" w:space="0" w:color="auto"/>
            <w:left w:val="none" w:sz="0" w:space="0" w:color="auto"/>
            <w:bottom w:val="none" w:sz="0" w:space="0" w:color="auto"/>
            <w:right w:val="none" w:sz="0" w:space="0" w:color="auto"/>
          </w:divBdr>
        </w:div>
        <w:div w:id="1313755564">
          <w:marLeft w:val="1526"/>
          <w:marRight w:val="0"/>
          <w:marTop w:val="0"/>
          <w:marBottom w:val="101"/>
          <w:divBdr>
            <w:top w:val="none" w:sz="0" w:space="0" w:color="auto"/>
            <w:left w:val="none" w:sz="0" w:space="0" w:color="auto"/>
            <w:bottom w:val="none" w:sz="0" w:space="0" w:color="auto"/>
            <w:right w:val="none" w:sz="0" w:space="0" w:color="auto"/>
          </w:divBdr>
        </w:div>
        <w:div w:id="1158692207">
          <w:marLeft w:val="1526"/>
          <w:marRight w:val="0"/>
          <w:marTop w:val="0"/>
          <w:marBottom w:val="101"/>
          <w:divBdr>
            <w:top w:val="none" w:sz="0" w:space="0" w:color="auto"/>
            <w:left w:val="none" w:sz="0" w:space="0" w:color="auto"/>
            <w:bottom w:val="none" w:sz="0" w:space="0" w:color="auto"/>
            <w:right w:val="none" w:sz="0" w:space="0" w:color="auto"/>
          </w:divBdr>
        </w:div>
        <w:div w:id="2001493773">
          <w:marLeft w:val="1526"/>
          <w:marRight w:val="0"/>
          <w:marTop w:val="0"/>
          <w:marBottom w:val="101"/>
          <w:divBdr>
            <w:top w:val="none" w:sz="0" w:space="0" w:color="auto"/>
            <w:left w:val="none" w:sz="0" w:space="0" w:color="auto"/>
            <w:bottom w:val="none" w:sz="0" w:space="0" w:color="auto"/>
            <w:right w:val="none" w:sz="0" w:space="0" w:color="auto"/>
          </w:divBdr>
        </w:div>
        <w:div w:id="229266332">
          <w:marLeft w:val="1526"/>
          <w:marRight w:val="0"/>
          <w:marTop w:val="0"/>
          <w:marBottom w:val="101"/>
          <w:divBdr>
            <w:top w:val="none" w:sz="0" w:space="0" w:color="auto"/>
            <w:left w:val="none" w:sz="0" w:space="0" w:color="auto"/>
            <w:bottom w:val="none" w:sz="0" w:space="0" w:color="auto"/>
            <w:right w:val="none" w:sz="0" w:space="0" w:color="auto"/>
          </w:divBdr>
        </w:div>
        <w:div w:id="417874079">
          <w:marLeft w:val="1526"/>
          <w:marRight w:val="0"/>
          <w:marTop w:val="0"/>
          <w:marBottom w:val="101"/>
          <w:divBdr>
            <w:top w:val="none" w:sz="0" w:space="0" w:color="auto"/>
            <w:left w:val="none" w:sz="0" w:space="0" w:color="auto"/>
            <w:bottom w:val="none" w:sz="0" w:space="0" w:color="auto"/>
            <w:right w:val="none" w:sz="0" w:space="0" w:color="auto"/>
          </w:divBdr>
        </w:div>
        <w:div w:id="1063021770">
          <w:marLeft w:val="1526"/>
          <w:marRight w:val="0"/>
          <w:marTop w:val="0"/>
          <w:marBottom w:val="101"/>
          <w:divBdr>
            <w:top w:val="none" w:sz="0" w:space="0" w:color="auto"/>
            <w:left w:val="none" w:sz="0" w:space="0" w:color="auto"/>
            <w:bottom w:val="none" w:sz="0" w:space="0" w:color="auto"/>
            <w:right w:val="none" w:sz="0" w:space="0" w:color="auto"/>
          </w:divBdr>
        </w:div>
        <w:div w:id="874581343">
          <w:marLeft w:val="1526"/>
          <w:marRight w:val="0"/>
          <w:marTop w:val="0"/>
          <w:marBottom w:val="101"/>
          <w:divBdr>
            <w:top w:val="none" w:sz="0" w:space="0" w:color="auto"/>
            <w:left w:val="none" w:sz="0" w:space="0" w:color="auto"/>
            <w:bottom w:val="none" w:sz="0" w:space="0" w:color="auto"/>
            <w:right w:val="none" w:sz="0" w:space="0" w:color="auto"/>
          </w:divBdr>
        </w:div>
        <w:div w:id="1911040418">
          <w:marLeft w:val="1080"/>
          <w:marRight w:val="0"/>
          <w:marTop w:val="0"/>
          <w:marBottom w:val="101"/>
          <w:divBdr>
            <w:top w:val="none" w:sz="0" w:space="0" w:color="auto"/>
            <w:left w:val="none" w:sz="0" w:space="0" w:color="auto"/>
            <w:bottom w:val="none" w:sz="0" w:space="0" w:color="auto"/>
            <w:right w:val="none" w:sz="0" w:space="0" w:color="auto"/>
          </w:divBdr>
        </w:div>
        <w:div w:id="765538204">
          <w:marLeft w:val="1526"/>
          <w:marRight w:val="0"/>
          <w:marTop w:val="0"/>
          <w:marBottom w:val="101"/>
          <w:divBdr>
            <w:top w:val="none" w:sz="0" w:space="0" w:color="auto"/>
            <w:left w:val="none" w:sz="0" w:space="0" w:color="auto"/>
            <w:bottom w:val="none" w:sz="0" w:space="0" w:color="auto"/>
            <w:right w:val="none" w:sz="0" w:space="0" w:color="auto"/>
          </w:divBdr>
        </w:div>
        <w:div w:id="301466416">
          <w:marLeft w:val="1526"/>
          <w:marRight w:val="0"/>
          <w:marTop w:val="0"/>
          <w:marBottom w:val="101"/>
          <w:divBdr>
            <w:top w:val="none" w:sz="0" w:space="0" w:color="auto"/>
            <w:left w:val="none" w:sz="0" w:space="0" w:color="auto"/>
            <w:bottom w:val="none" w:sz="0" w:space="0" w:color="auto"/>
            <w:right w:val="none" w:sz="0" w:space="0" w:color="auto"/>
          </w:divBdr>
        </w:div>
        <w:div w:id="1536504075">
          <w:marLeft w:val="1526"/>
          <w:marRight w:val="0"/>
          <w:marTop w:val="0"/>
          <w:marBottom w:val="101"/>
          <w:divBdr>
            <w:top w:val="none" w:sz="0" w:space="0" w:color="auto"/>
            <w:left w:val="none" w:sz="0" w:space="0" w:color="auto"/>
            <w:bottom w:val="none" w:sz="0" w:space="0" w:color="auto"/>
            <w:right w:val="none" w:sz="0" w:space="0" w:color="auto"/>
          </w:divBdr>
        </w:div>
        <w:div w:id="67731218">
          <w:marLeft w:val="1526"/>
          <w:marRight w:val="0"/>
          <w:marTop w:val="0"/>
          <w:marBottom w:val="101"/>
          <w:divBdr>
            <w:top w:val="none" w:sz="0" w:space="0" w:color="auto"/>
            <w:left w:val="none" w:sz="0" w:space="0" w:color="auto"/>
            <w:bottom w:val="none" w:sz="0" w:space="0" w:color="auto"/>
            <w:right w:val="none" w:sz="0" w:space="0" w:color="auto"/>
          </w:divBdr>
        </w:div>
        <w:div w:id="185680393">
          <w:marLeft w:val="1526"/>
          <w:marRight w:val="0"/>
          <w:marTop w:val="0"/>
          <w:marBottom w:val="101"/>
          <w:divBdr>
            <w:top w:val="none" w:sz="0" w:space="0" w:color="auto"/>
            <w:left w:val="none" w:sz="0" w:space="0" w:color="auto"/>
            <w:bottom w:val="none" w:sz="0" w:space="0" w:color="auto"/>
            <w:right w:val="none" w:sz="0" w:space="0" w:color="auto"/>
          </w:divBdr>
        </w:div>
        <w:div w:id="1652051653">
          <w:marLeft w:val="1526"/>
          <w:marRight w:val="0"/>
          <w:marTop w:val="0"/>
          <w:marBottom w:val="101"/>
          <w:divBdr>
            <w:top w:val="none" w:sz="0" w:space="0" w:color="auto"/>
            <w:left w:val="none" w:sz="0" w:space="0" w:color="auto"/>
            <w:bottom w:val="none" w:sz="0" w:space="0" w:color="auto"/>
            <w:right w:val="none" w:sz="0" w:space="0" w:color="auto"/>
          </w:divBdr>
        </w:div>
        <w:div w:id="198010625">
          <w:marLeft w:val="1526"/>
          <w:marRight w:val="0"/>
          <w:marTop w:val="0"/>
          <w:marBottom w:val="101"/>
          <w:divBdr>
            <w:top w:val="none" w:sz="0" w:space="0" w:color="auto"/>
            <w:left w:val="none" w:sz="0" w:space="0" w:color="auto"/>
            <w:bottom w:val="none" w:sz="0" w:space="0" w:color="auto"/>
            <w:right w:val="none" w:sz="0" w:space="0" w:color="auto"/>
          </w:divBdr>
        </w:div>
        <w:div w:id="741175655">
          <w:marLeft w:val="1526"/>
          <w:marRight w:val="0"/>
          <w:marTop w:val="0"/>
          <w:marBottom w:val="101"/>
          <w:divBdr>
            <w:top w:val="none" w:sz="0" w:space="0" w:color="auto"/>
            <w:left w:val="none" w:sz="0" w:space="0" w:color="auto"/>
            <w:bottom w:val="none" w:sz="0" w:space="0" w:color="auto"/>
            <w:right w:val="none" w:sz="0" w:space="0" w:color="auto"/>
          </w:divBdr>
        </w:div>
        <w:div w:id="885142391">
          <w:marLeft w:val="1526"/>
          <w:marRight w:val="0"/>
          <w:marTop w:val="0"/>
          <w:marBottom w:val="101"/>
          <w:divBdr>
            <w:top w:val="none" w:sz="0" w:space="0" w:color="auto"/>
            <w:left w:val="none" w:sz="0" w:space="0" w:color="auto"/>
            <w:bottom w:val="none" w:sz="0" w:space="0" w:color="auto"/>
            <w:right w:val="none" w:sz="0" w:space="0" w:color="auto"/>
          </w:divBdr>
        </w:div>
        <w:div w:id="1646006813">
          <w:marLeft w:val="1526"/>
          <w:marRight w:val="0"/>
          <w:marTop w:val="0"/>
          <w:marBottom w:val="101"/>
          <w:divBdr>
            <w:top w:val="none" w:sz="0" w:space="0" w:color="auto"/>
            <w:left w:val="none" w:sz="0" w:space="0" w:color="auto"/>
            <w:bottom w:val="none" w:sz="0" w:space="0" w:color="auto"/>
            <w:right w:val="none" w:sz="0" w:space="0" w:color="auto"/>
          </w:divBdr>
        </w:div>
        <w:div w:id="1593931435">
          <w:marLeft w:val="1526"/>
          <w:marRight w:val="0"/>
          <w:marTop w:val="0"/>
          <w:marBottom w:val="101"/>
          <w:divBdr>
            <w:top w:val="none" w:sz="0" w:space="0" w:color="auto"/>
            <w:left w:val="none" w:sz="0" w:space="0" w:color="auto"/>
            <w:bottom w:val="none" w:sz="0" w:space="0" w:color="auto"/>
            <w:right w:val="none" w:sz="0" w:space="0" w:color="auto"/>
          </w:divBdr>
        </w:div>
        <w:div w:id="772482757">
          <w:marLeft w:val="1526"/>
          <w:marRight w:val="0"/>
          <w:marTop w:val="0"/>
          <w:marBottom w:val="101"/>
          <w:divBdr>
            <w:top w:val="none" w:sz="0" w:space="0" w:color="auto"/>
            <w:left w:val="none" w:sz="0" w:space="0" w:color="auto"/>
            <w:bottom w:val="none" w:sz="0" w:space="0" w:color="auto"/>
            <w:right w:val="none" w:sz="0" w:space="0" w:color="auto"/>
          </w:divBdr>
        </w:div>
        <w:div w:id="1597396267">
          <w:marLeft w:val="1526"/>
          <w:marRight w:val="0"/>
          <w:marTop w:val="0"/>
          <w:marBottom w:val="101"/>
          <w:divBdr>
            <w:top w:val="none" w:sz="0" w:space="0" w:color="auto"/>
            <w:left w:val="none" w:sz="0" w:space="0" w:color="auto"/>
            <w:bottom w:val="none" w:sz="0" w:space="0" w:color="auto"/>
            <w:right w:val="none" w:sz="0" w:space="0" w:color="auto"/>
          </w:divBdr>
        </w:div>
        <w:div w:id="1933975577">
          <w:marLeft w:val="1526"/>
          <w:marRight w:val="0"/>
          <w:marTop w:val="0"/>
          <w:marBottom w:val="101"/>
          <w:divBdr>
            <w:top w:val="none" w:sz="0" w:space="0" w:color="auto"/>
            <w:left w:val="none" w:sz="0" w:space="0" w:color="auto"/>
            <w:bottom w:val="none" w:sz="0" w:space="0" w:color="auto"/>
            <w:right w:val="none" w:sz="0" w:space="0" w:color="auto"/>
          </w:divBdr>
        </w:div>
        <w:div w:id="2051150328">
          <w:marLeft w:val="1526"/>
          <w:marRight w:val="0"/>
          <w:marTop w:val="0"/>
          <w:marBottom w:val="101"/>
          <w:divBdr>
            <w:top w:val="none" w:sz="0" w:space="0" w:color="auto"/>
            <w:left w:val="none" w:sz="0" w:space="0" w:color="auto"/>
            <w:bottom w:val="none" w:sz="0" w:space="0" w:color="auto"/>
            <w:right w:val="none" w:sz="0" w:space="0" w:color="auto"/>
          </w:divBdr>
        </w:div>
        <w:div w:id="1566992033">
          <w:marLeft w:val="1080"/>
          <w:marRight w:val="0"/>
          <w:marTop w:val="0"/>
          <w:marBottom w:val="101"/>
          <w:divBdr>
            <w:top w:val="none" w:sz="0" w:space="0" w:color="auto"/>
            <w:left w:val="none" w:sz="0" w:space="0" w:color="auto"/>
            <w:bottom w:val="none" w:sz="0" w:space="0" w:color="auto"/>
            <w:right w:val="none" w:sz="0" w:space="0" w:color="auto"/>
          </w:divBdr>
        </w:div>
        <w:div w:id="1417749346">
          <w:marLeft w:val="0"/>
          <w:marRight w:val="0"/>
          <w:marTop w:val="0"/>
          <w:marBottom w:val="101"/>
          <w:divBdr>
            <w:top w:val="none" w:sz="0" w:space="0" w:color="auto"/>
            <w:left w:val="none" w:sz="0" w:space="0" w:color="auto"/>
            <w:bottom w:val="none" w:sz="0" w:space="0" w:color="auto"/>
            <w:right w:val="none" w:sz="0" w:space="0" w:color="auto"/>
          </w:divBdr>
        </w:div>
        <w:div w:id="2083986475">
          <w:marLeft w:val="1080"/>
          <w:marRight w:val="0"/>
          <w:marTop w:val="0"/>
          <w:marBottom w:val="101"/>
          <w:divBdr>
            <w:top w:val="none" w:sz="0" w:space="0" w:color="auto"/>
            <w:left w:val="none" w:sz="0" w:space="0" w:color="auto"/>
            <w:bottom w:val="none" w:sz="0" w:space="0" w:color="auto"/>
            <w:right w:val="none" w:sz="0" w:space="0" w:color="auto"/>
          </w:divBdr>
        </w:div>
        <w:div w:id="769089048">
          <w:marLeft w:val="720"/>
          <w:marRight w:val="0"/>
          <w:marTop w:val="0"/>
          <w:marBottom w:val="101"/>
          <w:divBdr>
            <w:top w:val="none" w:sz="0" w:space="0" w:color="auto"/>
            <w:left w:val="none" w:sz="0" w:space="0" w:color="auto"/>
            <w:bottom w:val="none" w:sz="0" w:space="0" w:color="auto"/>
            <w:right w:val="none" w:sz="0" w:space="0" w:color="auto"/>
          </w:divBdr>
        </w:div>
        <w:div w:id="1538933796">
          <w:marLeft w:val="1080"/>
          <w:marRight w:val="0"/>
          <w:marTop w:val="0"/>
          <w:marBottom w:val="101"/>
          <w:divBdr>
            <w:top w:val="none" w:sz="0" w:space="0" w:color="auto"/>
            <w:left w:val="none" w:sz="0" w:space="0" w:color="auto"/>
            <w:bottom w:val="none" w:sz="0" w:space="0" w:color="auto"/>
            <w:right w:val="none" w:sz="0" w:space="0" w:color="auto"/>
          </w:divBdr>
        </w:div>
        <w:div w:id="1200363934">
          <w:marLeft w:val="1080"/>
          <w:marRight w:val="0"/>
          <w:marTop w:val="0"/>
          <w:marBottom w:val="101"/>
          <w:divBdr>
            <w:top w:val="none" w:sz="0" w:space="0" w:color="auto"/>
            <w:left w:val="none" w:sz="0" w:space="0" w:color="auto"/>
            <w:bottom w:val="none" w:sz="0" w:space="0" w:color="auto"/>
            <w:right w:val="none" w:sz="0" w:space="0" w:color="auto"/>
          </w:divBdr>
        </w:div>
        <w:div w:id="1657109699">
          <w:marLeft w:val="1080"/>
          <w:marRight w:val="0"/>
          <w:marTop w:val="0"/>
          <w:marBottom w:val="101"/>
          <w:divBdr>
            <w:top w:val="none" w:sz="0" w:space="0" w:color="auto"/>
            <w:left w:val="none" w:sz="0" w:space="0" w:color="auto"/>
            <w:bottom w:val="none" w:sz="0" w:space="0" w:color="auto"/>
            <w:right w:val="none" w:sz="0" w:space="0" w:color="auto"/>
          </w:divBdr>
        </w:div>
        <w:div w:id="1982809490">
          <w:marLeft w:val="1080"/>
          <w:marRight w:val="0"/>
          <w:marTop w:val="0"/>
          <w:marBottom w:val="101"/>
          <w:divBdr>
            <w:top w:val="none" w:sz="0" w:space="0" w:color="auto"/>
            <w:left w:val="none" w:sz="0" w:space="0" w:color="auto"/>
            <w:bottom w:val="none" w:sz="0" w:space="0" w:color="auto"/>
            <w:right w:val="none" w:sz="0" w:space="0" w:color="auto"/>
          </w:divBdr>
        </w:div>
        <w:div w:id="163935841">
          <w:marLeft w:val="720"/>
          <w:marRight w:val="0"/>
          <w:marTop w:val="0"/>
          <w:marBottom w:val="101"/>
          <w:divBdr>
            <w:top w:val="none" w:sz="0" w:space="0" w:color="auto"/>
            <w:left w:val="none" w:sz="0" w:space="0" w:color="auto"/>
            <w:bottom w:val="none" w:sz="0" w:space="0" w:color="auto"/>
            <w:right w:val="none" w:sz="0" w:space="0" w:color="auto"/>
          </w:divBdr>
        </w:div>
        <w:div w:id="331031325">
          <w:marLeft w:val="1080"/>
          <w:marRight w:val="0"/>
          <w:marTop w:val="0"/>
          <w:marBottom w:val="101"/>
          <w:divBdr>
            <w:top w:val="none" w:sz="0" w:space="0" w:color="auto"/>
            <w:left w:val="none" w:sz="0" w:space="0" w:color="auto"/>
            <w:bottom w:val="none" w:sz="0" w:space="0" w:color="auto"/>
            <w:right w:val="none" w:sz="0" w:space="0" w:color="auto"/>
          </w:divBdr>
        </w:div>
        <w:div w:id="761729395">
          <w:marLeft w:val="1080"/>
          <w:marRight w:val="0"/>
          <w:marTop w:val="0"/>
          <w:marBottom w:val="101"/>
          <w:divBdr>
            <w:top w:val="none" w:sz="0" w:space="0" w:color="auto"/>
            <w:left w:val="none" w:sz="0" w:space="0" w:color="auto"/>
            <w:bottom w:val="none" w:sz="0" w:space="0" w:color="auto"/>
            <w:right w:val="none" w:sz="0" w:space="0" w:color="auto"/>
          </w:divBdr>
        </w:div>
        <w:div w:id="1874804808">
          <w:marLeft w:val="1080"/>
          <w:marRight w:val="0"/>
          <w:marTop w:val="0"/>
          <w:marBottom w:val="101"/>
          <w:divBdr>
            <w:top w:val="none" w:sz="0" w:space="0" w:color="auto"/>
            <w:left w:val="none" w:sz="0" w:space="0" w:color="auto"/>
            <w:bottom w:val="none" w:sz="0" w:space="0" w:color="auto"/>
            <w:right w:val="none" w:sz="0" w:space="0" w:color="auto"/>
          </w:divBdr>
        </w:div>
        <w:div w:id="490561992">
          <w:marLeft w:val="1080"/>
          <w:marRight w:val="0"/>
          <w:marTop w:val="0"/>
          <w:marBottom w:val="101"/>
          <w:divBdr>
            <w:top w:val="none" w:sz="0" w:space="0" w:color="auto"/>
            <w:left w:val="none" w:sz="0" w:space="0" w:color="auto"/>
            <w:bottom w:val="none" w:sz="0" w:space="0" w:color="auto"/>
            <w:right w:val="none" w:sz="0" w:space="0" w:color="auto"/>
          </w:divBdr>
        </w:div>
        <w:div w:id="1510292232">
          <w:marLeft w:val="1080"/>
          <w:marRight w:val="0"/>
          <w:marTop w:val="0"/>
          <w:marBottom w:val="101"/>
          <w:divBdr>
            <w:top w:val="none" w:sz="0" w:space="0" w:color="auto"/>
            <w:left w:val="none" w:sz="0" w:space="0" w:color="auto"/>
            <w:bottom w:val="none" w:sz="0" w:space="0" w:color="auto"/>
            <w:right w:val="none" w:sz="0" w:space="0" w:color="auto"/>
          </w:divBdr>
        </w:div>
        <w:div w:id="1191920765">
          <w:marLeft w:val="1080"/>
          <w:marRight w:val="0"/>
          <w:marTop w:val="0"/>
          <w:marBottom w:val="101"/>
          <w:divBdr>
            <w:top w:val="none" w:sz="0" w:space="0" w:color="auto"/>
            <w:left w:val="none" w:sz="0" w:space="0" w:color="auto"/>
            <w:bottom w:val="none" w:sz="0" w:space="0" w:color="auto"/>
            <w:right w:val="none" w:sz="0" w:space="0" w:color="auto"/>
          </w:divBdr>
        </w:div>
        <w:div w:id="49118325">
          <w:marLeft w:val="1080"/>
          <w:marRight w:val="0"/>
          <w:marTop w:val="0"/>
          <w:marBottom w:val="101"/>
          <w:divBdr>
            <w:top w:val="none" w:sz="0" w:space="0" w:color="auto"/>
            <w:left w:val="none" w:sz="0" w:space="0" w:color="auto"/>
            <w:bottom w:val="none" w:sz="0" w:space="0" w:color="auto"/>
            <w:right w:val="none" w:sz="0" w:space="0" w:color="auto"/>
          </w:divBdr>
        </w:div>
        <w:div w:id="1099761059">
          <w:marLeft w:val="1080"/>
          <w:marRight w:val="0"/>
          <w:marTop w:val="0"/>
          <w:marBottom w:val="101"/>
          <w:divBdr>
            <w:top w:val="none" w:sz="0" w:space="0" w:color="auto"/>
            <w:left w:val="none" w:sz="0" w:space="0" w:color="auto"/>
            <w:bottom w:val="none" w:sz="0" w:space="0" w:color="auto"/>
            <w:right w:val="none" w:sz="0" w:space="0" w:color="auto"/>
          </w:divBdr>
        </w:div>
        <w:div w:id="1366559294">
          <w:marLeft w:val="1080"/>
          <w:marRight w:val="0"/>
          <w:marTop w:val="0"/>
          <w:marBottom w:val="101"/>
          <w:divBdr>
            <w:top w:val="none" w:sz="0" w:space="0" w:color="auto"/>
            <w:left w:val="none" w:sz="0" w:space="0" w:color="auto"/>
            <w:bottom w:val="none" w:sz="0" w:space="0" w:color="auto"/>
            <w:right w:val="none" w:sz="0" w:space="0" w:color="auto"/>
          </w:divBdr>
        </w:div>
        <w:div w:id="2137067956">
          <w:marLeft w:val="1080"/>
          <w:marRight w:val="0"/>
          <w:marTop w:val="0"/>
          <w:marBottom w:val="101"/>
          <w:divBdr>
            <w:top w:val="none" w:sz="0" w:space="0" w:color="auto"/>
            <w:left w:val="none" w:sz="0" w:space="0" w:color="auto"/>
            <w:bottom w:val="none" w:sz="0" w:space="0" w:color="auto"/>
            <w:right w:val="none" w:sz="0" w:space="0" w:color="auto"/>
          </w:divBdr>
        </w:div>
        <w:div w:id="955066485">
          <w:marLeft w:val="1080"/>
          <w:marRight w:val="0"/>
          <w:marTop w:val="0"/>
          <w:marBottom w:val="101"/>
          <w:divBdr>
            <w:top w:val="none" w:sz="0" w:space="0" w:color="auto"/>
            <w:left w:val="none" w:sz="0" w:space="0" w:color="auto"/>
            <w:bottom w:val="none" w:sz="0" w:space="0" w:color="auto"/>
            <w:right w:val="none" w:sz="0" w:space="0" w:color="auto"/>
          </w:divBdr>
        </w:div>
        <w:div w:id="772017300">
          <w:marLeft w:val="1080"/>
          <w:marRight w:val="0"/>
          <w:marTop w:val="0"/>
          <w:marBottom w:val="101"/>
          <w:divBdr>
            <w:top w:val="none" w:sz="0" w:space="0" w:color="auto"/>
            <w:left w:val="none" w:sz="0" w:space="0" w:color="auto"/>
            <w:bottom w:val="none" w:sz="0" w:space="0" w:color="auto"/>
            <w:right w:val="none" w:sz="0" w:space="0" w:color="auto"/>
          </w:divBdr>
        </w:div>
        <w:div w:id="265508338">
          <w:marLeft w:val="1080"/>
          <w:marRight w:val="0"/>
          <w:marTop w:val="0"/>
          <w:marBottom w:val="101"/>
          <w:divBdr>
            <w:top w:val="none" w:sz="0" w:space="0" w:color="auto"/>
            <w:left w:val="none" w:sz="0" w:space="0" w:color="auto"/>
            <w:bottom w:val="none" w:sz="0" w:space="0" w:color="auto"/>
            <w:right w:val="none" w:sz="0" w:space="0" w:color="auto"/>
          </w:divBdr>
        </w:div>
        <w:div w:id="916210669">
          <w:marLeft w:val="1080"/>
          <w:marRight w:val="0"/>
          <w:marTop w:val="0"/>
          <w:marBottom w:val="101"/>
          <w:divBdr>
            <w:top w:val="none" w:sz="0" w:space="0" w:color="auto"/>
            <w:left w:val="none" w:sz="0" w:space="0" w:color="auto"/>
            <w:bottom w:val="none" w:sz="0" w:space="0" w:color="auto"/>
            <w:right w:val="none" w:sz="0" w:space="0" w:color="auto"/>
          </w:divBdr>
        </w:div>
        <w:div w:id="1803842652">
          <w:marLeft w:val="1080"/>
          <w:marRight w:val="0"/>
          <w:marTop w:val="0"/>
          <w:marBottom w:val="101"/>
          <w:divBdr>
            <w:top w:val="none" w:sz="0" w:space="0" w:color="auto"/>
            <w:left w:val="none" w:sz="0" w:space="0" w:color="auto"/>
            <w:bottom w:val="none" w:sz="0" w:space="0" w:color="auto"/>
            <w:right w:val="none" w:sz="0" w:space="0" w:color="auto"/>
          </w:divBdr>
        </w:div>
        <w:div w:id="468131174">
          <w:marLeft w:val="1080"/>
          <w:marRight w:val="0"/>
          <w:marTop w:val="0"/>
          <w:marBottom w:val="101"/>
          <w:divBdr>
            <w:top w:val="none" w:sz="0" w:space="0" w:color="auto"/>
            <w:left w:val="none" w:sz="0" w:space="0" w:color="auto"/>
            <w:bottom w:val="none" w:sz="0" w:space="0" w:color="auto"/>
            <w:right w:val="none" w:sz="0" w:space="0" w:color="auto"/>
          </w:divBdr>
        </w:div>
        <w:div w:id="1861510053">
          <w:marLeft w:val="1080"/>
          <w:marRight w:val="0"/>
          <w:marTop w:val="0"/>
          <w:marBottom w:val="101"/>
          <w:divBdr>
            <w:top w:val="none" w:sz="0" w:space="0" w:color="auto"/>
            <w:left w:val="none" w:sz="0" w:space="0" w:color="auto"/>
            <w:bottom w:val="none" w:sz="0" w:space="0" w:color="auto"/>
            <w:right w:val="none" w:sz="0" w:space="0" w:color="auto"/>
          </w:divBdr>
        </w:div>
        <w:div w:id="1194342663">
          <w:marLeft w:val="1080"/>
          <w:marRight w:val="0"/>
          <w:marTop w:val="0"/>
          <w:marBottom w:val="101"/>
          <w:divBdr>
            <w:top w:val="none" w:sz="0" w:space="0" w:color="auto"/>
            <w:left w:val="none" w:sz="0" w:space="0" w:color="auto"/>
            <w:bottom w:val="none" w:sz="0" w:space="0" w:color="auto"/>
            <w:right w:val="none" w:sz="0" w:space="0" w:color="auto"/>
          </w:divBdr>
        </w:div>
        <w:div w:id="1764571375">
          <w:marLeft w:val="1080"/>
          <w:marRight w:val="0"/>
          <w:marTop w:val="0"/>
          <w:marBottom w:val="101"/>
          <w:divBdr>
            <w:top w:val="none" w:sz="0" w:space="0" w:color="auto"/>
            <w:left w:val="none" w:sz="0" w:space="0" w:color="auto"/>
            <w:bottom w:val="none" w:sz="0" w:space="0" w:color="auto"/>
            <w:right w:val="none" w:sz="0" w:space="0" w:color="auto"/>
          </w:divBdr>
        </w:div>
        <w:div w:id="848104389">
          <w:marLeft w:val="1080"/>
          <w:marRight w:val="0"/>
          <w:marTop w:val="0"/>
          <w:marBottom w:val="101"/>
          <w:divBdr>
            <w:top w:val="none" w:sz="0" w:space="0" w:color="auto"/>
            <w:left w:val="none" w:sz="0" w:space="0" w:color="auto"/>
            <w:bottom w:val="none" w:sz="0" w:space="0" w:color="auto"/>
            <w:right w:val="none" w:sz="0" w:space="0" w:color="auto"/>
          </w:divBdr>
        </w:div>
        <w:div w:id="186188451">
          <w:marLeft w:val="720"/>
          <w:marRight w:val="0"/>
          <w:marTop w:val="0"/>
          <w:marBottom w:val="99"/>
          <w:divBdr>
            <w:top w:val="none" w:sz="0" w:space="0" w:color="auto"/>
            <w:left w:val="none" w:sz="0" w:space="0" w:color="auto"/>
            <w:bottom w:val="none" w:sz="0" w:space="0" w:color="auto"/>
            <w:right w:val="none" w:sz="0" w:space="0" w:color="auto"/>
          </w:divBdr>
        </w:div>
        <w:div w:id="1046685059">
          <w:marLeft w:val="720"/>
          <w:marRight w:val="0"/>
          <w:marTop w:val="0"/>
          <w:marBottom w:val="99"/>
          <w:divBdr>
            <w:top w:val="none" w:sz="0" w:space="0" w:color="auto"/>
            <w:left w:val="none" w:sz="0" w:space="0" w:color="auto"/>
            <w:bottom w:val="none" w:sz="0" w:space="0" w:color="auto"/>
            <w:right w:val="none" w:sz="0" w:space="0" w:color="auto"/>
          </w:divBdr>
        </w:div>
        <w:div w:id="562565244">
          <w:marLeft w:val="720"/>
          <w:marRight w:val="0"/>
          <w:marTop w:val="0"/>
          <w:marBottom w:val="99"/>
          <w:divBdr>
            <w:top w:val="none" w:sz="0" w:space="0" w:color="auto"/>
            <w:left w:val="none" w:sz="0" w:space="0" w:color="auto"/>
            <w:bottom w:val="none" w:sz="0" w:space="0" w:color="auto"/>
            <w:right w:val="none" w:sz="0" w:space="0" w:color="auto"/>
          </w:divBdr>
        </w:div>
        <w:div w:id="2012246814">
          <w:marLeft w:val="720"/>
          <w:marRight w:val="0"/>
          <w:marTop w:val="0"/>
          <w:marBottom w:val="99"/>
          <w:divBdr>
            <w:top w:val="none" w:sz="0" w:space="0" w:color="auto"/>
            <w:left w:val="none" w:sz="0" w:space="0" w:color="auto"/>
            <w:bottom w:val="none" w:sz="0" w:space="0" w:color="auto"/>
            <w:right w:val="none" w:sz="0" w:space="0" w:color="auto"/>
          </w:divBdr>
        </w:div>
        <w:div w:id="50425753">
          <w:marLeft w:val="1080"/>
          <w:marRight w:val="0"/>
          <w:marTop w:val="0"/>
          <w:marBottom w:val="99"/>
          <w:divBdr>
            <w:top w:val="none" w:sz="0" w:space="0" w:color="auto"/>
            <w:left w:val="none" w:sz="0" w:space="0" w:color="auto"/>
            <w:bottom w:val="none" w:sz="0" w:space="0" w:color="auto"/>
            <w:right w:val="none" w:sz="0" w:space="0" w:color="auto"/>
          </w:divBdr>
        </w:div>
        <w:div w:id="1757945450">
          <w:marLeft w:val="1526"/>
          <w:marRight w:val="0"/>
          <w:marTop w:val="0"/>
          <w:marBottom w:val="99"/>
          <w:divBdr>
            <w:top w:val="none" w:sz="0" w:space="0" w:color="auto"/>
            <w:left w:val="none" w:sz="0" w:space="0" w:color="auto"/>
            <w:bottom w:val="none" w:sz="0" w:space="0" w:color="auto"/>
            <w:right w:val="none" w:sz="0" w:space="0" w:color="auto"/>
          </w:divBdr>
        </w:div>
        <w:div w:id="1751732717">
          <w:marLeft w:val="1526"/>
          <w:marRight w:val="0"/>
          <w:marTop w:val="0"/>
          <w:marBottom w:val="99"/>
          <w:divBdr>
            <w:top w:val="none" w:sz="0" w:space="0" w:color="auto"/>
            <w:left w:val="none" w:sz="0" w:space="0" w:color="auto"/>
            <w:bottom w:val="none" w:sz="0" w:space="0" w:color="auto"/>
            <w:right w:val="none" w:sz="0" w:space="0" w:color="auto"/>
          </w:divBdr>
        </w:div>
        <w:div w:id="216207797">
          <w:marLeft w:val="1526"/>
          <w:marRight w:val="0"/>
          <w:marTop w:val="0"/>
          <w:marBottom w:val="99"/>
          <w:divBdr>
            <w:top w:val="none" w:sz="0" w:space="0" w:color="auto"/>
            <w:left w:val="none" w:sz="0" w:space="0" w:color="auto"/>
            <w:bottom w:val="none" w:sz="0" w:space="0" w:color="auto"/>
            <w:right w:val="none" w:sz="0" w:space="0" w:color="auto"/>
          </w:divBdr>
        </w:div>
        <w:div w:id="1436710094">
          <w:marLeft w:val="1526"/>
          <w:marRight w:val="0"/>
          <w:marTop w:val="0"/>
          <w:marBottom w:val="99"/>
          <w:divBdr>
            <w:top w:val="none" w:sz="0" w:space="0" w:color="auto"/>
            <w:left w:val="none" w:sz="0" w:space="0" w:color="auto"/>
            <w:bottom w:val="none" w:sz="0" w:space="0" w:color="auto"/>
            <w:right w:val="none" w:sz="0" w:space="0" w:color="auto"/>
          </w:divBdr>
        </w:div>
        <w:div w:id="870072740">
          <w:marLeft w:val="1526"/>
          <w:marRight w:val="0"/>
          <w:marTop w:val="0"/>
          <w:marBottom w:val="99"/>
          <w:divBdr>
            <w:top w:val="none" w:sz="0" w:space="0" w:color="auto"/>
            <w:left w:val="none" w:sz="0" w:space="0" w:color="auto"/>
            <w:bottom w:val="none" w:sz="0" w:space="0" w:color="auto"/>
            <w:right w:val="none" w:sz="0" w:space="0" w:color="auto"/>
          </w:divBdr>
        </w:div>
        <w:div w:id="1095131016">
          <w:marLeft w:val="1526"/>
          <w:marRight w:val="0"/>
          <w:marTop w:val="0"/>
          <w:marBottom w:val="99"/>
          <w:divBdr>
            <w:top w:val="none" w:sz="0" w:space="0" w:color="auto"/>
            <w:left w:val="none" w:sz="0" w:space="0" w:color="auto"/>
            <w:bottom w:val="none" w:sz="0" w:space="0" w:color="auto"/>
            <w:right w:val="none" w:sz="0" w:space="0" w:color="auto"/>
          </w:divBdr>
        </w:div>
        <w:div w:id="286591410">
          <w:marLeft w:val="1526"/>
          <w:marRight w:val="0"/>
          <w:marTop w:val="0"/>
          <w:marBottom w:val="99"/>
          <w:divBdr>
            <w:top w:val="none" w:sz="0" w:space="0" w:color="auto"/>
            <w:left w:val="none" w:sz="0" w:space="0" w:color="auto"/>
            <w:bottom w:val="none" w:sz="0" w:space="0" w:color="auto"/>
            <w:right w:val="none" w:sz="0" w:space="0" w:color="auto"/>
          </w:divBdr>
        </w:div>
        <w:div w:id="2062514756">
          <w:marLeft w:val="1526"/>
          <w:marRight w:val="0"/>
          <w:marTop w:val="0"/>
          <w:marBottom w:val="99"/>
          <w:divBdr>
            <w:top w:val="none" w:sz="0" w:space="0" w:color="auto"/>
            <w:left w:val="none" w:sz="0" w:space="0" w:color="auto"/>
            <w:bottom w:val="none" w:sz="0" w:space="0" w:color="auto"/>
            <w:right w:val="none" w:sz="0" w:space="0" w:color="auto"/>
          </w:divBdr>
        </w:div>
        <w:div w:id="661010192">
          <w:marLeft w:val="1526"/>
          <w:marRight w:val="0"/>
          <w:marTop w:val="0"/>
          <w:marBottom w:val="99"/>
          <w:divBdr>
            <w:top w:val="none" w:sz="0" w:space="0" w:color="auto"/>
            <w:left w:val="none" w:sz="0" w:space="0" w:color="auto"/>
            <w:bottom w:val="none" w:sz="0" w:space="0" w:color="auto"/>
            <w:right w:val="none" w:sz="0" w:space="0" w:color="auto"/>
          </w:divBdr>
        </w:div>
        <w:div w:id="1809735761">
          <w:marLeft w:val="1526"/>
          <w:marRight w:val="0"/>
          <w:marTop w:val="0"/>
          <w:marBottom w:val="99"/>
          <w:divBdr>
            <w:top w:val="none" w:sz="0" w:space="0" w:color="auto"/>
            <w:left w:val="none" w:sz="0" w:space="0" w:color="auto"/>
            <w:bottom w:val="none" w:sz="0" w:space="0" w:color="auto"/>
            <w:right w:val="none" w:sz="0" w:space="0" w:color="auto"/>
          </w:divBdr>
        </w:div>
        <w:div w:id="785580397">
          <w:marLeft w:val="1526"/>
          <w:marRight w:val="0"/>
          <w:marTop w:val="0"/>
          <w:marBottom w:val="99"/>
          <w:divBdr>
            <w:top w:val="none" w:sz="0" w:space="0" w:color="auto"/>
            <w:left w:val="none" w:sz="0" w:space="0" w:color="auto"/>
            <w:bottom w:val="none" w:sz="0" w:space="0" w:color="auto"/>
            <w:right w:val="none" w:sz="0" w:space="0" w:color="auto"/>
          </w:divBdr>
        </w:div>
        <w:div w:id="997078191">
          <w:marLeft w:val="1080"/>
          <w:marRight w:val="0"/>
          <w:marTop w:val="0"/>
          <w:marBottom w:val="99"/>
          <w:divBdr>
            <w:top w:val="none" w:sz="0" w:space="0" w:color="auto"/>
            <w:left w:val="none" w:sz="0" w:space="0" w:color="auto"/>
            <w:bottom w:val="none" w:sz="0" w:space="0" w:color="auto"/>
            <w:right w:val="none" w:sz="0" w:space="0" w:color="auto"/>
          </w:divBdr>
        </w:div>
        <w:div w:id="1146361849">
          <w:marLeft w:val="1526"/>
          <w:marRight w:val="0"/>
          <w:marTop w:val="0"/>
          <w:marBottom w:val="99"/>
          <w:divBdr>
            <w:top w:val="none" w:sz="0" w:space="0" w:color="auto"/>
            <w:left w:val="none" w:sz="0" w:space="0" w:color="auto"/>
            <w:bottom w:val="none" w:sz="0" w:space="0" w:color="auto"/>
            <w:right w:val="none" w:sz="0" w:space="0" w:color="auto"/>
          </w:divBdr>
        </w:div>
        <w:div w:id="950009888">
          <w:marLeft w:val="1526"/>
          <w:marRight w:val="0"/>
          <w:marTop w:val="0"/>
          <w:marBottom w:val="99"/>
          <w:divBdr>
            <w:top w:val="none" w:sz="0" w:space="0" w:color="auto"/>
            <w:left w:val="none" w:sz="0" w:space="0" w:color="auto"/>
            <w:bottom w:val="none" w:sz="0" w:space="0" w:color="auto"/>
            <w:right w:val="none" w:sz="0" w:space="0" w:color="auto"/>
          </w:divBdr>
        </w:div>
        <w:div w:id="1125848877">
          <w:marLeft w:val="1526"/>
          <w:marRight w:val="0"/>
          <w:marTop w:val="0"/>
          <w:marBottom w:val="99"/>
          <w:divBdr>
            <w:top w:val="none" w:sz="0" w:space="0" w:color="auto"/>
            <w:left w:val="none" w:sz="0" w:space="0" w:color="auto"/>
            <w:bottom w:val="none" w:sz="0" w:space="0" w:color="auto"/>
            <w:right w:val="none" w:sz="0" w:space="0" w:color="auto"/>
          </w:divBdr>
        </w:div>
        <w:div w:id="404303755">
          <w:marLeft w:val="1526"/>
          <w:marRight w:val="0"/>
          <w:marTop w:val="0"/>
          <w:marBottom w:val="99"/>
          <w:divBdr>
            <w:top w:val="none" w:sz="0" w:space="0" w:color="auto"/>
            <w:left w:val="none" w:sz="0" w:space="0" w:color="auto"/>
            <w:bottom w:val="none" w:sz="0" w:space="0" w:color="auto"/>
            <w:right w:val="none" w:sz="0" w:space="0" w:color="auto"/>
          </w:divBdr>
        </w:div>
        <w:div w:id="2029720653">
          <w:marLeft w:val="1526"/>
          <w:marRight w:val="0"/>
          <w:marTop w:val="0"/>
          <w:marBottom w:val="99"/>
          <w:divBdr>
            <w:top w:val="none" w:sz="0" w:space="0" w:color="auto"/>
            <w:left w:val="none" w:sz="0" w:space="0" w:color="auto"/>
            <w:bottom w:val="none" w:sz="0" w:space="0" w:color="auto"/>
            <w:right w:val="none" w:sz="0" w:space="0" w:color="auto"/>
          </w:divBdr>
        </w:div>
        <w:div w:id="1689939652">
          <w:marLeft w:val="1526"/>
          <w:marRight w:val="0"/>
          <w:marTop w:val="0"/>
          <w:marBottom w:val="99"/>
          <w:divBdr>
            <w:top w:val="none" w:sz="0" w:space="0" w:color="auto"/>
            <w:left w:val="none" w:sz="0" w:space="0" w:color="auto"/>
            <w:bottom w:val="none" w:sz="0" w:space="0" w:color="auto"/>
            <w:right w:val="none" w:sz="0" w:space="0" w:color="auto"/>
          </w:divBdr>
        </w:div>
        <w:div w:id="225844759">
          <w:marLeft w:val="1526"/>
          <w:marRight w:val="0"/>
          <w:marTop w:val="0"/>
          <w:marBottom w:val="99"/>
          <w:divBdr>
            <w:top w:val="none" w:sz="0" w:space="0" w:color="auto"/>
            <w:left w:val="none" w:sz="0" w:space="0" w:color="auto"/>
            <w:bottom w:val="none" w:sz="0" w:space="0" w:color="auto"/>
            <w:right w:val="none" w:sz="0" w:space="0" w:color="auto"/>
          </w:divBdr>
        </w:div>
        <w:div w:id="1854875537">
          <w:marLeft w:val="1526"/>
          <w:marRight w:val="0"/>
          <w:marTop w:val="0"/>
          <w:marBottom w:val="99"/>
          <w:divBdr>
            <w:top w:val="none" w:sz="0" w:space="0" w:color="auto"/>
            <w:left w:val="none" w:sz="0" w:space="0" w:color="auto"/>
            <w:bottom w:val="none" w:sz="0" w:space="0" w:color="auto"/>
            <w:right w:val="none" w:sz="0" w:space="0" w:color="auto"/>
          </w:divBdr>
        </w:div>
        <w:div w:id="1916939821">
          <w:marLeft w:val="1526"/>
          <w:marRight w:val="0"/>
          <w:marTop w:val="0"/>
          <w:marBottom w:val="99"/>
          <w:divBdr>
            <w:top w:val="none" w:sz="0" w:space="0" w:color="auto"/>
            <w:left w:val="none" w:sz="0" w:space="0" w:color="auto"/>
            <w:bottom w:val="none" w:sz="0" w:space="0" w:color="auto"/>
            <w:right w:val="none" w:sz="0" w:space="0" w:color="auto"/>
          </w:divBdr>
        </w:div>
        <w:div w:id="315232624">
          <w:marLeft w:val="1526"/>
          <w:marRight w:val="0"/>
          <w:marTop w:val="0"/>
          <w:marBottom w:val="99"/>
          <w:divBdr>
            <w:top w:val="none" w:sz="0" w:space="0" w:color="auto"/>
            <w:left w:val="none" w:sz="0" w:space="0" w:color="auto"/>
            <w:bottom w:val="none" w:sz="0" w:space="0" w:color="auto"/>
            <w:right w:val="none" w:sz="0" w:space="0" w:color="auto"/>
          </w:divBdr>
        </w:div>
        <w:div w:id="83963229">
          <w:marLeft w:val="1080"/>
          <w:marRight w:val="0"/>
          <w:marTop w:val="0"/>
          <w:marBottom w:val="99"/>
          <w:divBdr>
            <w:top w:val="none" w:sz="0" w:space="0" w:color="auto"/>
            <w:left w:val="none" w:sz="0" w:space="0" w:color="auto"/>
            <w:bottom w:val="none" w:sz="0" w:space="0" w:color="auto"/>
            <w:right w:val="none" w:sz="0" w:space="0" w:color="auto"/>
          </w:divBdr>
        </w:div>
        <w:div w:id="1700857412">
          <w:marLeft w:val="1526"/>
          <w:marRight w:val="0"/>
          <w:marTop w:val="0"/>
          <w:marBottom w:val="99"/>
          <w:divBdr>
            <w:top w:val="none" w:sz="0" w:space="0" w:color="auto"/>
            <w:left w:val="none" w:sz="0" w:space="0" w:color="auto"/>
            <w:bottom w:val="none" w:sz="0" w:space="0" w:color="auto"/>
            <w:right w:val="none" w:sz="0" w:space="0" w:color="auto"/>
          </w:divBdr>
        </w:div>
        <w:div w:id="1489983771">
          <w:marLeft w:val="1526"/>
          <w:marRight w:val="0"/>
          <w:marTop w:val="0"/>
          <w:marBottom w:val="99"/>
          <w:divBdr>
            <w:top w:val="none" w:sz="0" w:space="0" w:color="auto"/>
            <w:left w:val="none" w:sz="0" w:space="0" w:color="auto"/>
            <w:bottom w:val="none" w:sz="0" w:space="0" w:color="auto"/>
            <w:right w:val="none" w:sz="0" w:space="0" w:color="auto"/>
          </w:divBdr>
        </w:div>
        <w:div w:id="2071153435">
          <w:marLeft w:val="1526"/>
          <w:marRight w:val="0"/>
          <w:marTop w:val="0"/>
          <w:marBottom w:val="99"/>
          <w:divBdr>
            <w:top w:val="none" w:sz="0" w:space="0" w:color="auto"/>
            <w:left w:val="none" w:sz="0" w:space="0" w:color="auto"/>
            <w:bottom w:val="none" w:sz="0" w:space="0" w:color="auto"/>
            <w:right w:val="none" w:sz="0" w:space="0" w:color="auto"/>
          </w:divBdr>
        </w:div>
        <w:div w:id="1532259848">
          <w:marLeft w:val="1526"/>
          <w:marRight w:val="0"/>
          <w:marTop w:val="0"/>
          <w:marBottom w:val="99"/>
          <w:divBdr>
            <w:top w:val="none" w:sz="0" w:space="0" w:color="auto"/>
            <w:left w:val="none" w:sz="0" w:space="0" w:color="auto"/>
            <w:bottom w:val="none" w:sz="0" w:space="0" w:color="auto"/>
            <w:right w:val="none" w:sz="0" w:space="0" w:color="auto"/>
          </w:divBdr>
        </w:div>
        <w:div w:id="1365790380">
          <w:marLeft w:val="1526"/>
          <w:marRight w:val="0"/>
          <w:marTop w:val="0"/>
          <w:marBottom w:val="99"/>
          <w:divBdr>
            <w:top w:val="none" w:sz="0" w:space="0" w:color="auto"/>
            <w:left w:val="none" w:sz="0" w:space="0" w:color="auto"/>
            <w:bottom w:val="none" w:sz="0" w:space="0" w:color="auto"/>
            <w:right w:val="none" w:sz="0" w:space="0" w:color="auto"/>
          </w:divBdr>
        </w:div>
        <w:div w:id="972832529">
          <w:marLeft w:val="1526"/>
          <w:marRight w:val="0"/>
          <w:marTop w:val="0"/>
          <w:marBottom w:val="99"/>
          <w:divBdr>
            <w:top w:val="none" w:sz="0" w:space="0" w:color="auto"/>
            <w:left w:val="none" w:sz="0" w:space="0" w:color="auto"/>
            <w:bottom w:val="none" w:sz="0" w:space="0" w:color="auto"/>
            <w:right w:val="none" w:sz="0" w:space="0" w:color="auto"/>
          </w:divBdr>
        </w:div>
        <w:div w:id="64185559">
          <w:marLeft w:val="1526"/>
          <w:marRight w:val="0"/>
          <w:marTop w:val="0"/>
          <w:marBottom w:val="99"/>
          <w:divBdr>
            <w:top w:val="none" w:sz="0" w:space="0" w:color="auto"/>
            <w:left w:val="none" w:sz="0" w:space="0" w:color="auto"/>
            <w:bottom w:val="none" w:sz="0" w:space="0" w:color="auto"/>
            <w:right w:val="none" w:sz="0" w:space="0" w:color="auto"/>
          </w:divBdr>
        </w:div>
        <w:div w:id="1131943730">
          <w:marLeft w:val="1526"/>
          <w:marRight w:val="0"/>
          <w:marTop w:val="0"/>
          <w:marBottom w:val="99"/>
          <w:divBdr>
            <w:top w:val="none" w:sz="0" w:space="0" w:color="auto"/>
            <w:left w:val="none" w:sz="0" w:space="0" w:color="auto"/>
            <w:bottom w:val="none" w:sz="0" w:space="0" w:color="auto"/>
            <w:right w:val="none" w:sz="0" w:space="0" w:color="auto"/>
          </w:divBdr>
        </w:div>
        <w:div w:id="1695182226">
          <w:marLeft w:val="1526"/>
          <w:marRight w:val="0"/>
          <w:marTop w:val="0"/>
          <w:marBottom w:val="99"/>
          <w:divBdr>
            <w:top w:val="none" w:sz="0" w:space="0" w:color="auto"/>
            <w:left w:val="none" w:sz="0" w:space="0" w:color="auto"/>
            <w:bottom w:val="none" w:sz="0" w:space="0" w:color="auto"/>
            <w:right w:val="none" w:sz="0" w:space="0" w:color="auto"/>
          </w:divBdr>
        </w:div>
        <w:div w:id="485785097">
          <w:marLeft w:val="1526"/>
          <w:marRight w:val="0"/>
          <w:marTop w:val="0"/>
          <w:marBottom w:val="99"/>
          <w:divBdr>
            <w:top w:val="none" w:sz="0" w:space="0" w:color="auto"/>
            <w:left w:val="none" w:sz="0" w:space="0" w:color="auto"/>
            <w:bottom w:val="none" w:sz="0" w:space="0" w:color="auto"/>
            <w:right w:val="none" w:sz="0" w:space="0" w:color="auto"/>
          </w:divBdr>
        </w:div>
        <w:div w:id="1515224092">
          <w:marLeft w:val="1080"/>
          <w:marRight w:val="0"/>
          <w:marTop w:val="0"/>
          <w:marBottom w:val="99"/>
          <w:divBdr>
            <w:top w:val="none" w:sz="0" w:space="0" w:color="auto"/>
            <w:left w:val="none" w:sz="0" w:space="0" w:color="auto"/>
            <w:bottom w:val="none" w:sz="0" w:space="0" w:color="auto"/>
            <w:right w:val="none" w:sz="0" w:space="0" w:color="auto"/>
          </w:divBdr>
        </w:div>
        <w:div w:id="1874882715">
          <w:marLeft w:val="1526"/>
          <w:marRight w:val="0"/>
          <w:marTop w:val="0"/>
          <w:marBottom w:val="99"/>
          <w:divBdr>
            <w:top w:val="none" w:sz="0" w:space="0" w:color="auto"/>
            <w:left w:val="none" w:sz="0" w:space="0" w:color="auto"/>
            <w:bottom w:val="none" w:sz="0" w:space="0" w:color="auto"/>
            <w:right w:val="none" w:sz="0" w:space="0" w:color="auto"/>
          </w:divBdr>
        </w:div>
        <w:div w:id="532503107">
          <w:marLeft w:val="1526"/>
          <w:marRight w:val="0"/>
          <w:marTop w:val="0"/>
          <w:marBottom w:val="99"/>
          <w:divBdr>
            <w:top w:val="none" w:sz="0" w:space="0" w:color="auto"/>
            <w:left w:val="none" w:sz="0" w:space="0" w:color="auto"/>
            <w:bottom w:val="none" w:sz="0" w:space="0" w:color="auto"/>
            <w:right w:val="none" w:sz="0" w:space="0" w:color="auto"/>
          </w:divBdr>
        </w:div>
        <w:div w:id="1528760860">
          <w:marLeft w:val="1526"/>
          <w:marRight w:val="0"/>
          <w:marTop w:val="0"/>
          <w:marBottom w:val="99"/>
          <w:divBdr>
            <w:top w:val="none" w:sz="0" w:space="0" w:color="auto"/>
            <w:left w:val="none" w:sz="0" w:space="0" w:color="auto"/>
            <w:bottom w:val="none" w:sz="0" w:space="0" w:color="auto"/>
            <w:right w:val="none" w:sz="0" w:space="0" w:color="auto"/>
          </w:divBdr>
        </w:div>
        <w:div w:id="1716006900">
          <w:marLeft w:val="1526"/>
          <w:marRight w:val="0"/>
          <w:marTop w:val="0"/>
          <w:marBottom w:val="99"/>
          <w:divBdr>
            <w:top w:val="none" w:sz="0" w:space="0" w:color="auto"/>
            <w:left w:val="none" w:sz="0" w:space="0" w:color="auto"/>
            <w:bottom w:val="none" w:sz="0" w:space="0" w:color="auto"/>
            <w:right w:val="none" w:sz="0" w:space="0" w:color="auto"/>
          </w:divBdr>
        </w:div>
        <w:div w:id="767458629">
          <w:marLeft w:val="1526"/>
          <w:marRight w:val="0"/>
          <w:marTop w:val="0"/>
          <w:marBottom w:val="101"/>
          <w:divBdr>
            <w:top w:val="none" w:sz="0" w:space="0" w:color="auto"/>
            <w:left w:val="none" w:sz="0" w:space="0" w:color="auto"/>
            <w:bottom w:val="none" w:sz="0" w:space="0" w:color="auto"/>
            <w:right w:val="none" w:sz="0" w:space="0" w:color="auto"/>
          </w:divBdr>
        </w:div>
        <w:div w:id="1916624087">
          <w:marLeft w:val="1526"/>
          <w:marRight w:val="0"/>
          <w:marTop w:val="0"/>
          <w:marBottom w:val="101"/>
          <w:divBdr>
            <w:top w:val="none" w:sz="0" w:space="0" w:color="auto"/>
            <w:left w:val="none" w:sz="0" w:space="0" w:color="auto"/>
            <w:bottom w:val="none" w:sz="0" w:space="0" w:color="auto"/>
            <w:right w:val="none" w:sz="0" w:space="0" w:color="auto"/>
          </w:divBdr>
        </w:div>
        <w:div w:id="1380545331">
          <w:marLeft w:val="1526"/>
          <w:marRight w:val="0"/>
          <w:marTop w:val="0"/>
          <w:marBottom w:val="101"/>
          <w:divBdr>
            <w:top w:val="none" w:sz="0" w:space="0" w:color="auto"/>
            <w:left w:val="none" w:sz="0" w:space="0" w:color="auto"/>
            <w:bottom w:val="none" w:sz="0" w:space="0" w:color="auto"/>
            <w:right w:val="none" w:sz="0" w:space="0" w:color="auto"/>
          </w:divBdr>
        </w:div>
        <w:div w:id="162356522">
          <w:marLeft w:val="1526"/>
          <w:marRight w:val="0"/>
          <w:marTop w:val="0"/>
          <w:marBottom w:val="101"/>
          <w:divBdr>
            <w:top w:val="none" w:sz="0" w:space="0" w:color="auto"/>
            <w:left w:val="none" w:sz="0" w:space="0" w:color="auto"/>
            <w:bottom w:val="none" w:sz="0" w:space="0" w:color="auto"/>
            <w:right w:val="none" w:sz="0" w:space="0" w:color="auto"/>
          </w:divBdr>
        </w:div>
        <w:div w:id="740296592">
          <w:marLeft w:val="1526"/>
          <w:marRight w:val="0"/>
          <w:marTop w:val="0"/>
          <w:marBottom w:val="101"/>
          <w:divBdr>
            <w:top w:val="none" w:sz="0" w:space="0" w:color="auto"/>
            <w:left w:val="none" w:sz="0" w:space="0" w:color="auto"/>
            <w:bottom w:val="none" w:sz="0" w:space="0" w:color="auto"/>
            <w:right w:val="none" w:sz="0" w:space="0" w:color="auto"/>
          </w:divBdr>
        </w:div>
        <w:div w:id="666712666">
          <w:marLeft w:val="1526"/>
          <w:marRight w:val="0"/>
          <w:marTop w:val="0"/>
          <w:marBottom w:val="101"/>
          <w:divBdr>
            <w:top w:val="none" w:sz="0" w:space="0" w:color="auto"/>
            <w:left w:val="none" w:sz="0" w:space="0" w:color="auto"/>
            <w:bottom w:val="none" w:sz="0" w:space="0" w:color="auto"/>
            <w:right w:val="none" w:sz="0" w:space="0" w:color="auto"/>
          </w:divBdr>
        </w:div>
        <w:div w:id="874151035">
          <w:marLeft w:val="1526"/>
          <w:marRight w:val="0"/>
          <w:marTop w:val="0"/>
          <w:marBottom w:val="101"/>
          <w:divBdr>
            <w:top w:val="none" w:sz="0" w:space="0" w:color="auto"/>
            <w:left w:val="none" w:sz="0" w:space="0" w:color="auto"/>
            <w:bottom w:val="none" w:sz="0" w:space="0" w:color="auto"/>
            <w:right w:val="none" w:sz="0" w:space="0" w:color="auto"/>
          </w:divBdr>
        </w:div>
        <w:div w:id="554587955">
          <w:marLeft w:val="1526"/>
          <w:marRight w:val="0"/>
          <w:marTop w:val="0"/>
          <w:marBottom w:val="101"/>
          <w:divBdr>
            <w:top w:val="none" w:sz="0" w:space="0" w:color="auto"/>
            <w:left w:val="none" w:sz="0" w:space="0" w:color="auto"/>
            <w:bottom w:val="none" w:sz="0" w:space="0" w:color="auto"/>
            <w:right w:val="none" w:sz="0" w:space="0" w:color="auto"/>
          </w:divBdr>
        </w:div>
        <w:div w:id="1578516757">
          <w:marLeft w:val="1526"/>
          <w:marRight w:val="0"/>
          <w:marTop w:val="0"/>
          <w:marBottom w:val="101"/>
          <w:divBdr>
            <w:top w:val="none" w:sz="0" w:space="0" w:color="auto"/>
            <w:left w:val="none" w:sz="0" w:space="0" w:color="auto"/>
            <w:bottom w:val="none" w:sz="0" w:space="0" w:color="auto"/>
            <w:right w:val="none" w:sz="0" w:space="0" w:color="auto"/>
          </w:divBdr>
        </w:div>
        <w:div w:id="1541278435">
          <w:marLeft w:val="1526"/>
          <w:marRight w:val="0"/>
          <w:marTop w:val="0"/>
          <w:marBottom w:val="101"/>
          <w:divBdr>
            <w:top w:val="none" w:sz="0" w:space="0" w:color="auto"/>
            <w:left w:val="none" w:sz="0" w:space="0" w:color="auto"/>
            <w:bottom w:val="none" w:sz="0" w:space="0" w:color="auto"/>
            <w:right w:val="none" w:sz="0" w:space="0" w:color="auto"/>
          </w:divBdr>
        </w:div>
        <w:div w:id="829833039">
          <w:marLeft w:val="1526"/>
          <w:marRight w:val="0"/>
          <w:marTop w:val="0"/>
          <w:marBottom w:val="101"/>
          <w:divBdr>
            <w:top w:val="none" w:sz="0" w:space="0" w:color="auto"/>
            <w:left w:val="none" w:sz="0" w:space="0" w:color="auto"/>
            <w:bottom w:val="none" w:sz="0" w:space="0" w:color="auto"/>
            <w:right w:val="none" w:sz="0" w:space="0" w:color="auto"/>
          </w:divBdr>
        </w:div>
        <w:div w:id="1268275753">
          <w:marLeft w:val="1526"/>
          <w:marRight w:val="0"/>
          <w:marTop w:val="0"/>
          <w:marBottom w:val="101"/>
          <w:divBdr>
            <w:top w:val="none" w:sz="0" w:space="0" w:color="auto"/>
            <w:left w:val="none" w:sz="0" w:space="0" w:color="auto"/>
            <w:bottom w:val="none" w:sz="0" w:space="0" w:color="auto"/>
            <w:right w:val="none" w:sz="0" w:space="0" w:color="auto"/>
          </w:divBdr>
        </w:div>
        <w:div w:id="189733382">
          <w:marLeft w:val="1526"/>
          <w:marRight w:val="0"/>
          <w:marTop w:val="0"/>
          <w:marBottom w:val="101"/>
          <w:divBdr>
            <w:top w:val="none" w:sz="0" w:space="0" w:color="auto"/>
            <w:left w:val="none" w:sz="0" w:space="0" w:color="auto"/>
            <w:bottom w:val="none" w:sz="0" w:space="0" w:color="auto"/>
            <w:right w:val="none" w:sz="0" w:space="0" w:color="auto"/>
          </w:divBdr>
        </w:div>
        <w:div w:id="1607155297">
          <w:marLeft w:val="1080"/>
          <w:marRight w:val="0"/>
          <w:marTop w:val="0"/>
          <w:marBottom w:val="101"/>
          <w:divBdr>
            <w:top w:val="none" w:sz="0" w:space="0" w:color="auto"/>
            <w:left w:val="none" w:sz="0" w:space="0" w:color="auto"/>
            <w:bottom w:val="none" w:sz="0" w:space="0" w:color="auto"/>
            <w:right w:val="none" w:sz="0" w:space="0" w:color="auto"/>
          </w:divBdr>
        </w:div>
        <w:div w:id="821971176">
          <w:marLeft w:val="1080"/>
          <w:marRight w:val="0"/>
          <w:marTop w:val="0"/>
          <w:marBottom w:val="101"/>
          <w:divBdr>
            <w:top w:val="none" w:sz="0" w:space="0" w:color="auto"/>
            <w:left w:val="none" w:sz="0" w:space="0" w:color="auto"/>
            <w:bottom w:val="none" w:sz="0" w:space="0" w:color="auto"/>
            <w:right w:val="none" w:sz="0" w:space="0" w:color="auto"/>
          </w:divBdr>
        </w:div>
        <w:div w:id="45224523">
          <w:marLeft w:val="0"/>
          <w:marRight w:val="0"/>
          <w:marTop w:val="0"/>
          <w:marBottom w:val="101"/>
          <w:divBdr>
            <w:top w:val="none" w:sz="0" w:space="0" w:color="auto"/>
            <w:left w:val="none" w:sz="0" w:space="0" w:color="auto"/>
            <w:bottom w:val="none" w:sz="0" w:space="0" w:color="auto"/>
            <w:right w:val="none" w:sz="0" w:space="0" w:color="auto"/>
          </w:divBdr>
        </w:div>
        <w:div w:id="1326324504">
          <w:marLeft w:val="0"/>
          <w:marRight w:val="0"/>
          <w:marTop w:val="0"/>
          <w:marBottom w:val="101"/>
          <w:divBdr>
            <w:top w:val="none" w:sz="0" w:space="0" w:color="auto"/>
            <w:left w:val="none" w:sz="0" w:space="0" w:color="auto"/>
            <w:bottom w:val="none" w:sz="0" w:space="0" w:color="auto"/>
            <w:right w:val="none" w:sz="0" w:space="0" w:color="auto"/>
          </w:divBdr>
        </w:div>
        <w:div w:id="1706825780">
          <w:marLeft w:val="720"/>
          <w:marRight w:val="0"/>
          <w:marTop w:val="0"/>
          <w:marBottom w:val="101"/>
          <w:divBdr>
            <w:top w:val="none" w:sz="0" w:space="0" w:color="auto"/>
            <w:left w:val="none" w:sz="0" w:space="0" w:color="auto"/>
            <w:bottom w:val="none" w:sz="0" w:space="0" w:color="auto"/>
            <w:right w:val="none" w:sz="0" w:space="0" w:color="auto"/>
          </w:divBdr>
        </w:div>
        <w:div w:id="504200454">
          <w:marLeft w:val="720"/>
          <w:marRight w:val="0"/>
          <w:marTop w:val="0"/>
          <w:marBottom w:val="101"/>
          <w:divBdr>
            <w:top w:val="none" w:sz="0" w:space="0" w:color="auto"/>
            <w:left w:val="none" w:sz="0" w:space="0" w:color="auto"/>
            <w:bottom w:val="none" w:sz="0" w:space="0" w:color="auto"/>
            <w:right w:val="none" w:sz="0" w:space="0" w:color="auto"/>
          </w:divBdr>
        </w:div>
        <w:div w:id="1858689859">
          <w:marLeft w:val="720"/>
          <w:marRight w:val="0"/>
          <w:marTop w:val="0"/>
          <w:marBottom w:val="101"/>
          <w:divBdr>
            <w:top w:val="none" w:sz="0" w:space="0" w:color="auto"/>
            <w:left w:val="none" w:sz="0" w:space="0" w:color="auto"/>
            <w:bottom w:val="none" w:sz="0" w:space="0" w:color="auto"/>
            <w:right w:val="none" w:sz="0" w:space="0" w:color="auto"/>
          </w:divBdr>
        </w:div>
        <w:div w:id="981538150">
          <w:marLeft w:val="1080"/>
          <w:marRight w:val="0"/>
          <w:marTop w:val="0"/>
          <w:marBottom w:val="101"/>
          <w:divBdr>
            <w:top w:val="none" w:sz="0" w:space="0" w:color="auto"/>
            <w:left w:val="none" w:sz="0" w:space="0" w:color="auto"/>
            <w:bottom w:val="none" w:sz="0" w:space="0" w:color="auto"/>
            <w:right w:val="none" w:sz="0" w:space="0" w:color="auto"/>
          </w:divBdr>
        </w:div>
        <w:div w:id="1945770947">
          <w:marLeft w:val="1080"/>
          <w:marRight w:val="0"/>
          <w:marTop w:val="0"/>
          <w:marBottom w:val="101"/>
          <w:divBdr>
            <w:top w:val="none" w:sz="0" w:space="0" w:color="auto"/>
            <w:left w:val="none" w:sz="0" w:space="0" w:color="auto"/>
            <w:bottom w:val="none" w:sz="0" w:space="0" w:color="auto"/>
            <w:right w:val="none" w:sz="0" w:space="0" w:color="auto"/>
          </w:divBdr>
        </w:div>
        <w:div w:id="484274541">
          <w:marLeft w:val="1080"/>
          <w:marRight w:val="0"/>
          <w:marTop w:val="0"/>
          <w:marBottom w:val="101"/>
          <w:divBdr>
            <w:top w:val="none" w:sz="0" w:space="0" w:color="auto"/>
            <w:left w:val="none" w:sz="0" w:space="0" w:color="auto"/>
            <w:bottom w:val="none" w:sz="0" w:space="0" w:color="auto"/>
            <w:right w:val="none" w:sz="0" w:space="0" w:color="auto"/>
          </w:divBdr>
        </w:div>
        <w:div w:id="462307941">
          <w:marLeft w:val="1080"/>
          <w:marRight w:val="0"/>
          <w:marTop w:val="0"/>
          <w:marBottom w:val="101"/>
          <w:divBdr>
            <w:top w:val="none" w:sz="0" w:space="0" w:color="auto"/>
            <w:left w:val="none" w:sz="0" w:space="0" w:color="auto"/>
            <w:bottom w:val="none" w:sz="0" w:space="0" w:color="auto"/>
            <w:right w:val="none" w:sz="0" w:space="0" w:color="auto"/>
          </w:divBdr>
        </w:div>
        <w:div w:id="863788743">
          <w:marLeft w:val="1080"/>
          <w:marRight w:val="0"/>
          <w:marTop w:val="0"/>
          <w:marBottom w:val="101"/>
          <w:divBdr>
            <w:top w:val="none" w:sz="0" w:space="0" w:color="auto"/>
            <w:left w:val="none" w:sz="0" w:space="0" w:color="auto"/>
            <w:bottom w:val="none" w:sz="0" w:space="0" w:color="auto"/>
            <w:right w:val="none" w:sz="0" w:space="0" w:color="auto"/>
          </w:divBdr>
        </w:div>
        <w:div w:id="670447501">
          <w:marLeft w:val="1080"/>
          <w:marRight w:val="0"/>
          <w:marTop w:val="0"/>
          <w:marBottom w:val="101"/>
          <w:divBdr>
            <w:top w:val="none" w:sz="0" w:space="0" w:color="auto"/>
            <w:left w:val="none" w:sz="0" w:space="0" w:color="auto"/>
            <w:bottom w:val="none" w:sz="0" w:space="0" w:color="auto"/>
            <w:right w:val="none" w:sz="0" w:space="0" w:color="auto"/>
          </w:divBdr>
        </w:div>
        <w:div w:id="945847696">
          <w:marLeft w:val="1080"/>
          <w:marRight w:val="0"/>
          <w:marTop w:val="0"/>
          <w:marBottom w:val="101"/>
          <w:divBdr>
            <w:top w:val="none" w:sz="0" w:space="0" w:color="auto"/>
            <w:left w:val="none" w:sz="0" w:space="0" w:color="auto"/>
            <w:bottom w:val="none" w:sz="0" w:space="0" w:color="auto"/>
            <w:right w:val="none" w:sz="0" w:space="0" w:color="auto"/>
          </w:divBdr>
        </w:div>
        <w:div w:id="1035428040">
          <w:marLeft w:val="1080"/>
          <w:marRight w:val="0"/>
          <w:marTop w:val="0"/>
          <w:marBottom w:val="101"/>
          <w:divBdr>
            <w:top w:val="none" w:sz="0" w:space="0" w:color="auto"/>
            <w:left w:val="none" w:sz="0" w:space="0" w:color="auto"/>
            <w:bottom w:val="none" w:sz="0" w:space="0" w:color="auto"/>
            <w:right w:val="none" w:sz="0" w:space="0" w:color="auto"/>
          </w:divBdr>
        </w:div>
        <w:div w:id="2005816598">
          <w:marLeft w:val="1080"/>
          <w:marRight w:val="0"/>
          <w:marTop w:val="0"/>
          <w:marBottom w:val="101"/>
          <w:divBdr>
            <w:top w:val="none" w:sz="0" w:space="0" w:color="auto"/>
            <w:left w:val="none" w:sz="0" w:space="0" w:color="auto"/>
            <w:bottom w:val="none" w:sz="0" w:space="0" w:color="auto"/>
            <w:right w:val="none" w:sz="0" w:space="0" w:color="auto"/>
          </w:divBdr>
        </w:div>
        <w:div w:id="1297297214">
          <w:marLeft w:val="1080"/>
          <w:marRight w:val="0"/>
          <w:marTop w:val="0"/>
          <w:marBottom w:val="101"/>
          <w:divBdr>
            <w:top w:val="none" w:sz="0" w:space="0" w:color="auto"/>
            <w:left w:val="none" w:sz="0" w:space="0" w:color="auto"/>
            <w:bottom w:val="none" w:sz="0" w:space="0" w:color="auto"/>
            <w:right w:val="none" w:sz="0" w:space="0" w:color="auto"/>
          </w:divBdr>
        </w:div>
        <w:div w:id="1946184757">
          <w:marLeft w:val="1080"/>
          <w:marRight w:val="0"/>
          <w:marTop w:val="0"/>
          <w:marBottom w:val="101"/>
          <w:divBdr>
            <w:top w:val="none" w:sz="0" w:space="0" w:color="auto"/>
            <w:left w:val="none" w:sz="0" w:space="0" w:color="auto"/>
            <w:bottom w:val="none" w:sz="0" w:space="0" w:color="auto"/>
            <w:right w:val="none" w:sz="0" w:space="0" w:color="auto"/>
          </w:divBdr>
        </w:div>
        <w:div w:id="1355763931">
          <w:marLeft w:val="1080"/>
          <w:marRight w:val="0"/>
          <w:marTop w:val="0"/>
          <w:marBottom w:val="101"/>
          <w:divBdr>
            <w:top w:val="none" w:sz="0" w:space="0" w:color="auto"/>
            <w:left w:val="none" w:sz="0" w:space="0" w:color="auto"/>
            <w:bottom w:val="none" w:sz="0" w:space="0" w:color="auto"/>
            <w:right w:val="none" w:sz="0" w:space="0" w:color="auto"/>
          </w:divBdr>
        </w:div>
        <w:div w:id="1868106355">
          <w:marLeft w:val="1080"/>
          <w:marRight w:val="0"/>
          <w:marTop w:val="0"/>
          <w:marBottom w:val="101"/>
          <w:divBdr>
            <w:top w:val="none" w:sz="0" w:space="0" w:color="auto"/>
            <w:left w:val="none" w:sz="0" w:space="0" w:color="auto"/>
            <w:bottom w:val="none" w:sz="0" w:space="0" w:color="auto"/>
            <w:right w:val="none" w:sz="0" w:space="0" w:color="auto"/>
          </w:divBdr>
        </w:div>
        <w:div w:id="1602176468">
          <w:marLeft w:val="1080"/>
          <w:marRight w:val="0"/>
          <w:marTop w:val="0"/>
          <w:marBottom w:val="101"/>
          <w:divBdr>
            <w:top w:val="none" w:sz="0" w:space="0" w:color="auto"/>
            <w:left w:val="none" w:sz="0" w:space="0" w:color="auto"/>
            <w:bottom w:val="none" w:sz="0" w:space="0" w:color="auto"/>
            <w:right w:val="none" w:sz="0" w:space="0" w:color="auto"/>
          </w:divBdr>
        </w:div>
        <w:div w:id="1909072609">
          <w:marLeft w:val="1080"/>
          <w:marRight w:val="0"/>
          <w:marTop w:val="0"/>
          <w:marBottom w:val="101"/>
          <w:divBdr>
            <w:top w:val="none" w:sz="0" w:space="0" w:color="auto"/>
            <w:left w:val="none" w:sz="0" w:space="0" w:color="auto"/>
            <w:bottom w:val="none" w:sz="0" w:space="0" w:color="auto"/>
            <w:right w:val="none" w:sz="0" w:space="0" w:color="auto"/>
          </w:divBdr>
        </w:div>
        <w:div w:id="364793910">
          <w:marLeft w:val="1080"/>
          <w:marRight w:val="0"/>
          <w:marTop w:val="0"/>
          <w:marBottom w:val="101"/>
          <w:divBdr>
            <w:top w:val="none" w:sz="0" w:space="0" w:color="auto"/>
            <w:left w:val="none" w:sz="0" w:space="0" w:color="auto"/>
            <w:bottom w:val="none" w:sz="0" w:space="0" w:color="auto"/>
            <w:right w:val="none" w:sz="0" w:space="0" w:color="auto"/>
          </w:divBdr>
        </w:div>
        <w:div w:id="966817405">
          <w:marLeft w:val="1080"/>
          <w:marRight w:val="0"/>
          <w:marTop w:val="0"/>
          <w:marBottom w:val="101"/>
          <w:divBdr>
            <w:top w:val="none" w:sz="0" w:space="0" w:color="auto"/>
            <w:left w:val="none" w:sz="0" w:space="0" w:color="auto"/>
            <w:bottom w:val="none" w:sz="0" w:space="0" w:color="auto"/>
            <w:right w:val="none" w:sz="0" w:space="0" w:color="auto"/>
          </w:divBdr>
        </w:div>
        <w:div w:id="911238315">
          <w:marLeft w:val="1080"/>
          <w:marRight w:val="0"/>
          <w:marTop w:val="0"/>
          <w:marBottom w:val="101"/>
          <w:divBdr>
            <w:top w:val="none" w:sz="0" w:space="0" w:color="auto"/>
            <w:left w:val="none" w:sz="0" w:space="0" w:color="auto"/>
            <w:bottom w:val="none" w:sz="0" w:space="0" w:color="auto"/>
            <w:right w:val="none" w:sz="0" w:space="0" w:color="auto"/>
          </w:divBdr>
        </w:div>
        <w:div w:id="188180111">
          <w:marLeft w:val="1080"/>
          <w:marRight w:val="0"/>
          <w:marTop w:val="0"/>
          <w:marBottom w:val="101"/>
          <w:divBdr>
            <w:top w:val="none" w:sz="0" w:space="0" w:color="auto"/>
            <w:left w:val="none" w:sz="0" w:space="0" w:color="auto"/>
            <w:bottom w:val="none" w:sz="0" w:space="0" w:color="auto"/>
            <w:right w:val="none" w:sz="0" w:space="0" w:color="auto"/>
          </w:divBdr>
        </w:div>
        <w:div w:id="397167153">
          <w:marLeft w:val="1080"/>
          <w:marRight w:val="0"/>
          <w:marTop w:val="0"/>
          <w:marBottom w:val="101"/>
          <w:divBdr>
            <w:top w:val="none" w:sz="0" w:space="0" w:color="auto"/>
            <w:left w:val="none" w:sz="0" w:space="0" w:color="auto"/>
            <w:bottom w:val="none" w:sz="0" w:space="0" w:color="auto"/>
            <w:right w:val="none" w:sz="0" w:space="0" w:color="auto"/>
          </w:divBdr>
        </w:div>
        <w:div w:id="1746757718">
          <w:marLeft w:val="1080"/>
          <w:marRight w:val="0"/>
          <w:marTop w:val="0"/>
          <w:marBottom w:val="101"/>
          <w:divBdr>
            <w:top w:val="none" w:sz="0" w:space="0" w:color="auto"/>
            <w:left w:val="none" w:sz="0" w:space="0" w:color="auto"/>
            <w:bottom w:val="none" w:sz="0" w:space="0" w:color="auto"/>
            <w:right w:val="none" w:sz="0" w:space="0" w:color="auto"/>
          </w:divBdr>
        </w:div>
        <w:div w:id="1077363847">
          <w:marLeft w:val="1080"/>
          <w:marRight w:val="0"/>
          <w:marTop w:val="0"/>
          <w:marBottom w:val="101"/>
          <w:divBdr>
            <w:top w:val="none" w:sz="0" w:space="0" w:color="auto"/>
            <w:left w:val="none" w:sz="0" w:space="0" w:color="auto"/>
            <w:bottom w:val="none" w:sz="0" w:space="0" w:color="auto"/>
            <w:right w:val="none" w:sz="0" w:space="0" w:color="auto"/>
          </w:divBdr>
        </w:div>
        <w:div w:id="284965845">
          <w:marLeft w:val="1080"/>
          <w:marRight w:val="0"/>
          <w:marTop w:val="0"/>
          <w:marBottom w:val="101"/>
          <w:divBdr>
            <w:top w:val="none" w:sz="0" w:space="0" w:color="auto"/>
            <w:left w:val="none" w:sz="0" w:space="0" w:color="auto"/>
            <w:bottom w:val="none" w:sz="0" w:space="0" w:color="auto"/>
            <w:right w:val="none" w:sz="0" w:space="0" w:color="auto"/>
          </w:divBdr>
        </w:div>
        <w:div w:id="1961497037">
          <w:marLeft w:val="1080"/>
          <w:marRight w:val="0"/>
          <w:marTop w:val="0"/>
          <w:marBottom w:val="101"/>
          <w:divBdr>
            <w:top w:val="none" w:sz="0" w:space="0" w:color="auto"/>
            <w:left w:val="none" w:sz="0" w:space="0" w:color="auto"/>
            <w:bottom w:val="none" w:sz="0" w:space="0" w:color="auto"/>
            <w:right w:val="none" w:sz="0" w:space="0" w:color="auto"/>
          </w:divBdr>
        </w:div>
        <w:div w:id="2067028980">
          <w:marLeft w:val="1080"/>
          <w:marRight w:val="0"/>
          <w:marTop w:val="0"/>
          <w:marBottom w:val="101"/>
          <w:divBdr>
            <w:top w:val="none" w:sz="0" w:space="0" w:color="auto"/>
            <w:left w:val="none" w:sz="0" w:space="0" w:color="auto"/>
            <w:bottom w:val="none" w:sz="0" w:space="0" w:color="auto"/>
            <w:right w:val="none" w:sz="0" w:space="0" w:color="auto"/>
          </w:divBdr>
        </w:div>
        <w:div w:id="1128548478">
          <w:marLeft w:val="1080"/>
          <w:marRight w:val="0"/>
          <w:marTop w:val="0"/>
          <w:marBottom w:val="101"/>
          <w:divBdr>
            <w:top w:val="none" w:sz="0" w:space="0" w:color="auto"/>
            <w:left w:val="none" w:sz="0" w:space="0" w:color="auto"/>
            <w:bottom w:val="none" w:sz="0" w:space="0" w:color="auto"/>
            <w:right w:val="none" w:sz="0" w:space="0" w:color="auto"/>
          </w:divBdr>
        </w:div>
        <w:div w:id="524640541">
          <w:marLeft w:val="1080"/>
          <w:marRight w:val="0"/>
          <w:marTop w:val="0"/>
          <w:marBottom w:val="101"/>
          <w:divBdr>
            <w:top w:val="none" w:sz="0" w:space="0" w:color="auto"/>
            <w:left w:val="none" w:sz="0" w:space="0" w:color="auto"/>
            <w:bottom w:val="none" w:sz="0" w:space="0" w:color="auto"/>
            <w:right w:val="none" w:sz="0" w:space="0" w:color="auto"/>
          </w:divBdr>
        </w:div>
        <w:div w:id="975185328">
          <w:marLeft w:val="1080"/>
          <w:marRight w:val="0"/>
          <w:marTop w:val="0"/>
          <w:marBottom w:val="101"/>
          <w:divBdr>
            <w:top w:val="none" w:sz="0" w:space="0" w:color="auto"/>
            <w:left w:val="none" w:sz="0" w:space="0" w:color="auto"/>
            <w:bottom w:val="none" w:sz="0" w:space="0" w:color="auto"/>
            <w:right w:val="none" w:sz="0" w:space="0" w:color="auto"/>
          </w:divBdr>
        </w:div>
        <w:div w:id="1623265621">
          <w:marLeft w:val="1080"/>
          <w:marRight w:val="0"/>
          <w:marTop w:val="0"/>
          <w:marBottom w:val="101"/>
          <w:divBdr>
            <w:top w:val="none" w:sz="0" w:space="0" w:color="auto"/>
            <w:left w:val="none" w:sz="0" w:space="0" w:color="auto"/>
            <w:bottom w:val="none" w:sz="0" w:space="0" w:color="auto"/>
            <w:right w:val="none" w:sz="0" w:space="0" w:color="auto"/>
          </w:divBdr>
        </w:div>
        <w:div w:id="1862166654">
          <w:marLeft w:val="1080"/>
          <w:marRight w:val="0"/>
          <w:marTop w:val="0"/>
          <w:marBottom w:val="101"/>
          <w:divBdr>
            <w:top w:val="none" w:sz="0" w:space="0" w:color="auto"/>
            <w:left w:val="none" w:sz="0" w:space="0" w:color="auto"/>
            <w:bottom w:val="none" w:sz="0" w:space="0" w:color="auto"/>
            <w:right w:val="none" w:sz="0" w:space="0" w:color="auto"/>
          </w:divBdr>
        </w:div>
        <w:div w:id="1219433932">
          <w:marLeft w:val="1080"/>
          <w:marRight w:val="0"/>
          <w:marTop w:val="0"/>
          <w:marBottom w:val="101"/>
          <w:divBdr>
            <w:top w:val="none" w:sz="0" w:space="0" w:color="auto"/>
            <w:left w:val="none" w:sz="0" w:space="0" w:color="auto"/>
            <w:bottom w:val="none" w:sz="0" w:space="0" w:color="auto"/>
            <w:right w:val="none" w:sz="0" w:space="0" w:color="auto"/>
          </w:divBdr>
        </w:div>
        <w:div w:id="794493788">
          <w:marLeft w:val="1080"/>
          <w:marRight w:val="0"/>
          <w:marTop w:val="0"/>
          <w:marBottom w:val="101"/>
          <w:divBdr>
            <w:top w:val="none" w:sz="0" w:space="0" w:color="auto"/>
            <w:left w:val="none" w:sz="0" w:space="0" w:color="auto"/>
            <w:bottom w:val="none" w:sz="0" w:space="0" w:color="auto"/>
            <w:right w:val="none" w:sz="0" w:space="0" w:color="auto"/>
          </w:divBdr>
        </w:div>
        <w:div w:id="1621760715">
          <w:marLeft w:val="1080"/>
          <w:marRight w:val="0"/>
          <w:marTop w:val="0"/>
          <w:marBottom w:val="101"/>
          <w:divBdr>
            <w:top w:val="none" w:sz="0" w:space="0" w:color="auto"/>
            <w:left w:val="none" w:sz="0" w:space="0" w:color="auto"/>
            <w:bottom w:val="none" w:sz="0" w:space="0" w:color="auto"/>
            <w:right w:val="none" w:sz="0" w:space="0" w:color="auto"/>
          </w:divBdr>
        </w:div>
        <w:div w:id="1968507746">
          <w:marLeft w:val="1080"/>
          <w:marRight w:val="0"/>
          <w:marTop w:val="0"/>
          <w:marBottom w:val="101"/>
          <w:divBdr>
            <w:top w:val="none" w:sz="0" w:space="0" w:color="auto"/>
            <w:left w:val="none" w:sz="0" w:space="0" w:color="auto"/>
            <w:bottom w:val="none" w:sz="0" w:space="0" w:color="auto"/>
            <w:right w:val="none" w:sz="0" w:space="0" w:color="auto"/>
          </w:divBdr>
        </w:div>
        <w:div w:id="946548246">
          <w:marLeft w:val="1526"/>
          <w:marRight w:val="0"/>
          <w:marTop w:val="0"/>
          <w:marBottom w:val="101"/>
          <w:divBdr>
            <w:top w:val="none" w:sz="0" w:space="0" w:color="auto"/>
            <w:left w:val="none" w:sz="0" w:space="0" w:color="auto"/>
            <w:bottom w:val="none" w:sz="0" w:space="0" w:color="auto"/>
            <w:right w:val="none" w:sz="0" w:space="0" w:color="auto"/>
          </w:divBdr>
        </w:div>
        <w:div w:id="131531515">
          <w:marLeft w:val="1526"/>
          <w:marRight w:val="0"/>
          <w:marTop w:val="0"/>
          <w:marBottom w:val="101"/>
          <w:divBdr>
            <w:top w:val="none" w:sz="0" w:space="0" w:color="auto"/>
            <w:left w:val="none" w:sz="0" w:space="0" w:color="auto"/>
            <w:bottom w:val="none" w:sz="0" w:space="0" w:color="auto"/>
            <w:right w:val="none" w:sz="0" w:space="0" w:color="auto"/>
          </w:divBdr>
        </w:div>
        <w:div w:id="1535996818">
          <w:marLeft w:val="1526"/>
          <w:marRight w:val="0"/>
          <w:marTop w:val="0"/>
          <w:marBottom w:val="101"/>
          <w:divBdr>
            <w:top w:val="none" w:sz="0" w:space="0" w:color="auto"/>
            <w:left w:val="none" w:sz="0" w:space="0" w:color="auto"/>
            <w:bottom w:val="none" w:sz="0" w:space="0" w:color="auto"/>
            <w:right w:val="none" w:sz="0" w:space="0" w:color="auto"/>
          </w:divBdr>
        </w:div>
        <w:div w:id="1225067940">
          <w:marLeft w:val="1526"/>
          <w:marRight w:val="0"/>
          <w:marTop w:val="0"/>
          <w:marBottom w:val="101"/>
          <w:divBdr>
            <w:top w:val="none" w:sz="0" w:space="0" w:color="auto"/>
            <w:left w:val="none" w:sz="0" w:space="0" w:color="auto"/>
            <w:bottom w:val="none" w:sz="0" w:space="0" w:color="auto"/>
            <w:right w:val="none" w:sz="0" w:space="0" w:color="auto"/>
          </w:divBdr>
        </w:div>
        <w:div w:id="1331567975">
          <w:marLeft w:val="720"/>
          <w:marRight w:val="0"/>
          <w:marTop w:val="0"/>
          <w:marBottom w:val="101"/>
          <w:divBdr>
            <w:top w:val="none" w:sz="0" w:space="0" w:color="auto"/>
            <w:left w:val="none" w:sz="0" w:space="0" w:color="auto"/>
            <w:bottom w:val="none" w:sz="0" w:space="0" w:color="auto"/>
            <w:right w:val="none" w:sz="0" w:space="0" w:color="auto"/>
          </w:divBdr>
        </w:div>
        <w:div w:id="211574590">
          <w:marLeft w:val="1080"/>
          <w:marRight w:val="0"/>
          <w:marTop w:val="0"/>
          <w:marBottom w:val="101"/>
          <w:divBdr>
            <w:top w:val="none" w:sz="0" w:space="0" w:color="auto"/>
            <w:left w:val="none" w:sz="0" w:space="0" w:color="auto"/>
            <w:bottom w:val="none" w:sz="0" w:space="0" w:color="auto"/>
            <w:right w:val="none" w:sz="0" w:space="0" w:color="auto"/>
          </w:divBdr>
        </w:div>
        <w:div w:id="2074428859">
          <w:marLeft w:val="1080"/>
          <w:marRight w:val="0"/>
          <w:marTop w:val="0"/>
          <w:marBottom w:val="101"/>
          <w:divBdr>
            <w:top w:val="none" w:sz="0" w:space="0" w:color="auto"/>
            <w:left w:val="none" w:sz="0" w:space="0" w:color="auto"/>
            <w:bottom w:val="none" w:sz="0" w:space="0" w:color="auto"/>
            <w:right w:val="none" w:sz="0" w:space="0" w:color="auto"/>
          </w:divBdr>
        </w:div>
        <w:div w:id="1141732015">
          <w:marLeft w:val="0"/>
          <w:marRight w:val="0"/>
          <w:marTop w:val="0"/>
          <w:marBottom w:val="101"/>
          <w:divBdr>
            <w:top w:val="none" w:sz="0" w:space="0" w:color="auto"/>
            <w:left w:val="none" w:sz="0" w:space="0" w:color="auto"/>
            <w:bottom w:val="none" w:sz="0" w:space="0" w:color="auto"/>
            <w:right w:val="none" w:sz="0" w:space="0" w:color="auto"/>
          </w:divBdr>
        </w:div>
        <w:div w:id="1329941877">
          <w:marLeft w:val="1080"/>
          <w:marRight w:val="0"/>
          <w:marTop w:val="0"/>
          <w:marBottom w:val="101"/>
          <w:divBdr>
            <w:top w:val="none" w:sz="0" w:space="0" w:color="auto"/>
            <w:left w:val="none" w:sz="0" w:space="0" w:color="auto"/>
            <w:bottom w:val="none" w:sz="0" w:space="0" w:color="auto"/>
            <w:right w:val="none" w:sz="0" w:space="0" w:color="auto"/>
          </w:divBdr>
        </w:div>
        <w:div w:id="371076353">
          <w:marLeft w:val="1080"/>
          <w:marRight w:val="0"/>
          <w:marTop w:val="0"/>
          <w:marBottom w:val="101"/>
          <w:divBdr>
            <w:top w:val="none" w:sz="0" w:space="0" w:color="auto"/>
            <w:left w:val="none" w:sz="0" w:space="0" w:color="auto"/>
            <w:bottom w:val="none" w:sz="0" w:space="0" w:color="auto"/>
            <w:right w:val="none" w:sz="0" w:space="0" w:color="auto"/>
          </w:divBdr>
        </w:div>
        <w:div w:id="269973693">
          <w:marLeft w:val="1080"/>
          <w:marRight w:val="0"/>
          <w:marTop w:val="0"/>
          <w:marBottom w:val="101"/>
          <w:divBdr>
            <w:top w:val="none" w:sz="0" w:space="0" w:color="auto"/>
            <w:left w:val="none" w:sz="0" w:space="0" w:color="auto"/>
            <w:bottom w:val="none" w:sz="0" w:space="0" w:color="auto"/>
            <w:right w:val="none" w:sz="0" w:space="0" w:color="auto"/>
          </w:divBdr>
        </w:div>
        <w:div w:id="458644159">
          <w:marLeft w:val="1526"/>
          <w:marRight w:val="0"/>
          <w:marTop w:val="0"/>
          <w:marBottom w:val="101"/>
          <w:divBdr>
            <w:top w:val="none" w:sz="0" w:space="0" w:color="auto"/>
            <w:left w:val="none" w:sz="0" w:space="0" w:color="auto"/>
            <w:bottom w:val="none" w:sz="0" w:space="0" w:color="auto"/>
            <w:right w:val="none" w:sz="0" w:space="0" w:color="auto"/>
          </w:divBdr>
        </w:div>
        <w:div w:id="1834102171">
          <w:marLeft w:val="1526"/>
          <w:marRight w:val="0"/>
          <w:marTop w:val="0"/>
          <w:marBottom w:val="101"/>
          <w:divBdr>
            <w:top w:val="none" w:sz="0" w:space="0" w:color="auto"/>
            <w:left w:val="none" w:sz="0" w:space="0" w:color="auto"/>
            <w:bottom w:val="none" w:sz="0" w:space="0" w:color="auto"/>
            <w:right w:val="none" w:sz="0" w:space="0" w:color="auto"/>
          </w:divBdr>
        </w:div>
        <w:div w:id="786701618">
          <w:marLeft w:val="1526"/>
          <w:marRight w:val="0"/>
          <w:marTop w:val="0"/>
          <w:marBottom w:val="101"/>
          <w:divBdr>
            <w:top w:val="none" w:sz="0" w:space="0" w:color="auto"/>
            <w:left w:val="none" w:sz="0" w:space="0" w:color="auto"/>
            <w:bottom w:val="none" w:sz="0" w:space="0" w:color="auto"/>
            <w:right w:val="none" w:sz="0" w:space="0" w:color="auto"/>
          </w:divBdr>
        </w:div>
        <w:div w:id="334966924">
          <w:marLeft w:val="1526"/>
          <w:marRight w:val="0"/>
          <w:marTop w:val="0"/>
          <w:marBottom w:val="101"/>
          <w:divBdr>
            <w:top w:val="none" w:sz="0" w:space="0" w:color="auto"/>
            <w:left w:val="none" w:sz="0" w:space="0" w:color="auto"/>
            <w:bottom w:val="none" w:sz="0" w:space="0" w:color="auto"/>
            <w:right w:val="none" w:sz="0" w:space="0" w:color="auto"/>
          </w:divBdr>
        </w:div>
        <w:div w:id="176163729">
          <w:marLeft w:val="1526"/>
          <w:marRight w:val="0"/>
          <w:marTop w:val="0"/>
          <w:marBottom w:val="89"/>
          <w:divBdr>
            <w:top w:val="none" w:sz="0" w:space="0" w:color="auto"/>
            <w:left w:val="none" w:sz="0" w:space="0" w:color="auto"/>
            <w:bottom w:val="none" w:sz="0" w:space="0" w:color="auto"/>
            <w:right w:val="none" w:sz="0" w:space="0" w:color="auto"/>
          </w:divBdr>
        </w:div>
        <w:div w:id="1342928164">
          <w:marLeft w:val="1526"/>
          <w:marRight w:val="0"/>
          <w:marTop w:val="0"/>
          <w:marBottom w:val="89"/>
          <w:divBdr>
            <w:top w:val="none" w:sz="0" w:space="0" w:color="auto"/>
            <w:left w:val="none" w:sz="0" w:space="0" w:color="auto"/>
            <w:bottom w:val="none" w:sz="0" w:space="0" w:color="auto"/>
            <w:right w:val="none" w:sz="0" w:space="0" w:color="auto"/>
          </w:divBdr>
        </w:div>
        <w:div w:id="2138912616">
          <w:marLeft w:val="1526"/>
          <w:marRight w:val="0"/>
          <w:marTop w:val="0"/>
          <w:marBottom w:val="89"/>
          <w:divBdr>
            <w:top w:val="none" w:sz="0" w:space="0" w:color="auto"/>
            <w:left w:val="none" w:sz="0" w:space="0" w:color="auto"/>
            <w:bottom w:val="none" w:sz="0" w:space="0" w:color="auto"/>
            <w:right w:val="none" w:sz="0" w:space="0" w:color="auto"/>
          </w:divBdr>
        </w:div>
        <w:div w:id="731656042">
          <w:marLeft w:val="1526"/>
          <w:marRight w:val="0"/>
          <w:marTop w:val="0"/>
          <w:marBottom w:val="89"/>
          <w:divBdr>
            <w:top w:val="none" w:sz="0" w:space="0" w:color="auto"/>
            <w:left w:val="none" w:sz="0" w:space="0" w:color="auto"/>
            <w:bottom w:val="none" w:sz="0" w:space="0" w:color="auto"/>
            <w:right w:val="none" w:sz="0" w:space="0" w:color="auto"/>
          </w:divBdr>
        </w:div>
        <w:div w:id="479688015">
          <w:marLeft w:val="1526"/>
          <w:marRight w:val="0"/>
          <w:marTop w:val="0"/>
          <w:marBottom w:val="89"/>
          <w:divBdr>
            <w:top w:val="none" w:sz="0" w:space="0" w:color="auto"/>
            <w:left w:val="none" w:sz="0" w:space="0" w:color="auto"/>
            <w:bottom w:val="none" w:sz="0" w:space="0" w:color="auto"/>
            <w:right w:val="none" w:sz="0" w:space="0" w:color="auto"/>
          </w:divBdr>
        </w:div>
        <w:div w:id="1889297182">
          <w:marLeft w:val="1526"/>
          <w:marRight w:val="0"/>
          <w:marTop w:val="0"/>
          <w:marBottom w:val="89"/>
          <w:divBdr>
            <w:top w:val="none" w:sz="0" w:space="0" w:color="auto"/>
            <w:left w:val="none" w:sz="0" w:space="0" w:color="auto"/>
            <w:bottom w:val="none" w:sz="0" w:space="0" w:color="auto"/>
            <w:right w:val="none" w:sz="0" w:space="0" w:color="auto"/>
          </w:divBdr>
        </w:div>
        <w:div w:id="745306028">
          <w:marLeft w:val="1526"/>
          <w:marRight w:val="0"/>
          <w:marTop w:val="0"/>
          <w:marBottom w:val="89"/>
          <w:divBdr>
            <w:top w:val="none" w:sz="0" w:space="0" w:color="auto"/>
            <w:left w:val="none" w:sz="0" w:space="0" w:color="auto"/>
            <w:bottom w:val="none" w:sz="0" w:space="0" w:color="auto"/>
            <w:right w:val="none" w:sz="0" w:space="0" w:color="auto"/>
          </w:divBdr>
        </w:div>
        <w:div w:id="617642873">
          <w:marLeft w:val="1526"/>
          <w:marRight w:val="0"/>
          <w:marTop w:val="0"/>
          <w:marBottom w:val="89"/>
          <w:divBdr>
            <w:top w:val="none" w:sz="0" w:space="0" w:color="auto"/>
            <w:left w:val="none" w:sz="0" w:space="0" w:color="auto"/>
            <w:bottom w:val="none" w:sz="0" w:space="0" w:color="auto"/>
            <w:right w:val="none" w:sz="0" w:space="0" w:color="auto"/>
          </w:divBdr>
        </w:div>
        <w:div w:id="1973361230">
          <w:marLeft w:val="1526"/>
          <w:marRight w:val="0"/>
          <w:marTop w:val="0"/>
          <w:marBottom w:val="89"/>
          <w:divBdr>
            <w:top w:val="none" w:sz="0" w:space="0" w:color="auto"/>
            <w:left w:val="none" w:sz="0" w:space="0" w:color="auto"/>
            <w:bottom w:val="none" w:sz="0" w:space="0" w:color="auto"/>
            <w:right w:val="none" w:sz="0" w:space="0" w:color="auto"/>
          </w:divBdr>
        </w:div>
        <w:div w:id="806052943">
          <w:marLeft w:val="1526"/>
          <w:marRight w:val="0"/>
          <w:marTop w:val="0"/>
          <w:marBottom w:val="89"/>
          <w:divBdr>
            <w:top w:val="none" w:sz="0" w:space="0" w:color="auto"/>
            <w:left w:val="none" w:sz="0" w:space="0" w:color="auto"/>
            <w:bottom w:val="none" w:sz="0" w:space="0" w:color="auto"/>
            <w:right w:val="none" w:sz="0" w:space="0" w:color="auto"/>
          </w:divBdr>
        </w:div>
        <w:div w:id="1367414118">
          <w:marLeft w:val="1526"/>
          <w:marRight w:val="0"/>
          <w:marTop w:val="0"/>
          <w:marBottom w:val="89"/>
          <w:divBdr>
            <w:top w:val="none" w:sz="0" w:space="0" w:color="auto"/>
            <w:left w:val="none" w:sz="0" w:space="0" w:color="auto"/>
            <w:bottom w:val="none" w:sz="0" w:space="0" w:color="auto"/>
            <w:right w:val="none" w:sz="0" w:space="0" w:color="auto"/>
          </w:divBdr>
        </w:div>
        <w:div w:id="1783722591">
          <w:marLeft w:val="1526"/>
          <w:marRight w:val="0"/>
          <w:marTop w:val="0"/>
          <w:marBottom w:val="89"/>
          <w:divBdr>
            <w:top w:val="none" w:sz="0" w:space="0" w:color="auto"/>
            <w:left w:val="none" w:sz="0" w:space="0" w:color="auto"/>
            <w:bottom w:val="none" w:sz="0" w:space="0" w:color="auto"/>
            <w:right w:val="none" w:sz="0" w:space="0" w:color="auto"/>
          </w:divBdr>
        </w:div>
        <w:div w:id="1578634304">
          <w:marLeft w:val="1526"/>
          <w:marRight w:val="0"/>
          <w:marTop w:val="0"/>
          <w:marBottom w:val="89"/>
          <w:divBdr>
            <w:top w:val="none" w:sz="0" w:space="0" w:color="auto"/>
            <w:left w:val="none" w:sz="0" w:space="0" w:color="auto"/>
            <w:bottom w:val="none" w:sz="0" w:space="0" w:color="auto"/>
            <w:right w:val="none" w:sz="0" w:space="0" w:color="auto"/>
          </w:divBdr>
        </w:div>
        <w:div w:id="189878044">
          <w:marLeft w:val="1526"/>
          <w:marRight w:val="0"/>
          <w:marTop w:val="0"/>
          <w:marBottom w:val="89"/>
          <w:divBdr>
            <w:top w:val="none" w:sz="0" w:space="0" w:color="auto"/>
            <w:left w:val="none" w:sz="0" w:space="0" w:color="auto"/>
            <w:bottom w:val="none" w:sz="0" w:space="0" w:color="auto"/>
            <w:right w:val="none" w:sz="0" w:space="0" w:color="auto"/>
          </w:divBdr>
        </w:div>
        <w:div w:id="2057849061">
          <w:marLeft w:val="1526"/>
          <w:marRight w:val="0"/>
          <w:marTop w:val="0"/>
          <w:marBottom w:val="89"/>
          <w:divBdr>
            <w:top w:val="none" w:sz="0" w:space="0" w:color="auto"/>
            <w:left w:val="none" w:sz="0" w:space="0" w:color="auto"/>
            <w:bottom w:val="none" w:sz="0" w:space="0" w:color="auto"/>
            <w:right w:val="none" w:sz="0" w:space="0" w:color="auto"/>
          </w:divBdr>
        </w:div>
        <w:div w:id="452283648">
          <w:marLeft w:val="1526"/>
          <w:marRight w:val="0"/>
          <w:marTop w:val="0"/>
          <w:marBottom w:val="89"/>
          <w:divBdr>
            <w:top w:val="none" w:sz="0" w:space="0" w:color="auto"/>
            <w:left w:val="none" w:sz="0" w:space="0" w:color="auto"/>
            <w:bottom w:val="none" w:sz="0" w:space="0" w:color="auto"/>
            <w:right w:val="none" w:sz="0" w:space="0" w:color="auto"/>
          </w:divBdr>
        </w:div>
        <w:div w:id="319965151">
          <w:marLeft w:val="1526"/>
          <w:marRight w:val="0"/>
          <w:marTop w:val="0"/>
          <w:marBottom w:val="89"/>
          <w:divBdr>
            <w:top w:val="none" w:sz="0" w:space="0" w:color="auto"/>
            <w:left w:val="none" w:sz="0" w:space="0" w:color="auto"/>
            <w:bottom w:val="none" w:sz="0" w:space="0" w:color="auto"/>
            <w:right w:val="none" w:sz="0" w:space="0" w:color="auto"/>
          </w:divBdr>
        </w:div>
        <w:div w:id="1662542079">
          <w:marLeft w:val="1526"/>
          <w:marRight w:val="0"/>
          <w:marTop w:val="0"/>
          <w:marBottom w:val="89"/>
          <w:divBdr>
            <w:top w:val="none" w:sz="0" w:space="0" w:color="auto"/>
            <w:left w:val="none" w:sz="0" w:space="0" w:color="auto"/>
            <w:bottom w:val="none" w:sz="0" w:space="0" w:color="auto"/>
            <w:right w:val="none" w:sz="0" w:space="0" w:color="auto"/>
          </w:divBdr>
        </w:div>
        <w:div w:id="980843419">
          <w:marLeft w:val="1526"/>
          <w:marRight w:val="0"/>
          <w:marTop w:val="0"/>
          <w:marBottom w:val="89"/>
          <w:divBdr>
            <w:top w:val="none" w:sz="0" w:space="0" w:color="auto"/>
            <w:left w:val="none" w:sz="0" w:space="0" w:color="auto"/>
            <w:bottom w:val="none" w:sz="0" w:space="0" w:color="auto"/>
            <w:right w:val="none" w:sz="0" w:space="0" w:color="auto"/>
          </w:divBdr>
        </w:div>
        <w:div w:id="460346941">
          <w:marLeft w:val="1526"/>
          <w:marRight w:val="0"/>
          <w:marTop w:val="0"/>
          <w:marBottom w:val="89"/>
          <w:divBdr>
            <w:top w:val="none" w:sz="0" w:space="0" w:color="auto"/>
            <w:left w:val="none" w:sz="0" w:space="0" w:color="auto"/>
            <w:bottom w:val="none" w:sz="0" w:space="0" w:color="auto"/>
            <w:right w:val="none" w:sz="0" w:space="0" w:color="auto"/>
          </w:divBdr>
        </w:div>
        <w:div w:id="330067752">
          <w:marLeft w:val="1526"/>
          <w:marRight w:val="0"/>
          <w:marTop w:val="0"/>
          <w:marBottom w:val="89"/>
          <w:divBdr>
            <w:top w:val="none" w:sz="0" w:space="0" w:color="auto"/>
            <w:left w:val="none" w:sz="0" w:space="0" w:color="auto"/>
            <w:bottom w:val="none" w:sz="0" w:space="0" w:color="auto"/>
            <w:right w:val="none" w:sz="0" w:space="0" w:color="auto"/>
          </w:divBdr>
        </w:div>
        <w:div w:id="2000034925">
          <w:marLeft w:val="1526"/>
          <w:marRight w:val="0"/>
          <w:marTop w:val="0"/>
          <w:marBottom w:val="89"/>
          <w:divBdr>
            <w:top w:val="none" w:sz="0" w:space="0" w:color="auto"/>
            <w:left w:val="none" w:sz="0" w:space="0" w:color="auto"/>
            <w:bottom w:val="none" w:sz="0" w:space="0" w:color="auto"/>
            <w:right w:val="none" w:sz="0" w:space="0" w:color="auto"/>
          </w:divBdr>
        </w:div>
        <w:div w:id="288587363">
          <w:marLeft w:val="1973"/>
          <w:marRight w:val="0"/>
          <w:marTop w:val="0"/>
          <w:marBottom w:val="89"/>
          <w:divBdr>
            <w:top w:val="none" w:sz="0" w:space="0" w:color="auto"/>
            <w:left w:val="none" w:sz="0" w:space="0" w:color="auto"/>
            <w:bottom w:val="none" w:sz="0" w:space="0" w:color="auto"/>
            <w:right w:val="none" w:sz="0" w:space="0" w:color="auto"/>
          </w:divBdr>
        </w:div>
        <w:div w:id="1375930004">
          <w:marLeft w:val="1973"/>
          <w:marRight w:val="0"/>
          <w:marTop w:val="0"/>
          <w:marBottom w:val="89"/>
          <w:divBdr>
            <w:top w:val="none" w:sz="0" w:space="0" w:color="auto"/>
            <w:left w:val="none" w:sz="0" w:space="0" w:color="auto"/>
            <w:bottom w:val="none" w:sz="0" w:space="0" w:color="auto"/>
            <w:right w:val="none" w:sz="0" w:space="0" w:color="auto"/>
          </w:divBdr>
        </w:div>
        <w:div w:id="1942028967">
          <w:marLeft w:val="1973"/>
          <w:marRight w:val="0"/>
          <w:marTop w:val="0"/>
          <w:marBottom w:val="89"/>
          <w:divBdr>
            <w:top w:val="none" w:sz="0" w:space="0" w:color="auto"/>
            <w:left w:val="none" w:sz="0" w:space="0" w:color="auto"/>
            <w:bottom w:val="none" w:sz="0" w:space="0" w:color="auto"/>
            <w:right w:val="none" w:sz="0" w:space="0" w:color="auto"/>
          </w:divBdr>
        </w:div>
        <w:div w:id="1092623129">
          <w:marLeft w:val="1526"/>
          <w:marRight w:val="0"/>
          <w:marTop w:val="0"/>
          <w:marBottom w:val="89"/>
          <w:divBdr>
            <w:top w:val="none" w:sz="0" w:space="0" w:color="auto"/>
            <w:left w:val="none" w:sz="0" w:space="0" w:color="auto"/>
            <w:bottom w:val="none" w:sz="0" w:space="0" w:color="auto"/>
            <w:right w:val="none" w:sz="0" w:space="0" w:color="auto"/>
          </w:divBdr>
        </w:div>
        <w:div w:id="455368208">
          <w:marLeft w:val="1526"/>
          <w:marRight w:val="0"/>
          <w:marTop w:val="0"/>
          <w:marBottom w:val="89"/>
          <w:divBdr>
            <w:top w:val="none" w:sz="0" w:space="0" w:color="auto"/>
            <w:left w:val="none" w:sz="0" w:space="0" w:color="auto"/>
            <w:bottom w:val="none" w:sz="0" w:space="0" w:color="auto"/>
            <w:right w:val="none" w:sz="0" w:space="0" w:color="auto"/>
          </w:divBdr>
        </w:div>
        <w:div w:id="865169985">
          <w:marLeft w:val="720"/>
          <w:marRight w:val="0"/>
          <w:marTop w:val="0"/>
          <w:marBottom w:val="89"/>
          <w:divBdr>
            <w:top w:val="none" w:sz="0" w:space="0" w:color="auto"/>
            <w:left w:val="none" w:sz="0" w:space="0" w:color="auto"/>
            <w:bottom w:val="none" w:sz="0" w:space="0" w:color="auto"/>
            <w:right w:val="none" w:sz="0" w:space="0" w:color="auto"/>
          </w:divBdr>
        </w:div>
        <w:div w:id="1332442807">
          <w:marLeft w:val="1080"/>
          <w:marRight w:val="0"/>
          <w:marTop w:val="0"/>
          <w:marBottom w:val="89"/>
          <w:divBdr>
            <w:top w:val="none" w:sz="0" w:space="0" w:color="auto"/>
            <w:left w:val="none" w:sz="0" w:space="0" w:color="auto"/>
            <w:bottom w:val="none" w:sz="0" w:space="0" w:color="auto"/>
            <w:right w:val="none" w:sz="0" w:space="0" w:color="auto"/>
          </w:divBdr>
        </w:div>
        <w:div w:id="1820993674">
          <w:marLeft w:val="0"/>
          <w:marRight w:val="0"/>
          <w:marTop w:val="0"/>
          <w:marBottom w:val="89"/>
          <w:divBdr>
            <w:top w:val="none" w:sz="0" w:space="0" w:color="auto"/>
            <w:left w:val="none" w:sz="0" w:space="0" w:color="auto"/>
            <w:bottom w:val="none" w:sz="0" w:space="0" w:color="auto"/>
            <w:right w:val="none" w:sz="0" w:space="0" w:color="auto"/>
          </w:divBdr>
        </w:div>
        <w:div w:id="1176770902">
          <w:marLeft w:val="720"/>
          <w:marRight w:val="0"/>
          <w:marTop w:val="0"/>
          <w:marBottom w:val="89"/>
          <w:divBdr>
            <w:top w:val="none" w:sz="0" w:space="0" w:color="auto"/>
            <w:left w:val="none" w:sz="0" w:space="0" w:color="auto"/>
            <w:bottom w:val="none" w:sz="0" w:space="0" w:color="auto"/>
            <w:right w:val="none" w:sz="0" w:space="0" w:color="auto"/>
          </w:divBdr>
        </w:div>
        <w:div w:id="39089614">
          <w:marLeft w:val="720"/>
          <w:marRight w:val="0"/>
          <w:marTop w:val="0"/>
          <w:marBottom w:val="89"/>
          <w:divBdr>
            <w:top w:val="none" w:sz="0" w:space="0" w:color="auto"/>
            <w:left w:val="none" w:sz="0" w:space="0" w:color="auto"/>
            <w:bottom w:val="none" w:sz="0" w:space="0" w:color="auto"/>
            <w:right w:val="none" w:sz="0" w:space="0" w:color="auto"/>
          </w:divBdr>
        </w:div>
        <w:div w:id="171535549">
          <w:marLeft w:val="1080"/>
          <w:marRight w:val="0"/>
          <w:marTop w:val="0"/>
          <w:marBottom w:val="89"/>
          <w:divBdr>
            <w:top w:val="none" w:sz="0" w:space="0" w:color="auto"/>
            <w:left w:val="none" w:sz="0" w:space="0" w:color="auto"/>
            <w:bottom w:val="none" w:sz="0" w:space="0" w:color="auto"/>
            <w:right w:val="none" w:sz="0" w:space="0" w:color="auto"/>
          </w:divBdr>
        </w:div>
        <w:div w:id="1202523415">
          <w:marLeft w:val="1526"/>
          <w:marRight w:val="0"/>
          <w:marTop w:val="0"/>
          <w:marBottom w:val="89"/>
          <w:divBdr>
            <w:top w:val="none" w:sz="0" w:space="0" w:color="auto"/>
            <w:left w:val="none" w:sz="0" w:space="0" w:color="auto"/>
            <w:bottom w:val="none" w:sz="0" w:space="0" w:color="auto"/>
            <w:right w:val="none" w:sz="0" w:space="0" w:color="auto"/>
          </w:divBdr>
        </w:div>
        <w:div w:id="1026561809">
          <w:marLeft w:val="1526"/>
          <w:marRight w:val="0"/>
          <w:marTop w:val="0"/>
          <w:marBottom w:val="89"/>
          <w:divBdr>
            <w:top w:val="none" w:sz="0" w:space="0" w:color="auto"/>
            <w:left w:val="none" w:sz="0" w:space="0" w:color="auto"/>
            <w:bottom w:val="none" w:sz="0" w:space="0" w:color="auto"/>
            <w:right w:val="none" w:sz="0" w:space="0" w:color="auto"/>
          </w:divBdr>
        </w:div>
        <w:div w:id="86314389">
          <w:marLeft w:val="1080"/>
          <w:marRight w:val="0"/>
          <w:marTop w:val="0"/>
          <w:marBottom w:val="89"/>
          <w:divBdr>
            <w:top w:val="none" w:sz="0" w:space="0" w:color="auto"/>
            <w:left w:val="none" w:sz="0" w:space="0" w:color="auto"/>
            <w:bottom w:val="none" w:sz="0" w:space="0" w:color="auto"/>
            <w:right w:val="none" w:sz="0" w:space="0" w:color="auto"/>
          </w:divBdr>
        </w:div>
        <w:div w:id="465247448">
          <w:marLeft w:val="1526"/>
          <w:marRight w:val="0"/>
          <w:marTop w:val="0"/>
          <w:marBottom w:val="89"/>
          <w:divBdr>
            <w:top w:val="none" w:sz="0" w:space="0" w:color="auto"/>
            <w:left w:val="none" w:sz="0" w:space="0" w:color="auto"/>
            <w:bottom w:val="none" w:sz="0" w:space="0" w:color="auto"/>
            <w:right w:val="none" w:sz="0" w:space="0" w:color="auto"/>
          </w:divBdr>
        </w:div>
        <w:div w:id="286277438">
          <w:marLeft w:val="1526"/>
          <w:marRight w:val="0"/>
          <w:marTop w:val="0"/>
          <w:marBottom w:val="89"/>
          <w:divBdr>
            <w:top w:val="none" w:sz="0" w:space="0" w:color="auto"/>
            <w:left w:val="none" w:sz="0" w:space="0" w:color="auto"/>
            <w:bottom w:val="none" w:sz="0" w:space="0" w:color="auto"/>
            <w:right w:val="none" w:sz="0" w:space="0" w:color="auto"/>
          </w:divBdr>
        </w:div>
        <w:div w:id="1052463431">
          <w:marLeft w:val="720"/>
          <w:marRight w:val="0"/>
          <w:marTop w:val="0"/>
          <w:marBottom w:val="101"/>
          <w:divBdr>
            <w:top w:val="none" w:sz="0" w:space="0" w:color="auto"/>
            <w:left w:val="none" w:sz="0" w:space="0" w:color="auto"/>
            <w:bottom w:val="none" w:sz="0" w:space="0" w:color="auto"/>
            <w:right w:val="none" w:sz="0" w:space="0" w:color="auto"/>
          </w:divBdr>
        </w:div>
        <w:div w:id="634651200">
          <w:marLeft w:val="720"/>
          <w:marRight w:val="0"/>
          <w:marTop w:val="0"/>
          <w:marBottom w:val="101"/>
          <w:divBdr>
            <w:top w:val="none" w:sz="0" w:space="0" w:color="auto"/>
            <w:left w:val="none" w:sz="0" w:space="0" w:color="auto"/>
            <w:bottom w:val="none" w:sz="0" w:space="0" w:color="auto"/>
            <w:right w:val="none" w:sz="0" w:space="0" w:color="auto"/>
          </w:divBdr>
        </w:div>
        <w:div w:id="1693264459">
          <w:marLeft w:val="1080"/>
          <w:marRight w:val="0"/>
          <w:marTop w:val="0"/>
          <w:marBottom w:val="80"/>
          <w:divBdr>
            <w:top w:val="none" w:sz="0" w:space="0" w:color="auto"/>
            <w:left w:val="none" w:sz="0" w:space="0" w:color="auto"/>
            <w:bottom w:val="none" w:sz="0" w:space="0" w:color="auto"/>
            <w:right w:val="none" w:sz="0" w:space="0" w:color="auto"/>
          </w:divBdr>
        </w:div>
        <w:div w:id="400055219">
          <w:marLeft w:val="1080"/>
          <w:marRight w:val="0"/>
          <w:marTop w:val="0"/>
          <w:marBottom w:val="80"/>
          <w:divBdr>
            <w:top w:val="none" w:sz="0" w:space="0" w:color="auto"/>
            <w:left w:val="none" w:sz="0" w:space="0" w:color="auto"/>
            <w:bottom w:val="none" w:sz="0" w:space="0" w:color="auto"/>
            <w:right w:val="none" w:sz="0" w:space="0" w:color="auto"/>
          </w:divBdr>
        </w:div>
        <w:div w:id="410977879">
          <w:marLeft w:val="720"/>
          <w:marRight w:val="0"/>
          <w:marTop w:val="0"/>
          <w:marBottom w:val="80"/>
          <w:divBdr>
            <w:top w:val="none" w:sz="0" w:space="0" w:color="auto"/>
            <w:left w:val="none" w:sz="0" w:space="0" w:color="auto"/>
            <w:bottom w:val="none" w:sz="0" w:space="0" w:color="auto"/>
            <w:right w:val="none" w:sz="0" w:space="0" w:color="auto"/>
          </w:divBdr>
        </w:div>
        <w:div w:id="846363574">
          <w:marLeft w:val="1080"/>
          <w:marRight w:val="0"/>
          <w:marTop w:val="0"/>
          <w:marBottom w:val="80"/>
          <w:divBdr>
            <w:top w:val="none" w:sz="0" w:space="0" w:color="auto"/>
            <w:left w:val="none" w:sz="0" w:space="0" w:color="auto"/>
            <w:bottom w:val="none" w:sz="0" w:space="0" w:color="auto"/>
            <w:right w:val="none" w:sz="0" w:space="0" w:color="auto"/>
          </w:divBdr>
        </w:div>
        <w:div w:id="705257878">
          <w:marLeft w:val="1080"/>
          <w:marRight w:val="0"/>
          <w:marTop w:val="0"/>
          <w:marBottom w:val="80"/>
          <w:divBdr>
            <w:top w:val="none" w:sz="0" w:space="0" w:color="auto"/>
            <w:left w:val="none" w:sz="0" w:space="0" w:color="auto"/>
            <w:bottom w:val="none" w:sz="0" w:space="0" w:color="auto"/>
            <w:right w:val="none" w:sz="0" w:space="0" w:color="auto"/>
          </w:divBdr>
        </w:div>
        <w:div w:id="1304772145">
          <w:marLeft w:val="720"/>
          <w:marRight w:val="0"/>
          <w:marTop w:val="0"/>
          <w:marBottom w:val="80"/>
          <w:divBdr>
            <w:top w:val="none" w:sz="0" w:space="0" w:color="auto"/>
            <w:left w:val="none" w:sz="0" w:space="0" w:color="auto"/>
            <w:bottom w:val="none" w:sz="0" w:space="0" w:color="auto"/>
            <w:right w:val="none" w:sz="0" w:space="0" w:color="auto"/>
          </w:divBdr>
        </w:div>
        <w:div w:id="2033065756">
          <w:marLeft w:val="1080"/>
          <w:marRight w:val="0"/>
          <w:marTop w:val="0"/>
          <w:marBottom w:val="80"/>
          <w:divBdr>
            <w:top w:val="none" w:sz="0" w:space="0" w:color="auto"/>
            <w:left w:val="none" w:sz="0" w:space="0" w:color="auto"/>
            <w:bottom w:val="none" w:sz="0" w:space="0" w:color="auto"/>
            <w:right w:val="none" w:sz="0" w:space="0" w:color="auto"/>
          </w:divBdr>
        </w:div>
        <w:div w:id="2000687761">
          <w:marLeft w:val="1080"/>
          <w:marRight w:val="0"/>
          <w:marTop w:val="0"/>
          <w:marBottom w:val="80"/>
          <w:divBdr>
            <w:top w:val="none" w:sz="0" w:space="0" w:color="auto"/>
            <w:left w:val="none" w:sz="0" w:space="0" w:color="auto"/>
            <w:bottom w:val="none" w:sz="0" w:space="0" w:color="auto"/>
            <w:right w:val="none" w:sz="0" w:space="0" w:color="auto"/>
          </w:divBdr>
        </w:div>
        <w:div w:id="1267695026">
          <w:marLeft w:val="720"/>
          <w:marRight w:val="0"/>
          <w:marTop w:val="0"/>
          <w:marBottom w:val="80"/>
          <w:divBdr>
            <w:top w:val="none" w:sz="0" w:space="0" w:color="auto"/>
            <w:left w:val="none" w:sz="0" w:space="0" w:color="auto"/>
            <w:bottom w:val="none" w:sz="0" w:space="0" w:color="auto"/>
            <w:right w:val="none" w:sz="0" w:space="0" w:color="auto"/>
          </w:divBdr>
        </w:div>
        <w:div w:id="1146045794">
          <w:marLeft w:val="1080"/>
          <w:marRight w:val="0"/>
          <w:marTop w:val="0"/>
          <w:marBottom w:val="80"/>
          <w:divBdr>
            <w:top w:val="none" w:sz="0" w:space="0" w:color="auto"/>
            <w:left w:val="none" w:sz="0" w:space="0" w:color="auto"/>
            <w:bottom w:val="none" w:sz="0" w:space="0" w:color="auto"/>
            <w:right w:val="none" w:sz="0" w:space="0" w:color="auto"/>
          </w:divBdr>
        </w:div>
        <w:div w:id="1761216029">
          <w:marLeft w:val="720"/>
          <w:marRight w:val="0"/>
          <w:marTop w:val="0"/>
          <w:marBottom w:val="80"/>
          <w:divBdr>
            <w:top w:val="none" w:sz="0" w:space="0" w:color="auto"/>
            <w:left w:val="none" w:sz="0" w:space="0" w:color="auto"/>
            <w:bottom w:val="none" w:sz="0" w:space="0" w:color="auto"/>
            <w:right w:val="none" w:sz="0" w:space="0" w:color="auto"/>
          </w:divBdr>
        </w:div>
        <w:div w:id="1902236">
          <w:marLeft w:val="1080"/>
          <w:marRight w:val="0"/>
          <w:marTop w:val="0"/>
          <w:marBottom w:val="80"/>
          <w:divBdr>
            <w:top w:val="none" w:sz="0" w:space="0" w:color="auto"/>
            <w:left w:val="none" w:sz="0" w:space="0" w:color="auto"/>
            <w:bottom w:val="none" w:sz="0" w:space="0" w:color="auto"/>
            <w:right w:val="none" w:sz="0" w:space="0" w:color="auto"/>
          </w:divBdr>
        </w:div>
        <w:div w:id="336929034">
          <w:marLeft w:val="720"/>
          <w:marRight w:val="0"/>
          <w:marTop w:val="0"/>
          <w:marBottom w:val="80"/>
          <w:divBdr>
            <w:top w:val="none" w:sz="0" w:space="0" w:color="auto"/>
            <w:left w:val="none" w:sz="0" w:space="0" w:color="auto"/>
            <w:bottom w:val="none" w:sz="0" w:space="0" w:color="auto"/>
            <w:right w:val="none" w:sz="0" w:space="0" w:color="auto"/>
          </w:divBdr>
        </w:div>
        <w:div w:id="257174822">
          <w:marLeft w:val="1080"/>
          <w:marRight w:val="0"/>
          <w:marTop w:val="0"/>
          <w:marBottom w:val="80"/>
          <w:divBdr>
            <w:top w:val="none" w:sz="0" w:space="0" w:color="auto"/>
            <w:left w:val="none" w:sz="0" w:space="0" w:color="auto"/>
            <w:bottom w:val="none" w:sz="0" w:space="0" w:color="auto"/>
            <w:right w:val="none" w:sz="0" w:space="0" w:color="auto"/>
          </w:divBdr>
        </w:div>
        <w:div w:id="598565097">
          <w:marLeft w:val="1080"/>
          <w:marRight w:val="0"/>
          <w:marTop w:val="0"/>
          <w:marBottom w:val="80"/>
          <w:divBdr>
            <w:top w:val="none" w:sz="0" w:space="0" w:color="auto"/>
            <w:left w:val="none" w:sz="0" w:space="0" w:color="auto"/>
            <w:bottom w:val="none" w:sz="0" w:space="0" w:color="auto"/>
            <w:right w:val="none" w:sz="0" w:space="0" w:color="auto"/>
          </w:divBdr>
        </w:div>
        <w:div w:id="1867328727">
          <w:marLeft w:val="720"/>
          <w:marRight w:val="0"/>
          <w:marTop w:val="0"/>
          <w:marBottom w:val="80"/>
          <w:divBdr>
            <w:top w:val="none" w:sz="0" w:space="0" w:color="auto"/>
            <w:left w:val="none" w:sz="0" w:space="0" w:color="auto"/>
            <w:bottom w:val="none" w:sz="0" w:space="0" w:color="auto"/>
            <w:right w:val="none" w:sz="0" w:space="0" w:color="auto"/>
          </w:divBdr>
        </w:div>
        <w:div w:id="1538273290">
          <w:marLeft w:val="720"/>
          <w:marRight w:val="0"/>
          <w:marTop w:val="0"/>
          <w:marBottom w:val="80"/>
          <w:divBdr>
            <w:top w:val="none" w:sz="0" w:space="0" w:color="auto"/>
            <w:left w:val="none" w:sz="0" w:space="0" w:color="auto"/>
            <w:bottom w:val="none" w:sz="0" w:space="0" w:color="auto"/>
            <w:right w:val="none" w:sz="0" w:space="0" w:color="auto"/>
          </w:divBdr>
        </w:div>
        <w:div w:id="120000638">
          <w:marLeft w:val="720"/>
          <w:marRight w:val="0"/>
          <w:marTop w:val="0"/>
          <w:marBottom w:val="80"/>
          <w:divBdr>
            <w:top w:val="none" w:sz="0" w:space="0" w:color="auto"/>
            <w:left w:val="none" w:sz="0" w:space="0" w:color="auto"/>
            <w:bottom w:val="none" w:sz="0" w:space="0" w:color="auto"/>
            <w:right w:val="none" w:sz="0" w:space="0" w:color="auto"/>
          </w:divBdr>
        </w:div>
        <w:div w:id="1186212606">
          <w:marLeft w:val="720"/>
          <w:marRight w:val="0"/>
          <w:marTop w:val="0"/>
          <w:marBottom w:val="80"/>
          <w:divBdr>
            <w:top w:val="none" w:sz="0" w:space="0" w:color="auto"/>
            <w:left w:val="none" w:sz="0" w:space="0" w:color="auto"/>
            <w:bottom w:val="none" w:sz="0" w:space="0" w:color="auto"/>
            <w:right w:val="none" w:sz="0" w:space="0" w:color="auto"/>
          </w:divBdr>
        </w:div>
        <w:div w:id="1784613873">
          <w:marLeft w:val="720"/>
          <w:marRight w:val="0"/>
          <w:marTop w:val="0"/>
          <w:marBottom w:val="80"/>
          <w:divBdr>
            <w:top w:val="none" w:sz="0" w:space="0" w:color="auto"/>
            <w:left w:val="none" w:sz="0" w:space="0" w:color="auto"/>
            <w:bottom w:val="none" w:sz="0" w:space="0" w:color="auto"/>
            <w:right w:val="none" w:sz="0" w:space="0" w:color="auto"/>
          </w:divBdr>
        </w:div>
        <w:div w:id="578095156">
          <w:marLeft w:val="1440"/>
          <w:marRight w:val="0"/>
          <w:marTop w:val="0"/>
          <w:marBottom w:val="101"/>
          <w:divBdr>
            <w:top w:val="none" w:sz="0" w:space="0" w:color="auto"/>
            <w:left w:val="none" w:sz="0" w:space="0" w:color="auto"/>
            <w:bottom w:val="none" w:sz="0" w:space="0" w:color="auto"/>
            <w:right w:val="none" w:sz="0" w:space="0" w:color="auto"/>
          </w:divBdr>
        </w:div>
        <w:div w:id="1273129154">
          <w:marLeft w:val="0"/>
          <w:marRight w:val="0"/>
          <w:marTop w:val="0"/>
          <w:marBottom w:val="88"/>
          <w:divBdr>
            <w:top w:val="none" w:sz="0" w:space="0" w:color="auto"/>
            <w:left w:val="none" w:sz="0" w:space="0" w:color="auto"/>
            <w:bottom w:val="none" w:sz="0" w:space="0" w:color="auto"/>
            <w:right w:val="none" w:sz="0" w:space="0" w:color="auto"/>
          </w:divBdr>
        </w:div>
        <w:div w:id="323365193">
          <w:marLeft w:val="1080"/>
          <w:marRight w:val="0"/>
          <w:marTop w:val="0"/>
          <w:marBottom w:val="88"/>
          <w:divBdr>
            <w:top w:val="none" w:sz="0" w:space="0" w:color="auto"/>
            <w:left w:val="none" w:sz="0" w:space="0" w:color="auto"/>
            <w:bottom w:val="none" w:sz="0" w:space="0" w:color="auto"/>
            <w:right w:val="none" w:sz="0" w:space="0" w:color="auto"/>
          </w:divBdr>
        </w:div>
        <w:div w:id="1745493243">
          <w:marLeft w:val="0"/>
          <w:marRight w:val="0"/>
          <w:marTop w:val="0"/>
          <w:marBottom w:val="88"/>
          <w:divBdr>
            <w:top w:val="none" w:sz="0" w:space="0" w:color="auto"/>
            <w:left w:val="none" w:sz="0" w:space="0" w:color="auto"/>
            <w:bottom w:val="none" w:sz="0" w:space="0" w:color="auto"/>
            <w:right w:val="none" w:sz="0" w:space="0" w:color="auto"/>
          </w:divBdr>
        </w:div>
        <w:div w:id="1561820897">
          <w:marLeft w:val="720"/>
          <w:marRight w:val="0"/>
          <w:marTop w:val="0"/>
          <w:marBottom w:val="88"/>
          <w:divBdr>
            <w:top w:val="none" w:sz="0" w:space="0" w:color="auto"/>
            <w:left w:val="none" w:sz="0" w:space="0" w:color="auto"/>
            <w:bottom w:val="none" w:sz="0" w:space="0" w:color="auto"/>
            <w:right w:val="none" w:sz="0" w:space="0" w:color="auto"/>
          </w:divBdr>
        </w:div>
        <w:div w:id="826019857">
          <w:marLeft w:val="720"/>
          <w:marRight w:val="0"/>
          <w:marTop w:val="0"/>
          <w:marBottom w:val="88"/>
          <w:divBdr>
            <w:top w:val="none" w:sz="0" w:space="0" w:color="auto"/>
            <w:left w:val="none" w:sz="0" w:space="0" w:color="auto"/>
            <w:bottom w:val="none" w:sz="0" w:space="0" w:color="auto"/>
            <w:right w:val="none" w:sz="0" w:space="0" w:color="auto"/>
          </w:divBdr>
        </w:div>
        <w:div w:id="1475826967">
          <w:marLeft w:val="720"/>
          <w:marRight w:val="0"/>
          <w:marTop w:val="0"/>
          <w:marBottom w:val="88"/>
          <w:divBdr>
            <w:top w:val="none" w:sz="0" w:space="0" w:color="auto"/>
            <w:left w:val="none" w:sz="0" w:space="0" w:color="auto"/>
            <w:bottom w:val="none" w:sz="0" w:space="0" w:color="auto"/>
            <w:right w:val="none" w:sz="0" w:space="0" w:color="auto"/>
          </w:divBdr>
        </w:div>
        <w:div w:id="2109499776">
          <w:marLeft w:val="720"/>
          <w:marRight w:val="0"/>
          <w:marTop w:val="0"/>
          <w:marBottom w:val="88"/>
          <w:divBdr>
            <w:top w:val="none" w:sz="0" w:space="0" w:color="auto"/>
            <w:left w:val="none" w:sz="0" w:space="0" w:color="auto"/>
            <w:bottom w:val="none" w:sz="0" w:space="0" w:color="auto"/>
            <w:right w:val="none" w:sz="0" w:space="0" w:color="auto"/>
          </w:divBdr>
        </w:div>
        <w:div w:id="1765151676">
          <w:marLeft w:val="1350"/>
          <w:marRight w:val="0"/>
          <w:marTop w:val="0"/>
          <w:marBottom w:val="88"/>
          <w:divBdr>
            <w:top w:val="none" w:sz="0" w:space="0" w:color="auto"/>
            <w:left w:val="none" w:sz="0" w:space="0" w:color="auto"/>
            <w:bottom w:val="none" w:sz="0" w:space="0" w:color="auto"/>
            <w:right w:val="none" w:sz="0" w:space="0" w:color="auto"/>
          </w:divBdr>
        </w:div>
        <w:div w:id="517620106">
          <w:marLeft w:val="0"/>
          <w:marRight w:val="0"/>
          <w:marTop w:val="0"/>
          <w:marBottom w:val="88"/>
          <w:divBdr>
            <w:top w:val="none" w:sz="0" w:space="0" w:color="auto"/>
            <w:left w:val="none" w:sz="0" w:space="0" w:color="auto"/>
            <w:bottom w:val="none" w:sz="0" w:space="0" w:color="auto"/>
            <w:right w:val="none" w:sz="0" w:space="0" w:color="auto"/>
          </w:divBdr>
        </w:div>
        <w:div w:id="1507286420">
          <w:marLeft w:val="720"/>
          <w:marRight w:val="0"/>
          <w:marTop w:val="0"/>
          <w:marBottom w:val="88"/>
          <w:divBdr>
            <w:top w:val="none" w:sz="0" w:space="0" w:color="auto"/>
            <w:left w:val="none" w:sz="0" w:space="0" w:color="auto"/>
            <w:bottom w:val="none" w:sz="0" w:space="0" w:color="auto"/>
            <w:right w:val="none" w:sz="0" w:space="0" w:color="auto"/>
          </w:divBdr>
        </w:div>
        <w:div w:id="366150843">
          <w:marLeft w:val="720"/>
          <w:marRight w:val="0"/>
          <w:marTop w:val="0"/>
          <w:marBottom w:val="88"/>
          <w:divBdr>
            <w:top w:val="none" w:sz="0" w:space="0" w:color="auto"/>
            <w:left w:val="none" w:sz="0" w:space="0" w:color="auto"/>
            <w:bottom w:val="none" w:sz="0" w:space="0" w:color="auto"/>
            <w:right w:val="none" w:sz="0" w:space="0" w:color="auto"/>
          </w:divBdr>
        </w:div>
        <w:div w:id="2081713722">
          <w:marLeft w:val="720"/>
          <w:marRight w:val="0"/>
          <w:marTop w:val="0"/>
          <w:marBottom w:val="88"/>
          <w:divBdr>
            <w:top w:val="none" w:sz="0" w:space="0" w:color="auto"/>
            <w:left w:val="none" w:sz="0" w:space="0" w:color="auto"/>
            <w:bottom w:val="none" w:sz="0" w:space="0" w:color="auto"/>
            <w:right w:val="none" w:sz="0" w:space="0" w:color="auto"/>
          </w:divBdr>
        </w:div>
        <w:div w:id="1478457245">
          <w:marLeft w:val="720"/>
          <w:marRight w:val="0"/>
          <w:marTop w:val="0"/>
          <w:marBottom w:val="88"/>
          <w:divBdr>
            <w:top w:val="none" w:sz="0" w:space="0" w:color="auto"/>
            <w:left w:val="none" w:sz="0" w:space="0" w:color="auto"/>
            <w:bottom w:val="none" w:sz="0" w:space="0" w:color="auto"/>
            <w:right w:val="none" w:sz="0" w:space="0" w:color="auto"/>
          </w:divBdr>
        </w:div>
        <w:div w:id="1535656514">
          <w:marLeft w:val="720"/>
          <w:marRight w:val="0"/>
          <w:marTop w:val="0"/>
          <w:marBottom w:val="101"/>
          <w:divBdr>
            <w:top w:val="none" w:sz="0" w:space="0" w:color="auto"/>
            <w:left w:val="none" w:sz="0" w:space="0" w:color="auto"/>
            <w:bottom w:val="none" w:sz="0" w:space="0" w:color="auto"/>
            <w:right w:val="none" w:sz="0" w:space="0" w:color="auto"/>
          </w:divBdr>
        </w:div>
        <w:div w:id="24018296">
          <w:marLeft w:val="720"/>
          <w:marRight w:val="0"/>
          <w:marTop w:val="0"/>
          <w:marBottom w:val="101"/>
          <w:divBdr>
            <w:top w:val="none" w:sz="0" w:space="0" w:color="auto"/>
            <w:left w:val="none" w:sz="0" w:space="0" w:color="auto"/>
            <w:bottom w:val="none" w:sz="0" w:space="0" w:color="auto"/>
            <w:right w:val="none" w:sz="0" w:space="0" w:color="auto"/>
          </w:divBdr>
        </w:div>
        <w:div w:id="120461745">
          <w:marLeft w:val="720"/>
          <w:marRight w:val="0"/>
          <w:marTop w:val="0"/>
          <w:marBottom w:val="101"/>
          <w:divBdr>
            <w:top w:val="none" w:sz="0" w:space="0" w:color="auto"/>
            <w:left w:val="none" w:sz="0" w:space="0" w:color="auto"/>
            <w:bottom w:val="none" w:sz="0" w:space="0" w:color="auto"/>
            <w:right w:val="none" w:sz="0" w:space="0" w:color="auto"/>
          </w:divBdr>
        </w:div>
        <w:div w:id="857936088">
          <w:marLeft w:val="720"/>
          <w:marRight w:val="0"/>
          <w:marTop w:val="0"/>
          <w:marBottom w:val="101"/>
          <w:divBdr>
            <w:top w:val="none" w:sz="0" w:space="0" w:color="auto"/>
            <w:left w:val="none" w:sz="0" w:space="0" w:color="auto"/>
            <w:bottom w:val="none" w:sz="0" w:space="0" w:color="auto"/>
            <w:right w:val="none" w:sz="0" w:space="0" w:color="auto"/>
          </w:divBdr>
        </w:div>
        <w:div w:id="1116875479">
          <w:marLeft w:val="1080"/>
          <w:marRight w:val="0"/>
          <w:marTop w:val="0"/>
          <w:marBottom w:val="101"/>
          <w:divBdr>
            <w:top w:val="none" w:sz="0" w:space="0" w:color="auto"/>
            <w:left w:val="none" w:sz="0" w:space="0" w:color="auto"/>
            <w:bottom w:val="none" w:sz="0" w:space="0" w:color="auto"/>
            <w:right w:val="none" w:sz="0" w:space="0" w:color="auto"/>
          </w:divBdr>
        </w:div>
        <w:div w:id="2122874247">
          <w:marLeft w:val="0"/>
          <w:marRight w:val="0"/>
          <w:marTop w:val="0"/>
          <w:marBottom w:val="101"/>
          <w:divBdr>
            <w:top w:val="none" w:sz="0" w:space="0" w:color="auto"/>
            <w:left w:val="none" w:sz="0" w:space="0" w:color="auto"/>
            <w:bottom w:val="none" w:sz="0" w:space="0" w:color="auto"/>
            <w:right w:val="none" w:sz="0" w:space="0" w:color="auto"/>
          </w:divBdr>
        </w:div>
        <w:div w:id="1248420735">
          <w:marLeft w:val="720"/>
          <w:marRight w:val="0"/>
          <w:marTop w:val="0"/>
          <w:marBottom w:val="101"/>
          <w:divBdr>
            <w:top w:val="none" w:sz="0" w:space="0" w:color="auto"/>
            <w:left w:val="none" w:sz="0" w:space="0" w:color="auto"/>
            <w:bottom w:val="none" w:sz="0" w:space="0" w:color="auto"/>
            <w:right w:val="none" w:sz="0" w:space="0" w:color="auto"/>
          </w:divBdr>
        </w:div>
        <w:div w:id="762141358">
          <w:marLeft w:val="720"/>
          <w:marRight w:val="0"/>
          <w:marTop w:val="0"/>
          <w:marBottom w:val="101"/>
          <w:divBdr>
            <w:top w:val="none" w:sz="0" w:space="0" w:color="auto"/>
            <w:left w:val="none" w:sz="0" w:space="0" w:color="auto"/>
            <w:bottom w:val="none" w:sz="0" w:space="0" w:color="auto"/>
            <w:right w:val="none" w:sz="0" w:space="0" w:color="auto"/>
          </w:divBdr>
        </w:div>
        <w:div w:id="1901095033">
          <w:marLeft w:val="720"/>
          <w:marRight w:val="0"/>
          <w:marTop w:val="0"/>
          <w:marBottom w:val="101"/>
          <w:divBdr>
            <w:top w:val="none" w:sz="0" w:space="0" w:color="auto"/>
            <w:left w:val="none" w:sz="0" w:space="0" w:color="auto"/>
            <w:bottom w:val="none" w:sz="0" w:space="0" w:color="auto"/>
            <w:right w:val="none" w:sz="0" w:space="0" w:color="auto"/>
          </w:divBdr>
        </w:div>
        <w:div w:id="397901235">
          <w:marLeft w:val="720"/>
          <w:marRight w:val="0"/>
          <w:marTop w:val="0"/>
          <w:marBottom w:val="101"/>
          <w:divBdr>
            <w:top w:val="none" w:sz="0" w:space="0" w:color="auto"/>
            <w:left w:val="none" w:sz="0" w:space="0" w:color="auto"/>
            <w:bottom w:val="none" w:sz="0" w:space="0" w:color="auto"/>
            <w:right w:val="none" w:sz="0" w:space="0" w:color="auto"/>
          </w:divBdr>
        </w:div>
        <w:div w:id="1524590788">
          <w:marLeft w:val="1080"/>
          <w:marRight w:val="0"/>
          <w:marTop w:val="0"/>
          <w:marBottom w:val="101"/>
          <w:divBdr>
            <w:top w:val="none" w:sz="0" w:space="0" w:color="auto"/>
            <w:left w:val="none" w:sz="0" w:space="0" w:color="auto"/>
            <w:bottom w:val="none" w:sz="0" w:space="0" w:color="auto"/>
            <w:right w:val="none" w:sz="0" w:space="0" w:color="auto"/>
          </w:divBdr>
        </w:div>
        <w:div w:id="1581600139">
          <w:marLeft w:val="1080"/>
          <w:marRight w:val="0"/>
          <w:marTop w:val="0"/>
          <w:marBottom w:val="101"/>
          <w:divBdr>
            <w:top w:val="none" w:sz="0" w:space="0" w:color="auto"/>
            <w:left w:val="none" w:sz="0" w:space="0" w:color="auto"/>
            <w:bottom w:val="none" w:sz="0" w:space="0" w:color="auto"/>
            <w:right w:val="none" w:sz="0" w:space="0" w:color="auto"/>
          </w:divBdr>
        </w:div>
        <w:div w:id="1590384516">
          <w:marLeft w:val="1080"/>
          <w:marRight w:val="0"/>
          <w:marTop w:val="0"/>
          <w:marBottom w:val="101"/>
          <w:divBdr>
            <w:top w:val="none" w:sz="0" w:space="0" w:color="auto"/>
            <w:left w:val="none" w:sz="0" w:space="0" w:color="auto"/>
            <w:bottom w:val="none" w:sz="0" w:space="0" w:color="auto"/>
            <w:right w:val="none" w:sz="0" w:space="0" w:color="auto"/>
          </w:divBdr>
        </w:div>
        <w:div w:id="369494692">
          <w:marLeft w:val="1080"/>
          <w:marRight w:val="0"/>
          <w:marTop w:val="0"/>
          <w:marBottom w:val="101"/>
          <w:divBdr>
            <w:top w:val="none" w:sz="0" w:space="0" w:color="auto"/>
            <w:left w:val="none" w:sz="0" w:space="0" w:color="auto"/>
            <w:bottom w:val="none" w:sz="0" w:space="0" w:color="auto"/>
            <w:right w:val="none" w:sz="0" w:space="0" w:color="auto"/>
          </w:divBdr>
        </w:div>
        <w:div w:id="1242836284">
          <w:marLeft w:val="1080"/>
          <w:marRight w:val="0"/>
          <w:marTop w:val="0"/>
          <w:marBottom w:val="101"/>
          <w:divBdr>
            <w:top w:val="none" w:sz="0" w:space="0" w:color="auto"/>
            <w:left w:val="none" w:sz="0" w:space="0" w:color="auto"/>
            <w:bottom w:val="none" w:sz="0" w:space="0" w:color="auto"/>
            <w:right w:val="none" w:sz="0" w:space="0" w:color="auto"/>
          </w:divBdr>
        </w:div>
        <w:div w:id="1608274116">
          <w:marLeft w:val="1526"/>
          <w:marRight w:val="0"/>
          <w:marTop w:val="0"/>
          <w:marBottom w:val="101"/>
          <w:divBdr>
            <w:top w:val="none" w:sz="0" w:space="0" w:color="auto"/>
            <w:left w:val="none" w:sz="0" w:space="0" w:color="auto"/>
            <w:bottom w:val="none" w:sz="0" w:space="0" w:color="auto"/>
            <w:right w:val="none" w:sz="0" w:space="0" w:color="auto"/>
          </w:divBdr>
        </w:div>
        <w:div w:id="526649512">
          <w:marLeft w:val="1526"/>
          <w:marRight w:val="0"/>
          <w:marTop w:val="0"/>
          <w:marBottom w:val="101"/>
          <w:divBdr>
            <w:top w:val="none" w:sz="0" w:space="0" w:color="auto"/>
            <w:left w:val="none" w:sz="0" w:space="0" w:color="auto"/>
            <w:bottom w:val="none" w:sz="0" w:space="0" w:color="auto"/>
            <w:right w:val="none" w:sz="0" w:space="0" w:color="auto"/>
          </w:divBdr>
        </w:div>
        <w:div w:id="353112210">
          <w:marLeft w:val="1526"/>
          <w:marRight w:val="0"/>
          <w:marTop w:val="0"/>
          <w:marBottom w:val="101"/>
          <w:divBdr>
            <w:top w:val="none" w:sz="0" w:space="0" w:color="auto"/>
            <w:left w:val="none" w:sz="0" w:space="0" w:color="auto"/>
            <w:bottom w:val="none" w:sz="0" w:space="0" w:color="auto"/>
            <w:right w:val="none" w:sz="0" w:space="0" w:color="auto"/>
          </w:divBdr>
        </w:div>
        <w:div w:id="1105543559">
          <w:marLeft w:val="1526"/>
          <w:marRight w:val="0"/>
          <w:marTop w:val="0"/>
          <w:marBottom w:val="101"/>
          <w:divBdr>
            <w:top w:val="none" w:sz="0" w:space="0" w:color="auto"/>
            <w:left w:val="none" w:sz="0" w:space="0" w:color="auto"/>
            <w:bottom w:val="none" w:sz="0" w:space="0" w:color="auto"/>
            <w:right w:val="none" w:sz="0" w:space="0" w:color="auto"/>
          </w:divBdr>
        </w:div>
        <w:div w:id="1643462571">
          <w:marLeft w:val="720"/>
          <w:marRight w:val="0"/>
          <w:marTop w:val="0"/>
          <w:marBottom w:val="101"/>
          <w:divBdr>
            <w:top w:val="none" w:sz="0" w:space="0" w:color="auto"/>
            <w:left w:val="none" w:sz="0" w:space="0" w:color="auto"/>
            <w:bottom w:val="none" w:sz="0" w:space="0" w:color="auto"/>
            <w:right w:val="none" w:sz="0" w:space="0" w:color="auto"/>
          </w:divBdr>
        </w:div>
        <w:div w:id="340278824">
          <w:marLeft w:val="720"/>
          <w:marRight w:val="0"/>
          <w:marTop w:val="0"/>
          <w:marBottom w:val="101"/>
          <w:divBdr>
            <w:top w:val="none" w:sz="0" w:space="0" w:color="auto"/>
            <w:left w:val="none" w:sz="0" w:space="0" w:color="auto"/>
            <w:bottom w:val="none" w:sz="0" w:space="0" w:color="auto"/>
            <w:right w:val="none" w:sz="0" w:space="0" w:color="auto"/>
          </w:divBdr>
        </w:div>
        <w:div w:id="539821517">
          <w:marLeft w:val="1080"/>
          <w:marRight w:val="0"/>
          <w:marTop w:val="0"/>
          <w:marBottom w:val="101"/>
          <w:divBdr>
            <w:top w:val="none" w:sz="0" w:space="0" w:color="auto"/>
            <w:left w:val="none" w:sz="0" w:space="0" w:color="auto"/>
            <w:bottom w:val="none" w:sz="0" w:space="0" w:color="auto"/>
            <w:right w:val="none" w:sz="0" w:space="0" w:color="auto"/>
          </w:divBdr>
        </w:div>
        <w:div w:id="341586988">
          <w:marLeft w:val="0"/>
          <w:marRight w:val="0"/>
          <w:marTop w:val="0"/>
          <w:marBottom w:val="101"/>
          <w:divBdr>
            <w:top w:val="none" w:sz="0" w:space="0" w:color="auto"/>
            <w:left w:val="none" w:sz="0" w:space="0" w:color="auto"/>
            <w:bottom w:val="none" w:sz="0" w:space="0" w:color="auto"/>
            <w:right w:val="none" w:sz="0" w:space="0" w:color="auto"/>
          </w:divBdr>
        </w:div>
        <w:div w:id="309360112">
          <w:marLeft w:val="720"/>
          <w:marRight w:val="0"/>
          <w:marTop w:val="0"/>
          <w:marBottom w:val="101"/>
          <w:divBdr>
            <w:top w:val="none" w:sz="0" w:space="0" w:color="auto"/>
            <w:left w:val="none" w:sz="0" w:space="0" w:color="auto"/>
            <w:bottom w:val="none" w:sz="0" w:space="0" w:color="auto"/>
            <w:right w:val="none" w:sz="0" w:space="0" w:color="auto"/>
          </w:divBdr>
        </w:div>
        <w:div w:id="397023250">
          <w:marLeft w:val="720"/>
          <w:marRight w:val="0"/>
          <w:marTop w:val="0"/>
          <w:marBottom w:val="101"/>
          <w:divBdr>
            <w:top w:val="none" w:sz="0" w:space="0" w:color="auto"/>
            <w:left w:val="none" w:sz="0" w:space="0" w:color="auto"/>
            <w:bottom w:val="none" w:sz="0" w:space="0" w:color="auto"/>
            <w:right w:val="none" w:sz="0" w:space="0" w:color="auto"/>
          </w:divBdr>
        </w:div>
        <w:div w:id="1838642650">
          <w:marLeft w:val="720"/>
          <w:marRight w:val="0"/>
          <w:marTop w:val="0"/>
          <w:marBottom w:val="101"/>
          <w:divBdr>
            <w:top w:val="none" w:sz="0" w:space="0" w:color="auto"/>
            <w:left w:val="none" w:sz="0" w:space="0" w:color="auto"/>
            <w:bottom w:val="none" w:sz="0" w:space="0" w:color="auto"/>
            <w:right w:val="none" w:sz="0" w:space="0" w:color="auto"/>
          </w:divBdr>
        </w:div>
        <w:div w:id="1369599887">
          <w:marLeft w:val="0"/>
          <w:marRight w:val="0"/>
          <w:marTop w:val="0"/>
          <w:marBottom w:val="101"/>
          <w:divBdr>
            <w:top w:val="none" w:sz="0" w:space="0" w:color="auto"/>
            <w:left w:val="none" w:sz="0" w:space="0" w:color="auto"/>
            <w:bottom w:val="none" w:sz="0" w:space="0" w:color="auto"/>
            <w:right w:val="none" w:sz="0" w:space="0" w:color="auto"/>
          </w:divBdr>
        </w:div>
        <w:div w:id="1525706250">
          <w:marLeft w:val="0"/>
          <w:marRight w:val="0"/>
          <w:marTop w:val="0"/>
          <w:marBottom w:val="101"/>
          <w:divBdr>
            <w:top w:val="none" w:sz="0" w:space="0" w:color="auto"/>
            <w:left w:val="none" w:sz="0" w:space="0" w:color="auto"/>
            <w:bottom w:val="none" w:sz="0" w:space="0" w:color="auto"/>
            <w:right w:val="none" w:sz="0" w:space="0" w:color="auto"/>
          </w:divBdr>
        </w:div>
        <w:div w:id="651763057">
          <w:marLeft w:val="1080"/>
          <w:marRight w:val="0"/>
          <w:marTop w:val="0"/>
          <w:marBottom w:val="101"/>
          <w:divBdr>
            <w:top w:val="none" w:sz="0" w:space="0" w:color="auto"/>
            <w:left w:val="none" w:sz="0" w:space="0" w:color="auto"/>
            <w:bottom w:val="none" w:sz="0" w:space="0" w:color="auto"/>
            <w:right w:val="none" w:sz="0" w:space="0" w:color="auto"/>
          </w:divBdr>
        </w:div>
        <w:div w:id="2018270386">
          <w:marLeft w:val="0"/>
          <w:marRight w:val="0"/>
          <w:marTop w:val="0"/>
          <w:marBottom w:val="101"/>
          <w:divBdr>
            <w:top w:val="none" w:sz="0" w:space="0" w:color="auto"/>
            <w:left w:val="none" w:sz="0" w:space="0" w:color="auto"/>
            <w:bottom w:val="none" w:sz="0" w:space="0" w:color="auto"/>
            <w:right w:val="none" w:sz="0" w:space="0" w:color="auto"/>
          </w:divBdr>
        </w:div>
        <w:div w:id="781849578">
          <w:marLeft w:val="720"/>
          <w:marRight w:val="0"/>
          <w:marTop w:val="0"/>
          <w:marBottom w:val="101"/>
          <w:divBdr>
            <w:top w:val="none" w:sz="0" w:space="0" w:color="auto"/>
            <w:left w:val="none" w:sz="0" w:space="0" w:color="auto"/>
            <w:bottom w:val="none" w:sz="0" w:space="0" w:color="auto"/>
            <w:right w:val="none" w:sz="0" w:space="0" w:color="auto"/>
          </w:divBdr>
        </w:div>
        <w:div w:id="371150448">
          <w:marLeft w:val="1080"/>
          <w:marRight w:val="0"/>
          <w:marTop w:val="0"/>
          <w:marBottom w:val="101"/>
          <w:divBdr>
            <w:top w:val="none" w:sz="0" w:space="0" w:color="auto"/>
            <w:left w:val="none" w:sz="0" w:space="0" w:color="auto"/>
            <w:bottom w:val="none" w:sz="0" w:space="0" w:color="auto"/>
            <w:right w:val="none" w:sz="0" w:space="0" w:color="auto"/>
          </w:divBdr>
        </w:div>
        <w:div w:id="780148627">
          <w:marLeft w:val="1080"/>
          <w:marRight w:val="0"/>
          <w:marTop w:val="0"/>
          <w:marBottom w:val="101"/>
          <w:divBdr>
            <w:top w:val="none" w:sz="0" w:space="0" w:color="auto"/>
            <w:left w:val="none" w:sz="0" w:space="0" w:color="auto"/>
            <w:bottom w:val="none" w:sz="0" w:space="0" w:color="auto"/>
            <w:right w:val="none" w:sz="0" w:space="0" w:color="auto"/>
          </w:divBdr>
        </w:div>
        <w:div w:id="1451509109">
          <w:marLeft w:val="1080"/>
          <w:marRight w:val="0"/>
          <w:marTop w:val="0"/>
          <w:marBottom w:val="101"/>
          <w:divBdr>
            <w:top w:val="none" w:sz="0" w:space="0" w:color="auto"/>
            <w:left w:val="none" w:sz="0" w:space="0" w:color="auto"/>
            <w:bottom w:val="none" w:sz="0" w:space="0" w:color="auto"/>
            <w:right w:val="none" w:sz="0" w:space="0" w:color="auto"/>
          </w:divBdr>
        </w:div>
        <w:div w:id="675042012">
          <w:marLeft w:val="1080"/>
          <w:marRight w:val="0"/>
          <w:marTop w:val="0"/>
          <w:marBottom w:val="101"/>
          <w:divBdr>
            <w:top w:val="none" w:sz="0" w:space="0" w:color="auto"/>
            <w:left w:val="none" w:sz="0" w:space="0" w:color="auto"/>
            <w:bottom w:val="none" w:sz="0" w:space="0" w:color="auto"/>
            <w:right w:val="none" w:sz="0" w:space="0" w:color="auto"/>
          </w:divBdr>
        </w:div>
        <w:div w:id="1818522876">
          <w:marLeft w:val="1080"/>
          <w:marRight w:val="0"/>
          <w:marTop w:val="0"/>
          <w:marBottom w:val="101"/>
          <w:divBdr>
            <w:top w:val="none" w:sz="0" w:space="0" w:color="auto"/>
            <w:left w:val="none" w:sz="0" w:space="0" w:color="auto"/>
            <w:bottom w:val="none" w:sz="0" w:space="0" w:color="auto"/>
            <w:right w:val="none" w:sz="0" w:space="0" w:color="auto"/>
          </w:divBdr>
        </w:div>
        <w:div w:id="428041129">
          <w:marLeft w:val="1080"/>
          <w:marRight w:val="0"/>
          <w:marTop w:val="0"/>
          <w:marBottom w:val="101"/>
          <w:divBdr>
            <w:top w:val="none" w:sz="0" w:space="0" w:color="auto"/>
            <w:left w:val="none" w:sz="0" w:space="0" w:color="auto"/>
            <w:bottom w:val="none" w:sz="0" w:space="0" w:color="auto"/>
            <w:right w:val="none" w:sz="0" w:space="0" w:color="auto"/>
          </w:divBdr>
        </w:div>
        <w:div w:id="2096974829">
          <w:marLeft w:val="1080"/>
          <w:marRight w:val="0"/>
          <w:marTop w:val="0"/>
          <w:marBottom w:val="101"/>
          <w:divBdr>
            <w:top w:val="none" w:sz="0" w:space="0" w:color="auto"/>
            <w:left w:val="none" w:sz="0" w:space="0" w:color="auto"/>
            <w:bottom w:val="none" w:sz="0" w:space="0" w:color="auto"/>
            <w:right w:val="none" w:sz="0" w:space="0" w:color="auto"/>
          </w:divBdr>
        </w:div>
        <w:div w:id="1586724830">
          <w:marLeft w:val="1080"/>
          <w:marRight w:val="0"/>
          <w:marTop w:val="0"/>
          <w:marBottom w:val="101"/>
          <w:divBdr>
            <w:top w:val="none" w:sz="0" w:space="0" w:color="auto"/>
            <w:left w:val="none" w:sz="0" w:space="0" w:color="auto"/>
            <w:bottom w:val="none" w:sz="0" w:space="0" w:color="auto"/>
            <w:right w:val="none" w:sz="0" w:space="0" w:color="auto"/>
          </w:divBdr>
        </w:div>
        <w:div w:id="197351202">
          <w:marLeft w:val="1080"/>
          <w:marRight w:val="0"/>
          <w:marTop w:val="0"/>
          <w:marBottom w:val="101"/>
          <w:divBdr>
            <w:top w:val="none" w:sz="0" w:space="0" w:color="auto"/>
            <w:left w:val="none" w:sz="0" w:space="0" w:color="auto"/>
            <w:bottom w:val="none" w:sz="0" w:space="0" w:color="auto"/>
            <w:right w:val="none" w:sz="0" w:space="0" w:color="auto"/>
          </w:divBdr>
        </w:div>
        <w:div w:id="1388146878">
          <w:marLeft w:val="720"/>
          <w:marRight w:val="0"/>
          <w:marTop w:val="0"/>
          <w:marBottom w:val="101"/>
          <w:divBdr>
            <w:top w:val="none" w:sz="0" w:space="0" w:color="auto"/>
            <w:left w:val="none" w:sz="0" w:space="0" w:color="auto"/>
            <w:bottom w:val="none" w:sz="0" w:space="0" w:color="auto"/>
            <w:right w:val="none" w:sz="0" w:space="0" w:color="auto"/>
          </w:divBdr>
        </w:div>
        <w:div w:id="1346202952">
          <w:marLeft w:val="1080"/>
          <w:marRight w:val="0"/>
          <w:marTop w:val="0"/>
          <w:marBottom w:val="101"/>
          <w:divBdr>
            <w:top w:val="none" w:sz="0" w:space="0" w:color="auto"/>
            <w:left w:val="none" w:sz="0" w:space="0" w:color="auto"/>
            <w:bottom w:val="none" w:sz="0" w:space="0" w:color="auto"/>
            <w:right w:val="none" w:sz="0" w:space="0" w:color="auto"/>
          </w:divBdr>
        </w:div>
        <w:div w:id="218052281">
          <w:marLeft w:val="1080"/>
          <w:marRight w:val="0"/>
          <w:marTop w:val="0"/>
          <w:marBottom w:val="101"/>
          <w:divBdr>
            <w:top w:val="none" w:sz="0" w:space="0" w:color="auto"/>
            <w:left w:val="none" w:sz="0" w:space="0" w:color="auto"/>
            <w:bottom w:val="none" w:sz="0" w:space="0" w:color="auto"/>
            <w:right w:val="none" w:sz="0" w:space="0" w:color="auto"/>
          </w:divBdr>
        </w:div>
        <w:div w:id="2054382341">
          <w:marLeft w:val="1080"/>
          <w:marRight w:val="0"/>
          <w:marTop w:val="0"/>
          <w:marBottom w:val="101"/>
          <w:divBdr>
            <w:top w:val="none" w:sz="0" w:space="0" w:color="auto"/>
            <w:left w:val="none" w:sz="0" w:space="0" w:color="auto"/>
            <w:bottom w:val="none" w:sz="0" w:space="0" w:color="auto"/>
            <w:right w:val="none" w:sz="0" w:space="0" w:color="auto"/>
          </w:divBdr>
        </w:div>
        <w:div w:id="1828787090">
          <w:marLeft w:val="1080"/>
          <w:marRight w:val="0"/>
          <w:marTop w:val="0"/>
          <w:marBottom w:val="101"/>
          <w:divBdr>
            <w:top w:val="none" w:sz="0" w:space="0" w:color="auto"/>
            <w:left w:val="none" w:sz="0" w:space="0" w:color="auto"/>
            <w:bottom w:val="none" w:sz="0" w:space="0" w:color="auto"/>
            <w:right w:val="none" w:sz="0" w:space="0" w:color="auto"/>
          </w:divBdr>
        </w:div>
        <w:div w:id="1213157523">
          <w:marLeft w:val="1080"/>
          <w:marRight w:val="0"/>
          <w:marTop w:val="0"/>
          <w:marBottom w:val="101"/>
          <w:divBdr>
            <w:top w:val="none" w:sz="0" w:space="0" w:color="auto"/>
            <w:left w:val="none" w:sz="0" w:space="0" w:color="auto"/>
            <w:bottom w:val="none" w:sz="0" w:space="0" w:color="auto"/>
            <w:right w:val="none" w:sz="0" w:space="0" w:color="auto"/>
          </w:divBdr>
        </w:div>
        <w:div w:id="891580914">
          <w:marLeft w:val="1080"/>
          <w:marRight w:val="0"/>
          <w:marTop w:val="0"/>
          <w:marBottom w:val="101"/>
          <w:divBdr>
            <w:top w:val="none" w:sz="0" w:space="0" w:color="auto"/>
            <w:left w:val="none" w:sz="0" w:space="0" w:color="auto"/>
            <w:bottom w:val="none" w:sz="0" w:space="0" w:color="auto"/>
            <w:right w:val="none" w:sz="0" w:space="0" w:color="auto"/>
          </w:divBdr>
        </w:div>
        <w:div w:id="1928268798">
          <w:marLeft w:val="720"/>
          <w:marRight w:val="0"/>
          <w:marTop w:val="0"/>
          <w:marBottom w:val="101"/>
          <w:divBdr>
            <w:top w:val="none" w:sz="0" w:space="0" w:color="auto"/>
            <w:left w:val="none" w:sz="0" w:space="0" w:color="auto"/>
            <w:bottom w:val="none" w:sz="0" w:space="0" w:color="auto"/>
            <w:right w:val="none" w:sz="0" w:space="0" w:color="auto"/>
          </w:divBdr>
        </w:div>
        <w:div w:id="711810945">
          <w:marLeft w:val="1080"/>
          <w:marRight w:val="0"/>
          <w:marTop w:val="0"/>
          <w:marBottom w:val="101"/>
          <w:divBdr>
            <w:top w:val="none" w:sz="0" w:space="0" w:color="auto"/>
            <w:left w:val="none" w:sz="0" w:space="0" w:color="auto"/>
            <w:bottom w:val="none" w:sz="0" w:space="0" w:color="auto"/>
            <w:right w:val="none" w:sz="0" w:space="0" w:color="auto"/>
          </w:divBdr>
        </w:div>
        <w:div w:id="243104649">
          <w:marLeft w:val="1080"/>
          <w:marRight w:val="0"/>
          <w:marTop w:val="0"/>
          <w:marBottom w:val="101"/>
          <w:divBdr>
            <w:top w:val="none" w:sz="0" w:space="0" w:color="auto"/>
            <w:left w:val="none" w:sz="0" w:space="0" w:color="auto"/>
            <w:bottom w:val="none" w:sz="0" w:space="0" w:color="auto"/>
            <w:right w:val="none" w:sz="0" w:space="0" w:color="auto"/>
          </w:divBdr>
        </w:div>
        <w:div w:id="1941335813">
          <w:marLeft w:val="1080"/>
          <w:marRight w:val="0"/>
          <w:marTop w:val="0"/>
          <w:marBottom w:val="101"/>
          <w:divBdr>
            <w:top w:val="none" w:sz="0" w:space="0" w:color="auto"/>
            <w:left w:val="none" w:sz="0" w:space="0" w:color="auto"/>
            <w:bottom w:val="none" w:sz="0" w:space="0" w:color="auto"/>
            <w:right w:val="none" w:sz="0" w:space="0" w:color="auto"/>
          </w:divBdr>
        </w:div>
        <w:div w:id="891815918">
          <w:marLeft w:val="720"/>
          <w:marRight w:val="0"/>
          <w:marTop w:val="0"/>
          <w:marBottom w:val="101"/>
          <w:divBdr>
            <w:top w:val="none" w:sz="0" w:space="0" w:color="auto"/>
            <w:left w:val="none" w:sz="0" w:space="0" w:color="auto"/>
            <w:bottom w:val="none" w:sz="0" w:space="0" w:color="auto"/>
            <w:right w:val="none" w:sz="0" w:space="0" w:color="auto"/>
          </w:divBdr>
        </w:div>
        <w:div w:id="942567385">
          <w:marLeft w:val="1080"/>
          <w:marRight w:val="0"/>
          <w:marTop w:val="0"/>
          <w:marBottom w:val="101"/>
          <w:divBdr>
            <w:top w:val="none" w:sz="0" w:space="0" w:color="auto"/>
            <w:left w:val="none" w:sz="0" w:space="0" w:color="auto"/>
            <w:bottom w:val="none" w:sz="0" w:space="0" w:color="auto"/>
            <w:right w:val="none" w:sz="0" w:space="0" w:color="auto"/>
          </w:divBdr>
        </w:div>
        <w:div w:id="23867338">
          <w:marLeft w:val="720"/>
          <w:marRight w:val="0"/>
          <w:marTop w:val="0"/>
          <w:marBottom w:val="101"/>
          <w:divBdr>
            <w:top w:val="none" w:sz="0" w:space="0" w:color="auto"/>
            <w:left w:val="none" w:sz="0" w:space="0" w:color="auto"/>
            <w:bottom w:val="none" w:sz="0" w:space="0" w:color="auto"/>
            <w:right w:val="none" w:sz="0" w:space="0" w:color="auto"/>
          </w:divBdr>
        </w:div>
        <w:div w:id="1185512418">
          <w:marLeft w:val="0"/>
          <w:marRight w:val="0"/>
          <w:marTop w:val="0"/>
          <w:marBottom w:val="101"/>
          <w:divBdr>
            <w:top w:val="none" w:sz="0" w:space="0" w:color="auto"/>
            <w:left w:val="none" w:sz="0" w:space="0" w:color="auto"/>
            <w:bottom w:val="none" w:sz="0" w:space="0" w:color="auto"/>
            <w:right w:val="none" w:sz="0" w:space="0" w:color="auto"/>
          </w:divBdr>
        </w:div>
        <w:div w:id="1075977612">
          <w:marLeft w:val="0"/>
          <w:marRight w:val="0"/>
          <w:marTop w:val="0"/>
          <w:marBottom w:val="101"/>
          <w:divBdr>
            <w:top w:val="none" w:sz="0" w:space="0" w:color="auto"/>
            <w:left w:val="none" w:sz="0" w:space="0" w:color="auto"/>
            <w:bottom w:val="none" w:sz="0" w:space="0" w:color="auto"/>
            <w:right w:val="none" w:sz="0" w:space="0" w:color="auto"/>
          </w:divBdr>
        </w:div>
        <w:div w:id="88553038">
          <w:marLeft w:val="0"/>
          <w:marRight w:val="0"/>
          <w:marTop w:val="0"/>
          <w:marBottom w:val="101"/>
          <w:divBdr>
            <w:top w:val="none" w:sz="0" w:space="0" w:color="auto"/>
            <w:left w:val="none" w:sz="0" w:space="0" w:color="auto"/>
            <w:bottom w:val="none" w:sz="0" w:space="0" w:color="auto"/>
            <w:right w:val="none" w:sz="0" w:space="0" w:color="auto"/>
          </w:divBdr>
        </w:div>
        <w:div w:id="1439060479">
          <w:marLeft w:val="0"/>
          <w:marRight w:val="0"/>
          <w:marTop w:val="0"/>
          <w:marBottom w:val="101"/>
          <w:divBdr>
            <w:top w:val="none" w:sz="0" w:space="0" w:color="auto"/>
            <w:left w:val="none" w:sz="0" w:space="0" w:color="auto"/>
            <w:bottom w:val="none" w:sz="0" w:space="0" w:color="auto"/>
            <w:right w:val="none" w:sz="0" w:space="0" w:color="auto"/>
          </w:divBdr>
        </w:div>
        <w:div w:id="1257666401">
          <w:marLeft w:val="0"/>
          <w:marRight w:val="0"/>
          <w:marTop w:val="0"/>
          <w:marBottom w:val="101"/>
          <w:divBdr>
            <w:top w:val="none" w:sz="0" w:space="0" w:color="auto"/>
            <w:left w:val="none" w:sz="0" w:space="0" w:color="auto"/>
            <w:bottom w:val="none" w:sz="0" w:space="0" w:color="auto"/>
            <w:right w:val="none" w:sz="0" w:space="0" w:color="auto"/>
          </w:divBdr>
        </w:div>
        <w:div w:id="1828746726">
          <w:marLeft w:val="0"/>
          <w:marRight w:val="0"/>
          <w:marTop w:val="0"/>
          <w:marBottom w:val="101"/>
          <w:divBdr>
            <w:top w:val="none" w:sz="0" w:space="0" w:color="auto"/>
            <w:left w:val="none" w:sz="0" w:space="0" w:color="auto"/>
            <w:bottom w:val="none" w:sz="0" w:space="0" w:color="auto"/>
            <w:right w:val="none" w:sz="0" w:space="0" w:color="auto"/>
          </w:divBdr>
        </w:div>
        <w:div w:id="510223481">
          <w:marLeft w:val="0"/>
          <w:marRight w:val="0"/>
          <w:marTop w:val="0"/>
          <w:marBottom w:val="101"/>
          <w:divBdr>
            <w:top w:val="none" w:sz="0" w:space="0" w:color="auto"/>
            <w:left w:val="none" w:sz="0" w:space="0" w:color="auto"/>
            <w:bottom w:val="none" w:sz="0" w:space="0" w:color="auto"/>
            <w:right w:val="none" w:sz="0" w:space="0" w:color="auto"/>
          </w:divBdr>
        </w:div>
        <w:div w:id="441724796">
          <w:marLeft w:val="0"/>
          <w:marRight w:val="0"/>
          <w:marTop w:val="0"/>
          <w:marBottom w:val="101"/>
          <w:divBdr>
            <w:top w:val="none" w:sz="0" w:space="0" w:color="auto"/>
            <w:left w:val="none" w:sz="0" w:space="0" w:color="auto"/>
            <w:bottom w:val="none" w:sz="0" w:space="0" w:color="auto"/>
            <w:right w:val="none" w:sz="0" w:space="0" w:color="auto"/>
          </w:divBdr>
        </w:div>
        <w:div w:id="789015219">
          <w:marLeft w:val="0"/>
          <w:marRight w:val="0"/>
          <w:marTop w:val="0"/>
          <w:marBottom w:val="101"/>
          <w:divBdr>
            <w:top w:val="none" w:sz="0" w:space="0" w:color="auto"/>
            <w:left w:val="none" w:sz="0" w:space="0" w:color="auto"/>
            <w:bottom w:val="none" w:sz="0" w:space="0" w:color="auto"/>
            <w:right w:val="none" w:sz="0" w:space="0" w:color="auto"/>
          </w:divBdr>
        </w:div>
        <w:div w:id="1872260837">
          <w:marLeft w:val="0"/>
          <w:marRight w:val="0"/>
          <w:marTop w:val="0"/>
          <w:marBottom w:val="101"/>
          <w:divBdr>
            <w:top w:val="none" w:sz="0" w:space="0" w:color="auto"/>
            <w:left w:val="none" w:sz="0" w:space="0" w:color="auto"/>
            <w:bottom w:val="none" w:sz="0" w:space="0" w:color="auto"/>
            <w:right w:val="none" w:sz="0" w:space="0" w:color="auto"/>
          </w:divBdr>
        </w:div>
        <w:div w:id="1756709787">
          <w:marLeft w:val="0"/>
          <w:marRight w:val="0"/>
          <w:marTop w:val="0"/>
          <w:marBottom w:val="101"/>
          <w:divBdr>
            <w:top w:val="none" w:sz="0" w:space="0" w:color="auto"/>
            <w:left w:val="none" w:sz="0" w:space="0" w:color="auto"/>
            <w:bottom w:val="none" w:sz="0" w:space="0" w:color="auto"/>
            <w:right w:val="none" w:sz="0" w:space="0" w:color="auto"/>
          </w:divBdr>
        </w:div>
        <w:div w:id="696270851">
          <w:marLeft w:val="0"/>
          <w:marRight w:val="0"/>
          <w:marTop w:val="0"/>
          <w:marBottom w:val="101"/>
          <w:divBdr>
            <w:top w:val="none" w:sz="0" w:space="0" w:color="auto"/>
            <w:left w:val="none" w:sz="0" w:space="0" w:color="auto"/>
            <w:bottom w:val="none" w:sz="0" w:space="0" w:color="auto"/>
            <w:right w:val="none" w:sz="0" w:space="0" w:color="auto"/>
          </w:divBdr>
        </w:div>
        <w:div w:id="1084644202">
          <w:marLeft w:val="720"/>
          <w:marRight w:val="0"/>
          <w:marTop w:val="0"/>
          <w:marBottom w:val="101"/>
          <w:divBdr>
            <w:top w:val="none" w:sz="0" w:space="0" w:color="auto"/>
            <w:left w:val="none" w:sz="0" w:space="0" w:color="auto"/>
            <w:bottom w:val="none" w:sz="0" w:space="0" w:color="auto"/>
            <w:right w:val="none" w:sz="0" w:space="0" w:color="auto"/>
          </w:divBdr>
        </w:div>
        <w:div w:id="315308688">
          <w:marLeft w:val="1080"/>
          <w:marRight w:val="0"/>
          <w:marTop w:val="0"/>
          <w:marBottom w:val="101"/>
          <w:divBdr>
            <w:top w:val="none" w:sz="0" w:space="0" w:color="auto"/>
            <w:left w:val="none" w:sz="0" w:space="0" w:color="auto"/>
            <w:bottom w:val="none" w:sz="0" w:space="0" w:color="auto"/>
            <w:right w:val="none" w:sz="0" w:space="0" w:color="auto"/>
          </w:divBdr>
        </w:div>
        <w:div w:id="884408874">
          <w:marLeft w:val="0"/>
          <w:marRight w:val="0"/>
          <w:marTop w:val="0"/>
          <w:marBottom w:val="101"/>
          <w:divBdr>
            <w:top w:val="none" w:sz="0" w:space="0" w:color="auto"/>
            <w:left w:val="none" w:sz="0" w:space="0" w:color="auto"/>
            <w:bottom w:val="none" w:sz="0" w:space="0" w:color="auto"/>
            <w:right w:val="none" w:sz="0" w:space="0" w:color="auto"/>
          </w:divBdr>
        </w:div>
        <w:div w:id="376248935">
          <w:marLeft w:val="0"/>
          <w:marRight w:val="0"/>
          <w:marTop w:val="0"/>
          <w:marBottom w:val="101"/>
          <w:divBdr>
            <w:top w:val="none" w:sz="0" w:space="0" w:color="auto"/>
            <w:left w:val="none" w:sz="0" w:space="0" w:color="auto"/>
            <w:bottom w:val="none" w:sz="0" w:space="0" w:color="auto"/>
            <w:right w:val="none" w:sz="0" w:space="0" w:color="auto"/>
          </w:divBdr>
        </w:div>
        <w:div w:id="1790582343">
          <w:marLeft w:val="0"/>
          <w:marRight w:val="0"/>
          <w:marTop w:val="0"/>
          <w:marBottom w:val="101"/>
          <w:divBdr>
            <w:top w:val="none" w:sz="0" w:space="0" w:color="auto"/>
            <w:left w:val="none" w:sz="0" w:space="0" w:color="auto"/>
            <w:bottom w:val="none" w:sz="0" w:space="0" w:color="auto"/>
            <w:right w:val="none" w:sz="0" w:space="0" w:color="auto"/>
          </w:divBdr>
        </w:div>
        <w:div w:id="662776804">
          <w:marLeft w:val="0"/>
          <w:marRight w:val="0"/>
          <w:marTop w:val="0"/>
          <w:marBottom w:val="101"/>
          <w:divBdr>
            <w:top w:val="none" w:sz="0" w:space="0" w:color="auto"/>
            <w:left w:val="none" w:sz="0" w:space="0" w:color="auto"/>
            <w:bottom w:val="none" w:sz="0" w:space="0" w:color="auto"/>
            <w:right w:val="none" w:sz="0" w:space="0" w:color="auto"/>
          </w:divBdr>
        </w:div>
        <w:div w:id="1496990005">
          <w:marLeft w:val="0"/>
          <w:marRight w:val="0"/>
          <w:marTop w:val="0"/>
          <w:marBottom w:val="101"/>
          <w:divBdr>
            <w:top w:val="none" w:sz="0" w:space="0" w:color="auto"/>
            <w:left w:val="none" w:sz="0" w:space="0" w:color="auto"/>
            <w:bottom w:val="none" w:sz="0" w:space="0" w:color="auto"/>
            <w:right w:val="none" w:sz="0" w:space="0" w:color="auto"/>
          </w:divBdr>
        </w:div>
        <w:div w:id="572787069">
          <w:marLeft w:val="0"/>
          <w:marRight w:val="0"/>
          <w:marTop w:val="0"/>
          <w:marBottom w:val="101"/>
          <w:divBdr>
            <w:top w:val="none" w:sz="0" w:space="0" w:color="auto"/>
            <w:left w:val="none" w:sz="0" w:space="0" w:color="auto"/>
            <w:bottom w:val="none" w:sz="0" w:space="0" w:color="auto"/>
            <w:right w:val="none" w:sz="0" w:space="0" w:color="auto"/>
          </w:divBdr>
        </w:div>
        <w:div w:id="272517562">
          <w:marLeft w:val="0"/>
          <w:marRight w:val="0"/>
          <w:marTop w:val="0"/>
          <w:marBottom w:val="101"/>
          <w:divBdr>
            <w:top w:val="none" w:sz="0" w:space="0" w:color="auto"/>
            <w:left w:val="none" w:sz="0" w:space="0" w:color="auto"/>
            <w:bottom w:val="none" w:sz="0" w:space="0" w:color="auto"/>
            <w:right w:val="none" w:sz="0" w:space="0" w:color="auto"/>
          </w:divBdr>
        </w:div>
        <w:div w:id="163982695">
          <w:marLeft w:val="0"/>
          <w:marRight w:val="0"/>
          <w:marTop w:val="0"/>
          <w:marBottom w:val="101"/>
          <w:divBdr>
            <w:top w:val="none" w:sz="0" w:space="0" w:color="auto"/>
            <w:left w:val="none" w:sz="0" w:space="0" w:color="auto"/>
            <w:bottom w:val="none" w:sz="0" w:space="0" w:color="auto"/>
            <w:right w:val="none" w:sz="0" w:space="0" w:color="auto"/>
          </w:divBdr>
        </w:div>
        <w:div w:id="1345353945">
          <w:marLeft w:val="0"/>
          <w:marRight w:val="0"/>
          <w:marTop w:val="0"/>
          <w:marBottom w:val="101"/>
          <w:divBdr>
            <w:top w:val="none" w:sz="0" w:space="0" w:color="auto"/>
            <w:left w:val="none" w:sz="0" w:space="0" w:color="auto"/>
            <w:bottom w:val="none" w:sz="0" w:space="0" w:color="auto"/>
            <w:right w:val="none" w:sz="0" w:space="0" w:color="auto"/>
          </w:divBdr>
        </w:div>
        <w:div w:id="1484391289">
          <w:marLeft w:val="0"/>
          <w:marRight w:val="0"/>
          <w:marTop w:val="0"/>
          <w:marBottom w:val="101"/>
          <w:divBdr>
            <w:top w:val="none" w:sz="0" w:space="0" w:color="auto"/>
            <w:left w:val="none" w:sz="0" w:space="0" w:color="auto"/>
            <w:bottom w:val="none" w:sz="0" w:space="0" w:color="auto"/>
            <w:right w:val="none" w:sz="0" w:space="0" w:color="auto"/>
          </w:divBdr>
        </w:div>
        <w:div w:id="1315450622">
          <w:marLeft w:val="0"/>
          <w:marRight w:val="0"/>
          <w:marTop w:val="0"/>
          <w:marBottom w:val="101"/>
          <w:divBdr>
            <w:top w:val="none" w:sz="0" w:space="0" w:color="auto"/>
            <w:left w:val="none" w:sz="0" w:space="0" w:color="auto"/>
            <w:bottom w:val="none" w:sz="0" w:space="0" w:color="auto"/>
            <w:right w:val="none" w:sz="0" w:space="0" w:color="auto"/>
          </w:divBdr>
        </w:div>
        <w:div w:id="1477258983">
          <w:marLeft w:val="0"/>
          <w:marRight w:val="0"/>
          <w:marTop w:val="0"/>
          <w:marBottom w:val="101"/>
          <w:divBdr>
            <w:top w:val="none" w:sz="0" w:space="0" w:color="auto"/>
            <w:left w:val="none" w:sz="0" w:space="0" w:color="auto"/>
            <w:bottom w:val="none" w:sz="0" w:space="0" w:color="auto"/>
            <w:right w:val="none" w:sz="0" w:space="0" w:color="auto"/>
          </w:divBdr>
        </w:div>
        <w:div w:id="1797528021">
          <w:marLeft w:val="0"/>
          <w:marRight w:val="0"/>
          <w:marTop w:val="0"/>
          <w:marBottom w:val="101"/>
          <w:divBdr>
            <w:top w:val="none" w:sz="0" w:space="0" w:color="auto"/>
            <w:left w:val="none" w:sz="0" w:space="0" w:color="auto"/>
            <w:bottom w:val="none" w:sz="0" w:space="0" w:color="auto"/>
            <w:right w:val="none" w:sz="0" w:space="0" w:color="auto"/>
          </w:divBdr>
        </w:div>
        <w:div w:id="345785844">
          <w:marLeft w:val="0"/>
          <w:marRight w:val="0"/>
          <w:marTop w:val="0"/>
          <w:marBottom w:val="101"/>
          <w:divBdr>
            <w:top w:val="none" w:sz="0" w:space="0" w:color="auto"/>
            <w:left w:val="none" w:sz="0" w:space="0" w:color="auto"/>
            <w:bottom w:val="none" w:sz="0" w:space="0" w:color="auto"/>
            <w:right w:val="none" w:sz="0" w:space="0" w:color="auto"/>
          </w:divBdr>
        </w:div>
        <w:div w:id="966937881">
          <w:marLeft w:val="0"/>
          <w:marRight w:val="0"/>
          <w:marTop w:val="0"/>
          <w:marBottom w:val="101"/>
          <w:divBdr>
            <w:top w:val="none" w:sz="0" w:space="0" w:color="auto"/>
            <w:left w:val="none" w:sz="0" w:space="0" w:color="auto"/>
            <w:bottom w:val="none" w:sz="0" w:space="0" w:color="auto"/>
            <w:right w:val="none" w:sz="0" w:space="0" w:color="auto"/>
          </w:divBdr>
        </w:div>
        <w:div w:id="1638560607">
          <w:marLeft w:val="0"/>
          <w:marRight w:val="0"/>
          <w:marTop w:val="0"/>
          <w:marBottom w:val="101"/>
          <w:divBdr>
            <w:top w:val="none" w:sz="0" w:space="0" w:color="auto"/>
            <w:left w:val="none" w:sz="0" w:space="0" w:color="auto"/>
            <w:bottom w:val="none" w:sz="0" w:space="0" w:color="auto"/>
            <w:right w:val="none" w:sz="0" w:space="0" w:color="auto"/>
          </w:divBdr>
        </w:div>
        <w:div w:id="1092051292">
          <w:marLeft w:val="0"/>
          <w:marRight w:val="0"/>
          <w:marTop w:val="0"/>
          <w:marBottom w:val="101"/>
          <w:divBdr>
            <w:top w:val="none" w:sz="0" w:space="0" w:color="auto"/>
            <w:left w:val="none" w:sz="0" w:space="0" w:color="auto"/>
            <w:bottom w:val="none" w:sz="0" w:space="0" w:color="auto"/>
            <w:right w:val="none" w:sz="0" w:space="0" w:color="auto"/>
          </w:divBdr>
        </w:div>
        <w:div w:id="766342279">
          <w:marLeft w:val="0"/>
          <w:marRight w:val="0"/>
          <w:marTop w:val="0"/>
          <w:marBottom w:val="101"/>
          <w:divBdr>
            <w:top w:val="none" w:sz="0" w:space="0" w:color="auto"/>
            <w:left w:val="none" w:sz="0" w:space="0" w:color="auto"/>
            <w:bottom w:val="none" w:sz="0" w:space="0" w:color="auto"/>
            <w:right w:val="none" w:sz="0" w:space="0" w:color="auto"/>
          </w:divBdr>
        </w:div>
        <w:div w:id="2109696339">
          <w:marLeft w:val="0"/>
          <w:marRight w:val="0"/>
          <w:marTop w:val="0"/>
          <w:marBottom w:val="101"/>
          <w:divBdr>
            <w:top w:val="none" w:sz="0" w:space="0" w:color="auto"/>
            <w:left w:val="none" w:sz="0" w:space="0" w:color="auto"/>
            <w:bottom w:val="none" w:sz="0" w:space="0" w:color="auto"/>
            <w:right w:val="none" w:sz="0" w:space="0" w:color="auto"/>
          </w:divBdr>
        </w:div>
        <w:div w:id="1316110045">
          <w:marLeft w:val="0"/>
          <w:marRight w:val="0"/>
          <w:marTop w:val="0"/>
          <w:marBottom w:val="101"/>
          <w:divBdr>
            <w:top w:val="none" w:sz="0" w:space="0" w:color="auto"/>
            <w:left w:val="none" w:sz="0" w:space="0" w:color="auto"/>
            <w:bottom w:val="none" w:sz="0" w:space="0" w:color="auto"/>
            <w:right w:val="none" w:sz="0" w:space="0" w:color="auto"/>
          </w:divBdr>
        </w:div>
        <w:div w:id="1010911575">
          <w:marLeft w:val="0"/>
          <w:marRight w:val="0"/>
          <w:marTop w:val="0"/>
          <w:marBottom w:val="101"/>
          <w:divBdr>
            <w:top w:val="none" w:sz="0" w:space="0" w:color="auto"/>
            <w:left w:val="none" w:sz="0" w:space="0" w:color="auto"/>
            <w:bottom w:val="none" w:sz="0" w:space="0" w:color="auto"/>
            <w:right w:val="none" w:sz="0" w:space="0" w:color="auto"/>
          </w:divBdr>
        </w:div>
        <w:div w:id="713700490">
          <w:marLeft w:val="0"/>
          <w:marRight w:val="0"/>
          <w:marTop w:val="0"/>
          <w:marBottom w:val="101"/>
          <w:divBdr>
            <w:top w:val="none" w:sz="0" w:space="0" w:color="auto"/>
            <w:left w:val="none" w:sz="0" w:space="0" w:color="auto"/>
            <w:bottom w:val="none" w:sz="0" w:space="0" w:color="auto"/>
            <w:right w:val="none" w:sz="0" w:space="0" w:color="auto"/>
          </w:divBdr>
        </w:div>
        <w:div w:id="550384656">
          <w:marLeft w:val="0"/>
          <w:marRight w:val="0"/>
          <w:marTop w:val="0"/>
          <w:marBottom w:val="101"/>
          <w:divBdr>
            <w:top w:val="none" w:sz="0" w:space="0" w:color="auto"/>
            <w:left w:val="none" w:sz="0" w:space="0" w:color="auto"/>
            <w:bottom w:val="none" w:sz="0" w:space="0" w:color="auto"/>
            <w:right w:val="none" w:sz="0" w:space="0" w:color="auto"/>
          </w:divBdr>
        </w:div>
        <w:div w:id="1604877824">
          <w:marLeft w:val="0"/>
          <w:marRight w:val="0"/>
          <w:marTop w:val="0"/>
          <w:marBottom w:val="101"/>
          <w:divBdr>
            <w:top w:val="none" w:sz="0" w:space="0" w:color="auto"/>
            <w:left w:val="none" w:sz="0" w:space="0" w:color="auto"/>
            <w:bottom w:val="none" w:sz="0" w:space="0" w:color="auto"/>
            <w:right w:val="none" w:sz="0" w:space="0" w:color="auto"/>
          </w:divBdr>
        </w:div>
        <w:div w:id="1997415628">
          <w:marLeft w:val="0"/>
          <w:marRight w:val="0"/>
          <w:marTop w:val="0"/>
          <w:marBottom w:val="101"/>
          <w:divBdr>
            <w:top w:val="none" w:sz="0" w:space="0" w:color="auto"/>
            <w:left w:val="none" w:sz="0" w:space="0" w:color="auto"/>
            <w:bottom w:val="none" w:sz="0" w:space="0" w:color="auto"/>
            <w:right w:val="none" w:sz="0" w:space="0" w:color="auto"/>
          </w:divBdr>
        </w:div>
        <w:div w:id="1040007540">
          <w:marLeft w:val="0"/>
          <w:marRight w:val="0"/>
          <w:marTop w:val="0"/>
          <w:marBottom w:val="101"/>
          <w:divBdr>
            <w:top w:val="none" w:sz="0" w:space="0" w:color="auto"/>
            <w:left w:val="none" w:sz="0" w:space="0" w:color="auto"/>
            <w:bottom w:val="none" w:sz="0" w:space="0" w:color="auto"/>
            <w:right w:val="none" w:sz="0" w:space="0" w:color="auto"/>
          </w:divBdr>
        </w:div>
        <w:div w:id="757365854">
          <w:marLeft w:val="0"/>
          <w:marRight w:val="0"/>
          <w:marTop w:val="0"/>
          <w:marBottom w:val="101"/>
          <w:divBdr>
            <w:top w:val="none" w:sz="0" w:space="0" w:color="auto"/>
            <w:left w:val="none" w:sz="0" w:space="0" w:color="auto"/>
            <w:bottom w:val="none" w:sz="0" w:space="0" w:color="auto"/>
            <w:right w:val="none" w:sz="0" w:space="0" w:color="auto"/>
          </w:divBdr>
        </w:div>
        <w:div w:id="1171019517">
          <w:marLeft w:val="0"/>
          <w:marRight w:val="0"/>
          <w:marTop w:val="0"/>
          <w:marBottom w:val="101"/>
          <w:divBdr>
            <w:top w:val="none" w:sz="0" w:space="0" w:color="auto"/>
            <w:left w:val="none" w:sz="0" w:space="0" w:color="auto"/>
            <w:bottom w:val="none" w:sz="0" w:space="0" w:color="auto"/>
            <w:right w:val="none" w:sz="0" w:space="0" w:color="auto"/>
          </w:divBdr>
        </w:div>
        <w:div w:id="1455441429">
          <w:marLeft w:val="0"/>
          <w:marRight w:val="0"/>
          <w:marTop w:val="0"/>
          <w:marBottom w:val="101"/>
          <w:divBdr>
            <w:top w:val="none" w:sz="0" w:space="0" w:color="auto"/>
            <w:left w:val="none" w:sz="0" w:space="0" w:color="auto"/>
            <w:bottom w:val="none" w:sz="0" w:space="0" w:color="auto"/>
            <w:right w:val="none" w:sz="0" w:space="0" w:color="auto"/>
          </w:divBdr>
        </w:div>
        <w:div w:id="506292842">
          <w:marLeft w:val="0"/>
          <w:marRight w:val="0"/>
          <w:marTop w:val="0"/>
          <w:marBottom w:val="101"/>
          <w:divBdr>
            <w:top w:val="none" w:sz="0" w:space="0" w:color="auto"/>
            <w:left w:val="none" w:sz="0" w:space="0" w:color="auto"/>
            <w:bottom w:val="none" w:sz="0" w:space="0" w:color="auto"/>
            <w:right w:val="none" w:sz="0" w:space="0" w:color="auto"/>
          </w:divBdr>
        </w:div>
        <w:div w:id="1661470283">
          <w:marLeft w:val="0"/>
          <w:marRight w:val="0"/>
          <w:marTop w:val="0"/>
          <w:marBottom w:val="200"/>
          <w:divBdr>
            <w:top w:val="none" w:sz="0" w:space="0" w:color="auto"/>
            <w:left w:val="none" w:sz="0" w:space="0" w:color="auto"/>
            <w:bottom w:val="none" w:sz="0" w:space="0" w:color="auto"/>
            <w:right w:val="none" w:sz="0" w:space="0" w:color="auto"/>
          </w:divBdr>
        </w:div>
        <w:div w:id="1888568019">
          <w:marLeft w:val="0"/>
          <w:marRight w:val="0"/>
          <w:marTop w:val="0"/>
          <w:marBottom w:val="99"/>
          <w:divBdr>
            <w:top w:val="none" w:sz="0" w:space="0" w:color="auto"/>
            <w:left w:val="none" w:sz="0" w:space="0" w:color="auto"/>
            <w:bottom w:val="none" w:sz="0" w:space="0" w:color="auto"/>
            <w:right w:val="none" w:sz="0" w:space="0" w:color="auto"/>
          </w:divBdr>
        </w:div>
        <w:div w:id="996762100">
          <w:marLeft w:val="0"/>
          <w:marRight w:val="0"/>
          <w:marTop w:val="0"/>
          <w:marBottom w:val="99"/>
          <w:divBdr>
            <w:top w:val="none" w:sz="0" w:space="0" w:color="auto"/>
            <w:left w:val="none" w:sz="0" w:space="0" w:color="auto"/>
            <w:bottom w:val="none" w:sz="0" w:space="0" w:color="auto"/>
            <w:right w:val="none" w:sz="0" w:space="0" w:color="auto"/>
          </w:divBdr>
        </w:div>
        <w:div w:id="1901358002">
          <w:marLeft w:val="0"/>
          <w:marRight w:val="0"/>
          <w:marTop w:val="0"/>
          <w:marBottom w:val="99"/>
          <w:divBdr>
            <w:top w:val="none" w:sz="0" w:space="0" w:color="auto"/>
            <w:left w:val="none" w:sz="0" w:space="0" w:color="auto"/>
            <w:bottom w:val="none" w:sz="0" w:space="0" w:color="auto"/>
            <w:right w:val="none" w:sz="0" w:space="0" w:color="auto"/>
          </w:divBdr>
        </w:div>
        <w:div w:id="911279912">
          <w:marLeft w:val="0"/>
          <w:marRight w:val="0"/>
          <w:marTop w:val="0"/>
          <w:marBottom w:val="99"/>
          <w:divBdr>
            <w:top w:val="none" w:sz="0" w:space="0" w:color="auto"/>
            <w:left w:val="none" w:sz="0" w:space="0" w:color="auto"/>
            <w:bottom w:val="none" w:sz="0" w:space="0" w:color="auto"/>
            <w:right w:val="none" w:sz="0" w:space="0" w:color="auto"/>
          </w:divBdr>
        </w:div>
        <w:div w:id="335504434">
          <w:marLeft w:val="0"/>
          <w:marRight w:val="0"/>
          <w:marTop w:val="0"/>
          <w:marBottom w:val="99"/>
          <w:divBdr>
            <w:top w:val="none" w:sz="0" w:space="0" w:color="auto"/>
            <w:left w:val="none" w:sz="0" w:space="0" w:color="auto"/>
            <w:bottom w:val="none" w:sz="0" w:space="0" w:color="auto"/>
            <w:right w:val="none" w:sz="0" w:space="0" w:color="auto"/>
          </w:divBdr>
        </w:div>
        <w:div w:id="1739939424">
          <w:marLeft w:val="0"/>
          <w:marRight w:val="0"/>
          <w:marTop w:val="0"/>
          <w:marBottom w:val="99"/>
          <w:divBdr>
            <w:top w:val="none" w:sz="0" w:space="0" w:color="auto"/>
            <w:left w:val="none" w:sz="0" w:space="0" w:color="auto"/>
            <w:bottom w:val="none" w:sz="0" w:space="0" w:color="auto"/>
            <w:right w:val="none" w:sz="0" w:space="0" w:color="auto"/>
          </w:divBdr>
        </w:div>
        <w:div w:id="664555587">
          <w:marLeft w:val="0"/>
          <w:marRight w:val="0"/>
          <w:marTop w:val="0"/>
          <w:marBottom w:val="99"/>
          <w:divBdr>
            <w:top w:val="none" w:sz="0" w:space="0" w:color="auto"/>
            <w:left w:val="none" w:sz="0" w:space="0" w:color="auto"/>
            <w:bottom w:val="none" w:sz="0" w:space="0" w:color="auto"/>
            <w:right w:val="none" w:sz="0" w:space="0" w:color="auto"/>
          </w:divBdr>
        </w:div>
        <w:div w:id="1060058802">
          <w:marLeft w:val="0"/>
          <w:marRight w:val="0"/>
          <w:marTop w:val="0"/>
          <w:marBottom w:val="99"/>
          <w:divBdr>
            <w:top w:val="none" w:sz="0" w:space="0" w:color="auto"/>
            <w:left w:val="none" w:sz="0" w:space="0" w:color="auto"/>
            <w:bottom w:val="none" w:sz="0" w:space="0" w:color="auto"/>
            <w:right w:val="none" w:sz="0" w:space="0" w:color="auto"/>
          </w:divBdr>
        </w:div>
        <w:div w:id="1942836414">
          <w:marLeft w:val="0"/>
          <w:marRight w:val="0"/>
          <w:marTop w:val="0"/>
          <w:marBottom w:val="99"/>
          <w:divBdr>
            <w:top w:val="none" w:sz="0" w:space="0" w:color="auto"/>
            <w:left w:val="none" w:sz="0" w:space="0" w:color="auto"/>
            <w:bottom w:val="none" w:sz="0" w:space="0" w:color="auto"/>
            <w:right w:val="none" w:sz="0" w:space="0" w:color="auto"/>
          </w:divBdr>
        </w:div>
        <w:div w:id="197592708">
          <w:marLeft w:val="0"/>
          <w:marRight w:val="0"/>
          <w:marTop w:val="0"/>
          <w:marBottom w:val="99"/>
          <w:divBdr>
            <w:top w:val="none" w:sz="0" w:space="0" w:color="auto"/>
            <w:left w:val="none" w:sz="0" w:space="0" w:color="auto"/>
            <w:bottom w:val="none" w:sz="0" w:space="0" w:color="auto"/>
            <w:right w:val="none" w:sz="0" w:space="0" w:color="auto"/>
          </w:divBdr>
        </w:div>
        <w:div w:id="1865485427">
          <w:marLeft w:val="0"/>
          <w:marRight w:val="0"/>
          <w:marTop w:val="0"/>
          <w:marBottom w:val="99"/>
          <w:divBdr>
            <w:top w:val="none" w:sz="0" w:space="0" w:color="auto"/>
            <w:left w:val="none" w:sz="0" w:space="0" w:color="auto"/>
            <w:bottom w:val="none" w:sz="0" w:space="0" w:color="auto"/>
            <w:right w:val="none" w:sz="0" w:space="0" w:color="auto"/>
          </w:divBdr>
        </w:div>
        <w:div w:id="628825662">
          <w:marLeft w:val="0"/>
          <w:marRight w:val="0"/>
          <w:marTop w:val="0"/>
          <w:marBottom w:val="99"/>
          <w:divBdr>
            <w:top w:val="none" w:sz="0" w:space="0" w:color="auto"/>
            <w:left w:val="none" w:sz="0" w:space="0" w:color="auto"/>
            <w:bottom w:val="none" w:sz="0" w:space="0" w:color="auto"/>
            <w:right w:val="none" w:sz="0" w:space="0" w:color="auto"/>
          </w:divBdr>
        </w:div>
        <w:div w:id="779685829">
          <w:marLeft w:val="0"/>
          <w:marRight w:val="0"/>
          <w:marTop w:val="0"/>
          <w:marBottom w:val="99"/>
          <w:divBdr>
            <w:top w:val="none" w:sz="0" w:space="0" w:color="auto"/>
            <w:left w:val="none" w:sz="0" w:space="0" w:color="auto"/>
            <w:bottom w:val="none" w:sz="0" w:space="0" w:color="auto"/>
            <w:right w:val="none" w:sz="0" w:space="0" w:color="auto"/>
          </w:divBdr>
        </w:div>
        <w:div w:id="1983578778">
          <w:marLeft w:val="0"/>
          <w:marRight w:val="0"/>
          <w:marTop w:val="0"/>
          <w:marBottom w:val="99"/>
          <w:divBdr>
            <w:top w:val="none" w:sz="0" w:space="0" w:color="auto"/>
            <w:left w:val="none" w:sz="0" w:space="0" w:color="auto"/>
            <w:bottom w:val="none" w:sz="0" w:space="0" w:color="auto"/>
            <w:right w:val="none" w:sz="0" w:space="0" w:color="auto"/>
          </w:divBdr>
        </w:div>
        <w:div w:id="1131367015">
          <w:marLeft w:val="0"/>
          <w:marRight w:val="0"/>
          <w:marTop w:val="0"/>
          <w:marBottom w:val="99"/>
          <w:divBdr>
            <w:top w:val="none" w:sz="0" w:space="0" w:color="auto"/>
            <w:left w:val="none" w:sz="0" w:space="0" w:color="auto"/>
            <w:bottom w:val="none" w:sz="0" w:space="0" w:color="auto"/>
            <w:right w:val="none" w:sz="0" w:space="0" w:color="auto"/>
          </w:divBdr>
        </w:div>
        <w:div w:id="1725248680">
          <w:marLeft w:val="0"/>
          <w:marRight w:val="0"/>
          <w:marTop w:val="0"/>
          <w:marBottom w:val="99"/>
          <w:divBdr>
            <w:top w:val="none" w:sz="0" w:space="0" w:color="auto"/>
            <w:left w:val="none" w:sz="0" w:space="0" w:color="auto"/>
            <w:bottom w:val="none" w:sz="0" w:space="0" w:color="auto"/>
            <w:right w:val="none" w:sz="0" w:space="0" w:color="auto"/>
          </w:divBdr>
        </w:div>
        <w:div w:id="513808438">
          <w:marLeft w:val="0"/>
          <w:marRight w:val="0"/>
          <w:marTop w:val="0"/>
          <w:marBottom w:val="99"/>
          <w:divBdr>
            <w:top w:val="none" w:sz="0" w:space="0" w:color="auto"/>
            <w:left w:val="none" w:sz="0" w:space="0" w:color="auto"/>
            <w:bottom w:val="none" w:sz="0" w:space="0" w:color="auto"/>
            <w:right w:val="none" w:sz="0" w:space="0" w:color="auto"/>
          </w:divBdr>
        </w:div>
        <w:div w:id="1780175286">
          <w:marLeft w:val="0"/>
          <w:marRight w:val="0"/>
          <w:marTop w:val="0"/>
          <w:marBottom w:val="99"/>
          <w:divBdr>
            <w:top w:val="none" w:sz="0" w:space="0" w:color="auto"/>
            <w:left w:val="none" w:sz="0" w:space="0" w:color="auto"/>
            <w:bottom w:val="none" w:sz="0" w:space="0" w:color="auto"/>
            <w:right w:val="none" w:sz="0" w:space="0" w:color="auto"/>
          </w:divBdr>
        </w:div>
        <w:div w:id="1113983872">
          <w:marLeft w:val="0"/>
          <w:marRight w:val="0"/>
          <w:marTop w:val="0"/>
          <w:marBottom w:val="99"/>
          <w:divBdr>
            <w:top w:val="none" w:sz="0" w:space="0" w:color="auto"/>
            <w:left w:val="none" w:sz="0" w:space="0" w:color="auto"/>
            <w:bottom w:val="none" w:sz="0" w:space="0" w:color="auto"/>
            <w:right w:val="none" w:sz="0" w:space="0" w:color="auto"/>
          </w:divBdr>
        </w:div>
        <w:div w:id="650521510">
          <w:marLeft w:val="0"/>
          <w:marRight w:val="0"/>
          <w:marTop w:val="0"/>
          <w:marBottom w:val="99"/>
          <w:divBdr>
            <w:top w:val="none" w:sz="0" w:space="0" w:color="auto"/>
            <w:left w:val="none" w:sz="0" w:space="0" w:color="auto"/>
            <w:bottom w:val="none" w:sz="0" w:space="0" w:color="auto"/>
            <w:right w:val="none" w:sz="0" w:space="0" w:color="auto"/>
          </w:divBdr>
        </w:div>
        <w:div w:id="538393832">
          <w:marLeft w:val="0"/>
          <w:marRight w:val="0"/>
          <w:marTop w:val="0"/>
          <w:marBottom w:val="99"/>
          <w:divBdr>
            <w:top w:val="none" w:sz="0" w:space="0" w:color="auto"/>
            <w:left w:val="none" w:sz="0" w:space="0" w:color="auto"/>
            <w:bottom w:val="none" w:sz="0" w:space="0" w:color="auto"/>
            <w:right w:val="none" w:sz="0" w:space="0" w:color="auto"/>
          </w:divBdr>
        </w:div>
        <w:div w:id="584998870">
          <w:marLeft w:val="0"/>
          <w:marRight w:val="0"/>
          <w:marTop w:val="0"/>
          <w:marBottom w:val="99"/>
          <w:divBdr>
            <w:top w:val="none" w:sz="0" w:space="0" w:color="auto"/>
            <w:left w:val="none" w:sz="0" w:space="0" w:color="auto"/>
            <w:bottom w:val="none" w:sz="0" w:space="0" w:color="auto"/>
            <w:right w:val="none" w:sz="0" w:space="0" w:color="auto"/>
          </w:divBdr>
        </w:div>
        <w:div w:id="1126048967">
          <w:marLeft w:val="0"/>
          <w:marRight w:val="0"/>
          <w:marTop w:val="0"/>
          <w:marBottom w:val="99"/>
          <w:divBdr>
            <w:top w:val="none" w:sz="0" w:space="0" w:color="auto"/>
            <w:left w:val="none" w:sz="0" w:space="0" w:color="auto"/>
            <w:bottom w:val="none" w:sz="0" w:space="0" w:color="auto"/>
            <w:right w:val="none" w:sz="0" w:space="0" w:color="auto"/>
          </w:divBdr>
        </w:div>
        <w:div w:id="2110273256">
          <w:marLeft w:val="0"/>
          <w:marRight w:val="0"/>
          <w:marTop w:val="0"/>
          <w:marBottom w:val="99"/>
          <w:divBdr>
            <w:top w:val="none" w:sz="0" w:space="0" w:color="auto"/>
            <w:left w:val="none" w:sz="0" w:space="0" w:color="auto"/>
            <w:bottom w:val="none" w:sz="0" w:space="0" w:color="auto"/>
            <w:right w:val="none" w:sz="0" w:space="0" w:color="auto"/>
          </w:divBdr>
        </w:div>
        <w:div w:id="2087989609">
          <w:marLeft w:val="0"/>
          <w:marRight w:val="0"/>
          <w:marTop w:val="0"/>
          <w:marBottom w:val="99"/>
          <w:divBdr>
            <w:top w:val="none" w:sz="0" w:space="0" w:color="auto"/>
            <w:left w:val="none" w:sz="0" w:space="0" w:color="auto"/>
            <w:bottom w:val="none" w:sz="0" w:space="0" w:color="auto"/>
            <w:right w:val="none" w:sz="0" w:space="0" w:color="auto"/>
          </w:divBdr>
        </w:div>
        <w:div w:id="383525836">
          <w:marLeft w:val="0"/>
          <w:marRight w:val="0"/>
          <w:marTop w:val="0"/>
          <w:marBottom w:val="99"/>
          <w:divBdr>
            <w:top w:val="none" w:sz="0" w:space="0" w:color="auto"/>
            <w:left w:val="none" w:sz="0" w:space="0" w:color="auto"/>
            <w:bottom w:val="none" w:sz="0" w:space="0" w:color="auto"/>
            <w:right w:val="none" w:sz="0" w:space="0" w:color="auto"/>
          </w:divBdr>
        </w:div>
        <w:div w:id="1238900516">
          <w:marLeft w:val="0"/>
          <w:marRight w:val="0"/>
          <w:marTop w:val="0"/>
          <w:marBottom w:val="99"/>
          <w:divBdr>
            <w:top w:val="none" w:sz="0" w:space="0" w:color="auto"/>
            <w:left w:val="none" w:sz="0" w:space="0" w:color="auto"/>
            <w:bottom w:val="none" w:sz="0" w:space="0" w:color="auto"/>
            <w:right w:val="none" w:sz="0" w:space="0" w:color="auto"/>
          </w:divBdr>
        </w:div>
        <w:div w:id="1078332282">
          <w:marLeft w:val="0"/>
          <w:marRight w:val="0"/>
          <w:marTop w:val="0"/>
          <w:marBottom w:val="99"/>
          <w:divBdr>
            <w:top w:val="none" w:sz="0" w:space="0" w:color="auto"/>
            <w:left w:val="none" w:sz="0" w:space="0" w:color="auto"/>
            <w:bottom w:val="none" w:sz="0" w:space="0" w:color="auto"/>
            <w:right w:val="none" w:sz="0" w:space="0" w:color="auto"/>
          </w:divBdr>
        </w:div>
        <w:div w:id="1342195131">
          <w:marLeft w:val="0"/>
          <w:marRight w:val="0"/>
          <w:marTop w:val="0"/>
          <w:marBottom w:val="99"/>
          <w:divBdr>
            <w:top w:val="none" w:sz="0" w:space="0" w:color="auto"/>
            <w:left w:val="none" w:sz="0" w:space="0" w:color="auto"/>
            <w:bottom w:val="none" w:sz="0" w:space="0" w:color="auto"/>
            <w:right w:val="none" w:sz="0" w:space="0" w:color="auto"/>
          </w:divBdr>
        </w:div>
        <w:div w:id="850488878">
          <w:marLeft w:val="0"/>
          <w:marRight w:val="0"/>
          <w:marTop w:val="0"/>
          <w:marBottom w:val="99"/>
          <w:divBdr>
            <w:top w:val="none" w:sz="0" w:space="0" w:color="auto"/>
            <w:left w:val="none" w:sz="0" w:space="0" w:color="auto"/>
            <w:bottom w:val="none" w:sz="0" w:space="0" w:color="auto"/>
            <w:right w:val="none" w:sz="0" w:space="0" w:color="auto"/>
          </w:divBdr>
        </w:div>
        <w:div w:id="240599222">
          <w:marLeft w:val="0"/>
          <w:marRight w:val="0"/>
          <w:marTop w:val="0"/>
          <w:marBottom w:val="99"/>
          <w:divBdr>
            <w:top w:val="none" w:sz="0" w:space="0" w:color="auto"/>
            <w:left w:val="none" w:sz="0" w:space="0" w:color="auto"/>
            <w:bottom w:val="none" w:sz="0" w:space="0" w:color="auto"/>
            <w:right w:val="none" w:sz="0" w:space="0" w:color="auto"/>
          </w:divBdr>
        </w:div>
        <w:div w:id="638993005">
          <w:marLeft w:val="0"/>
          <w:marRight w:val="0"/>
          <w:marTop w:val="0"/>
          <w:marBottom w:val="99"/>
          <w:divBdr>
            <w:top w:val="none" w:sz="0" w:space="0" w:color="auto"/>
            <w:left w:val="none" w:sz="0" w:space="0" w:color="auto"/>
            <w:bottom w:val="none" w:sz="0" w:space="0" w:color="auto"/>
            <w:right w:val="none" w:sz="0" w:space="0" w:color="auto"/>
          </w:divBdr>
        </w:div>
        <w:div w:id="1697584243">
          <w:marLeft w:val="0"/>
          <w:marRight w:val="0"/>
          <w:marTop w:val="0"/>
          <w:marBottom w:val="99"/>
          <w:divBdr>
            <w:top w:val="none" w:sz="0" w:space="0" w:color="auto"/>
            <w:left w:val="none" w:sz="0" w:space="0" w:color="auto"/>
            <w:bottom w:val="none" w:sz="0" w:space="0" w:color="auto"/>
            <w:right w:val="none" w:sz="0" w:space="0" w:color="auto"/>
          </w:divBdr>
        </w:div>
        <w:div w:id="544218873">
          <w:marLeft w:val="0"/>
          <w:marRight w:val="0"/>
          <w:marTop w:val="0"/>
          <w:marBottom w:val="99"/>
          <w:divBdr>
            <w:top w:val="none" w:sz="0" w:space="0" w:color="auto"/>
            <w:left w:val="none" w:sz="0" w:space="0" w:color="auto"/>
            <w:bottom w:val="none" w:sz="0" w:space="0" w:color="auto"/>
            <w:right w:val="none" w:sz="0" w:space="0" w:color="auto"/>
          </w:divBdr>
        </w:div>
        <w:div w:id="1517574214">
          <w:marLeft w:val="0"/>
          <w:marRight w:val="0"/>
          <w:marTop w:val="0"/>
          <w:marBottom w:val="99"/>
          <w:divBdr>
            <w:top w:val="none" w:sz="0" w:space="0" w:color="auto"/>
            <w:left w:val="none" w:sz="0" w:space="0" w:color="auto"/>
            <w:bottom w:val="none" w:sz="0" w:space="0" w:color="auto"/>
            <w:right w:val="none" w:sz="0" w:space="0" w:color="auto"/>
          </w:divBdr>
        </w:div>
        <w:div w:id="508299531">
          <w:marLeft w:val="0"/>
          <w:marRight w:val="0"/>
          <w:marTop w:val="0"/>
          <w:marBottom w:val="99"/>
          <w:divBdr>
            <w:top w:val="none" w:sz="0" w:space="0" w:color="auto"/>
            <w:left w:val="none" w:sz="0" w:space="0" w:color="auto"/>
            <w:bottom w:val="none" w:sz="0" w:space="0" w:color="auto"/>
            <w:right w:val="none" w:sz="0" w:space="0" w:color="auto"/>
          </w:divBdr>
        </w:div>
        <w:div w:id="105006906">
          <w:marLeft w:val="0"/>
          <w:marRight w:val="0"/>
          <w:marTop w:val="0"/>
          <w:marBottom w:val="99"/>
          <w:divBdr>
            <w:top w:val="none" w:sz="0" w:space="0" w:color="auto"/>
            <w:left w:val="none" w:sz="0" w:space="0" w:color="auto"/>
            <w:bottom w:val="none" w:sz="0" w:space="0" w:color="auto"/>
            <w:right w:val="none" w:sz="0" w:space="0" w:color="auto"/>
          </w:divBdr>
        </w:div>
        <w:div w:id="294870357">
          <w:marLeft w:val="0"/>
          <w:marRight w:val="0"/>
          <w:marTop w:val="0"/>
          <w:marBottom w:val="99"/>
          <w:divBdr>
            <w:top w:val="none" w:sz="0" w:space="0" w:color="auto"/>
            <w:left w:val="none" w:sz="0" w:space="0" w:color="auto"/>
            <w:bottom w:val="none" w:sz="0" w:space="0" w:color="auto"/>
            <w:right w:val="none" w:sz="0" w:space="0" w:color="auto"/>
          </w:divBdr>
        </w:div>
        <w:div w:id="730545044">
          <w:marLeft w:val="0"/>
          <w:marRight w:val="0"/>
          <w:marTop w:val="0"/>
          <w:marBottom w:val="99"/>
          <w:divBdr>
            <w:top w:val="none" w:sz="0" w:space="0" w:color="auto"/>
            <w:left w:val="none" w:sz="0" w:space="0" w:color="auto"/>
            <w:bottom w:val="none" w:sz="0" w:space="0" w:color="auto"/>
            <w:right w:val="none" w:sz="0" w:space="0" w:color="auto"/>
          </w:divBdr>
        </w:div>
        <w:div w:id="1053893592">
          <w:marLeft w:val="0"/>
          <w:marRight w:val="0"/>
          <w:marTop w:val="0"/>
          <w:marBottom w:val="99"/>
          <w:divBdr>
            <w:top w:val="none" w:sz="0" w:space="0" w:color="auto"/>
            <w:left w:val="none" w:sz="0" w:space="0" w:color="auto"/>
            <w:bottom w:val="none" w:sz="0" w:space="0" w:color="auto"/>
            <w:right w:val="none" w:sz="0" w:space="0" w:color="auto"/>
          </w:divBdr>
        </w:div>
        <w:div w:id="367220711">
          <w:marLeft w:val="0"/>
          <w:marRight w:val="0"/>
          <w:marTop w:val="0"/>
          <w:marBottom w:val="99"/>
          <w:divBdr>
            <w:top w:val="none" w:sz="0" w:space="0" w:color="auto"/>
            <w:left w:val="none" w:sz="0" w:space="0" w:color="auto"/>
            <w:bottom w:val="none" w:sz="0" w:space="0" w:color="auto"/>
            <w:right w:val="none" w:sz="0" w:space="0" w:color="auto"/>
          </w:divBdr>
        </w:div>
        <w:div w:id="1422751202">
          <w:marLeft w:val="0"/>
          <w:marRight w:val="0"/>
          <w:marTop w:val="0"/>
          <w:marBottom w:val="99"/>
          <w:divBdr>
            <w:top w:val="none" w:sz="0" w:space="0" w:color="auto"/>
            <w:left w:val="none" w:sz="0" w:space="0" w:color="auto"/>
            <w:bottom w:val="none" w:sz="0" w:space="0" w:color="auto"/>
            <w:right w:val="none" w:sz="0" w:space="0" w:color="auto"/>
          </w:divBdr>
        </w:div>
        <w:div w:id="2039624302">
          <w:marLeft w:val="0"/>
          <w:marRight w:val="0"/>
          <w:marTop w:val="0"/>
          <w:marBottom w:val="99"/>
          <w:divBdr>
            <w:top w:val="none" w:sz="0" w:space="0" w:color="auto"/>
            <w:left w:val="none" w:sz="0" w:space="0" w:color="auto"/>
            <w:bottom w:val="none" w:sz="0" w:space="0" w:color="auto"/>
            <w:right w:val="none" w:sz="0" w:space="0" w:color="auto"/>
          </w:divBdr>
        </w:div>
        <w:div w:id="1072699702">
          <w:marLeft w:val="0"/>
          <w:marRight w:val="0"/>
          <w:marTop w:val="0"/>
          <w:marBottom w:val="99"/>
          <w:divBdr>
            <w:top w:val="none" w:sz="0" w:space="0" w:color="auto"/>
            <w:left w:val="none" w:sz="0" w:space="0" w:color="auto"/>
            <w:bottom w:val="none" w:sz="0" w:space="0" w:color="auto"/>
            <w:right w:val="none" w:sz="0" w:space="0" w:color="auto"/>
          </w:divBdr>
        </w:div>
        <w:div w:id="1294479686">
          <w:marLeft w:val="0"/>
          <w:marRight w:val="0"/>
          <w:marTop w:val="0"/>
          <w:marBottom w:val="99"/>
          <w:divBdr>
            <w:top w:val="none" w:sz="0" w:space="0" w:color="auto"/>
            <w:left w:val="none" w:sz="0" w:space="0" w:color="auto"/>
            <w:bottom w:val="none" w:sz="0" w:space="0" w:color="auto"/>
            <w:right w:val="none" w:sz="0" w:space="0" w:color="auto"/>
          </w:divBdr>
        </w:div>
        <w:div w:id="1354113576">
          <w:marLeft w:val="0"/>
          <w:marRight w:val="0"/>
          <w:marTop w:val="0"/>
          <w:marBottom w:val="99"/>
          <w:divBdr>
            <w:top w:val="none" w:sz="0" w:space="0" w:color="auto"/>
            <w:left w:val="none" w:sz="0" w:space="0" w:color="auto"/>
            <w:bottom w:val="none" w:sz="0" w:space="0" w:color="auto"/>
            <w:right w:val="none" w:sz="0" w:space="0" w:color="auto"/>
          </w:divBdr>
        </w:div>
        <w:div w:id="1634020987">
          <w:marLeft w:val="0"/>
          <w:marRight w:val="0"/>
          <w:marTop w:val="0"/>
          <w:marBottom w:val="99"/>
          <w:divBdr>
            <w:top w:val="none" w:sz="0" w:space="0" w:color="auto"/>
            <w:left w:val="none" w:sz="0" w:space="0" w:color="auto"/>
            <w:bottom w:val="none" w:sz="0" w:space="0" w:color="auto"/>
            <w:right w:val="none" w:sz="0" w:space="0" w:color="auto"/>
          </w:divBdr>
        </w:div>
        <w:div w:id="1933588912">
          <w:marLeft w:val="1080"/>
          <w:marRight w:val="0"/>
          <w:marTop w:val="0"/>
          <w:marBottom w:val="99"/>
          <w:divBdr>
            <w:top w:val="none" w:sz="0" w:space="0" w:color="auto"/>
            <w:left w:val="none" w:sz="0" w:space="0" w:color="auto"/>
            <w:bottom w:val="none" w:sz="0" w:space="0" w:color="auto"/>
            <w:right w:val="none" w:sz="0" w:space="0" w:color="auto"/>
          </w:divBdr>
        </w:div>
        <w:div w:id="495994425">
          <w:marLeft w:val="0"/>
          <w:marRight w:val="0"/>
          <w:marTop w:val="0"/>
          <w:marBottom w:val="99"/>
          <w:divBdr>
            <w:top w:val="none" w:sz="0" w:space="0" w:color="auto"/>
            <w:left w:val="none" w:sz="0" w:space="0" w:color="auto"/>
            <w:bottom w:val="none" w:sz="0" w:space="0" w:color="auto"/>
            <w:right w:val="none" w:sz="0" w:space="0" w:color="auto"/>
          </w:divBdr>
        </w:div>
        <w:div w:id="659190061">
          <w:marLeft w:val="0"/>
          <w:marRight w:val="0"/>
          <w:marTop w:val="0"/>
          <w:marBottom w:val="99"/>
          <w:divBdr>
            <w:top w:val="none" w:sz="0" w:space="0" w:color="auto"/>
            <w:left w:val="none" w:sz="0" w:space="0" w:color="auto"/>
            <w:bottom w:val="none" w:sz="0" w:space="0" w:color="auto"/>
            <w:right w:val="none" w:sz="0" w:space="0" w:color="auto"/>
          </w:divBdr>
        </w:div>
        <w:div w:id="2023966953">
          <w:marLeft w:val="0"/>
          <w:marRight w:val="0"/>
          <w:marTop w:val="0"/>
          <w:marBottom w:val="99"/>
          <w:divBdr>
            <w:top w:val="none" w:sz="0" w:space="0" w:color="auto"/>
            <w:left w:val="none" w:sz="0" w:space="0" w:color="auto"/>
            <w:bottom w:val="none" w:sz="0" w:space="0" w:color="auto"/>
            <w:right w:val="none" w:sz="0" w:space="0" w:color="auto"/>
          </w:divBdr>
        </w:div>
        <w:div w:id="517231003">
          <w:marLeft w:val="0"/>
          <w:marRight w:val="0"/>
          <w:marTop w:val="0"/>
          <w:marBottom w:val="99"/>
          <w:divBdr>
            <w:top w:val="none" w:sz="0" w:space="0" w:color="auto"/>
            <w:left w:val="none" w:sz="0" w:space="0" w:color="auto"/>
            <w:bottom w:val="none" w:sz="0" w:space="0" w:color="auto"/>
            <w:right w:val="none" w:sz="0" w:space="0" w:color="auto"/>
          </w:divBdr>
        </w:div>
        <w:div w:id="902913607">
          <w:marLeft w:val="0"/>
          <w:marRight w:val="0"/>
          <w:marTop w:val="0"/>
          <w:marBottom w:val="99"/>
          <w:divBdr>
            <w:top w:val="none" w:sz="0" w:space="0" w:color="auto"/>
            <w:left w:val="none" w:sz="0" w:space="0" w:color="auto"/>
            <w:bottom w:val="none" w:sz="0" w:space="0" w:color="auto"/>
            <w:right w:val="none" w:sz="0" w:space="0" w:color="auto"/>
          </w:divBdr>
        </w:div>
        <w:div w:id="2090881172">
          <w:marLeft w:val="0"/>
          <w:marRight w:val="0"/>
          <w:marTop w:val="0"/>
          <w:marBottom w:val="99"/>
          <w:divBdr>
            <w:top w:val="none" w:sz="0" w:space="0" w:color="auto"/>
            <w:left w:val="none" w:sz="0" w:space="0" w:color="auto"/>
            <w:bottom w:val="none" w:sz="0" w:space="0" w:color="auto"/>
            <w:right w:val="none" w:sz="0" w:space="0" w:color="auto"/>
          </w:divBdr>
        </w:div>
        <w:div w:id="1728605816">
          <w:marLeft w:val="0"/>
          <w:marRight w:val="0"/>
          <w:marTop w:val="0"/>
          <w:marBottom w:val="101"/>
          <w:divBdr>
            <w:top w:val="none" w:sz="0" w:space="0" w:color="auto"/>
            <w:left w:val="none" w:sz="0" w:space="0" w:color="auto"/>
            <w:bottom w:val="none" w:sz="0" w:space="0" w:color="auto"/>
            <w:right w:val="none" w:sz="0" w:space="0" w:color="auto"/>
          </w:divBdr>
        </w:div>
        <w:div w:id="732315174">
          <w:marLeft w:val="0"/>
          <w:marRight w:val="0"/>
          <w:marTop w:val="0"/>
          <w:marBottom w:val="101"/>
          <w:divBdr>
            <w:top w:val="none" w:sz="0" w:space="0" w:color="auto"/>
            <w:left w:val="none" w:sz="0" w:space="0" w:color="auto"/>
            <w:bottom w:val="none" w:sz="0" w:space="0" w:color="auto"/>
            <w:right w:val="none" w:sz="0" w:space="0" w:color="auto"/>
          </w:divBdr>
        </w:div>
        <w:div w:id="1408068930">
          <w:marLeft w:val="0"/>
          <w:marRight w:val="0"/>
          <w:marTop w:val="0"/>
          <w:marBottom w:val="101"/>
          <w:divBdr>
            <w:top w:val="none" w:sz="0" w:space="0" w:color="auto"/>
            <w:left w:val="none" w:sz="0" w:space="0" w:color="auto"/>
            <w:bottom w:val="none" w:sz="0" w:space="0" w:color="auto"/>
            <w:right w:val="none" w:sz="0" w:space="0" w:color="auto"/>
          </w:divBdr>
        </w:div>
        <w:div w:id="599725248">
          <w:marLeft w:val="0"/>
          <w:marRight w:val="0"/>
          <w:marTop w:val="0"/>
          <w:marBottom w:val="101"/>
          <w:divBdr>
            <w:top w:val="none" w:sz="0" w:space="0" w:color="auto"/>
            <w:left w:val="none" w:sz="0" w:space="0" w:color="auto"/>
            <w:bottom w:val="none" w:sz="0" w:space="0" w:color="auto"/>
            <w:right w:val="none" w:sz="0" w:space="0" w:color="auto"/>
          </w:divBdr>
        </w:div>
        <w:div w:id="79327451">
          <w:marLeft w:val="0"/>
          <w:marRight w:val="0"/>
          <w:marTop w:val="0"/>
          <w:marBottom w:val="101"/>
          <w:divBdr>
            <w:top w:val="none" w:sz="0" w:space="0" w:color="auto"/>
            <w:left w:val="none" w:sz="0" w:space="0" w:color="auto"/>
            <w:bottom w:val="none" w:sz="0" w:space="0" w:color="auto"/>
            <w:right w:val="none" w:sz="0" w:space="0" w:color="auto"/>
          </w:divBdr>
        </w:div>
        <w:div w:id="663315689">
          <w:marLeft w:val="0"/>
          <w:marRight w:val="0"/>
          <w:marTop w:val="0"/>
          <w:marBottom w:val="101"/>
          <w:divBdr>
            <w:top w:val="none" w:sz="0" w:space="0" w:color="auto"/>
            <w:left w:val="none" w:sz="0" w:space="0" w:color="auto"/>
            <w:bottom w:val="none" w:sz="0" w:space="0" w:color="auto"/>
            <w:right w:val="none" w:sz="0" w:space="0" w:color="auto"/>
          </w:divBdr>
        </w:div>
        <w:div w:id="1723672705">
          <w:marLeft w:val="0"/>
          <w:marRight w:val="0"/>
          <w:marTop w:val="0"/>
          <w:marBottom w:val="101"/>
          <w:divBdr>
            <w:top w:val="none" w:sz="0" w:space="0" w:color="auto"/>
            <w:left w:val="none" w:sz="0" w:space="0" w:color="auto"/>
            <w:bottom w:val="none" w:sz="0" w:space="0" w:color="auto"/>
            <w:right w:val="none" w:sz="0" w:space="0" w:color="auto"/>
          </w:divBdr>
        </w:div>
        <w:div w:id="1769931422">
          <w:marLeft w:val="0"/>
          <w:marRight w:val="0"/>
          <w:marTop w:val="0"/>
          <w:marBottom w:val="101"/>
          <w:divBdr>
            <w:top w:val="none" w:sz="0" w:space="0" w:color="auto"/>
            <w:left w:val="none" w:sz="0" w:space="0" w:color="auto"/>
            <w:bottom w:val="none" w:sz="0" w:space="0" w:color="auto"/>
            <w:right w:val="none" w:sz="0" w:space="0" w:color="auto"/>
          </w:divBdr>
        </w:div>
        <w:div w:id="1871794182">
          <w:marLeft w:val="0"/>
          <w:marRight w:val="0"/>
          <w:marTop w:val="0"/>
          <w:marBottom w:val="101"/>
          <w:divBdr>
            <w:top w:val="none" w:sz="0" w:space="0" w:color="auto"/>
            <w:left w:val="none" w:sz="0" w:space="0" w:color="auto"/>
            <w:bottom w:val="none" w:sz="0" w:space="0" w:color="auto"/>
            <w:right w:val="none" w:sz="0" w:space="0" w:color="auto"/>
          </w:divBdr>
        </w:div>
        <w:div w:id="244808323">
          <w:marLeft w:val="0"/>
          <w:marRight w:val="0"/>
          <w:marTop w:val="0"/>
          <w:marBottom w:val="101"/>
          <w:divBdr>
            <w:top w:val="none" w:sz="0" w:space="0" w:color="auto"/>
            <w:left w:val="none" w:sz="0" w:space="0" w:color="auto"/>
            <w:bottom w:val="none" w:sz="0" w:space="0" w:color="auto"/>
            <w:right w:val="none" w:sz="0" w:space="0" w:color="auto"/>
          </w:divBdr>
        </w:div>
        <w:div w:id="605232419">
          <w:marLeft w:val="0"/>
          <w:marRight w:val="0"/>
          <w:marTop w:val="0"/>
          <w:marBottom w:val="101"/>
          <w:divBdr>
            <w:top w:val="none" w:sz="0" w:space="0" w:color="auto"/>
            <w:left w:val="none" w:sz="0" w:space="0" w:color="auto"/>
            <w:bottom w:val="none" w:sz="0" w:space="0" w:color="auto"/>
            <w:right w:val="none" w:sz="0" w:space="0" w:color="auto"/>
          </w:divBdr>
        </w:div>
        <w:div w:id="1197162264">
          <w:marLeft w:val="720"/>
          <w:marRight w:val="0"/>
          <w:marTop w:val="0"/>
          <w:marBottom w:val="101"/>
          <w:divBdr>
            <w:top w:val="none" w:sz="0" w:space="0" w:color="auto"/>
            <w:left w:val="none" w:sz="0" w:space="0" w:color="auto"/>
            <w:bottom w:val="none" w:sz="0" w:space="0" w:color="auto"/>
            <w:right w:val="none" w:sz="0" w:space="0" w:color="auto"/>
          </w:divBdr>
        </w:div>
        <w:div w:id="657155947">
          <w:marLeft w:val="1080"/>
          <w:marRight w:val="0"/>
          <w:marTop w:val="0"/>
          <w:marBottom w:val="101"/>
          <w:divBdr>
            <w:top w:val="none" w:sz="0" w:space="0" w:color="auto"/>
            <w:left w:val="none" w:sz="0" w:space="0" w:color="auto"/>
            <w:bottom w:val="none" w:sz="0" w:space="0" w:color="auto"/>
            <w:right w:val="none" w:sz="0" w:space="0" w:color="auto"/>
          </w:divBdr>
        </w:div>
        <w:div w:id="563368351">
          <w:marLeft w:val="0"/>
          <w:marRight w:val="0"/>
          <w:marTop w:val="0"/>
          <w:marBottom w:val="101"/>
          <w:divBdr>
            <w:top w:val="none" w:sz="0" w:space="0" w:color="auto"/>
            <w:left w:val="none" w:sz="0" w:space="0" w:color="auto"/>
            <w:bottom w:val="none" w:sz="0" w:space="0" w:color="auto"/>
            <w:right w:val="none" w:sz="0" w:space="0" w:color="auto"/>
          </w:divBdr>
        </w:div>
        <w:div w:id="1687097903">
          <w:marLeft w:val="0"/>
          <w:marRight w:val="0"/>
          <w:marTop w:val="0"/>
          <w:marBottom w:val="101"/>
          <w:divBdr>
            <w:top w:val="none" w:sz="0" w:space="0" w:color="auto"/>
            <w:left w:val="none" w:sz="0" w:space="0" w:color="auto"/>
            <w:bottom w:val="none" w:sz="0" w:space="0" w:color="auto"/>
            <w:right w:val="none" w:sz="0" w:space="0" w:color="auto"/>
          </w:divBdr>
        </w:div>
        <w:div w:id="785855513">
          <w:marLeft w:val="0"/>
          <w:marRight w:val="0"/>
          <w:marTop w:val="0"/>
          <w:marBottom w:val="101"/>
          <w:divBdr>
            <w:top w:val="none" w:sz="0" w:space="0" w:color="auto"/>
            <w:left w:val="none" w:sz="0" w:space="0" w:color="auto"/>
            <w:bottom w:val="none" w:sz="0" w:space="0" w:color="auto"/>
            <w:right w:val="none" w:sz="0" w:space="0" w:color="auto"/>
          </w:divBdr>
        </w:div>
        <w:div w:id="742071200">
          <w:marLeft w:val="0"/>
          <w:marRight w:val="0"/>
          <w:marTop w:val="0"/>
          <w:marBottom w:val="101"/>
          <w:divBdr>
            <w:top w:val="none" w:sz="0" w:space="0" w:color="auto"/>
            <w:left w:val="none" w:sz="0" w:space="0" w:color="auto"/>
            <w:bottom w:val="none" w:sz="0" w:space="0" w:color="auto"/>
            <w:right w:val="none" w:sz="0" w:space="0" w:color="auto"/>
          </w:divBdr>
        </w:div>
        <w:div w:id="1402945840">
          <w:marLeft w:val="0"/>
          <w:marRight w:val="0"/>
          <w:marTop w:val="0"/>
          <w:marBottom w:val="101"/>
          <w:divBdr>
            <w:top w:val="none" w:sz="0" w:space="0" w:color="auto"/>
            <w:left w:val="none" w:sz="0" w:space="0" w:color="auto"/>
            <w:bottom w:val="none" w:sz="0" w:space="0" w:color="auto"/>
            <w:right w:val="none" w:sz="0" w:space="0" w:color="auto"/>
          </w:divBdr>
        </w:div>
        <w:div w:id="1724405683">
          <w:marLeft w:val="0"/>
          <w:marRight w:val="0"/>
          <w:marTop w:val="0"/>
          <w:marBottom w:val="101"/>
          <w:divBdr>
            <w:top w:val="none" w:sz="0" w:space="0" w:color="auto"/>
            <w:left w:val="none" w:sz="0" w:space="0" w:color="auto"/>
            <w:bottom w:val="none" w:sz="0" w:space="0" w:color="auto"/>
            <w:right w:val="none" w:sz="0" w:space="0" w:color="auto"/>
          </w:divBdr>
        </w:div>
        <w:div w:id="303580338">
          <w:marLeft w:val="1080"/>
          <w:marRight w:val="0"/>
          <w:marTop w:val="0"/>
          <w:marBottom w:val="101"/>
          <w:divBdr>
            <w:top w:val="none" w:sz="0" w:space="0" w:color="auto"/>
            <w:left w:val="none" w:sz="0" w:space="0" w:color="auto"/>
            <w:bottom w:val="none" w:sz="0" w:space="0" w:color="auto"/>
            <w:right w:val="none" w:sz="0" w:space="0" w:color="auto"/>
          </w:divBdr>
        </w:div>
        <w:div w:id="2092921256">
          <w:marLeft w:val="0"/>
          <w:marRight w:val="0"/>
          <w:marTop w:val="0"/>
          <w:marBottom w:val="101"/>
          <w:divBdr>
            <w:top w:val="none" w:sz="0" w:space="0" w:color="auto"/>
            <w:left w:val="none" w:sz="0" w:space="0" w:color="auto"/>
            <w:bottom w:val="none" w:sz="0" w:space="0" w:color="auto"/>
            <w:right w:val="none" w:sz="0" w:space="0" w:color="auto"/>
          </w:divBdr>
        </w:div>
        <w:div w:id="1672367441">
          <w:marLeft w:val="0"/>
          <w:marRight w:val="0"/>
          <w:marTop w:val="0"/>
          <w:marBottom w:val="101"/>
          <w:divBdr>
            <w:top w:val="none" w:sz="0" w:space="0" w:color="auto"/>
            <w:left w:val="none" w:sz="0" w:space="0" w:color="auto"/>
            <w:bottom w:val="none" w:sz="0" w:space="0" w:color="auto"/>
            <w:right w:val="none" w:sz="0" w:space="0" w:color="auto"/>
          </w:divBdr>
        </w:div>
        <w:div w:id="780495835">
          <w:marLeft w:val="0"/>
          <w:marRight w:val="0"/>
          <w:marTop w:val="0"/>
          <w:marBottom w:val="101"/>
          <w:divBdr>
            <w:top w:val="none" w:sz="0" w:space="0" w:color="auto"/>
            <w:left w:val="none" w:sz="0" w:space="0" w:color="auto"/>
            <w:bottom w:val="none" w:sz="0" w:space="0" w:color="auto"/>
            <w:right w:val="none" w:sz="0" w:space="0" w:color="auto"/>
          </w:divBdr>
        </w:div>
        <w:div w:id="1553954579">
          <w:marLeft w:val="0"/>
          <w:marRight w:val="0"/>
          <w:marTop w:val="0"/>
          <w:marBottom w:val="101"/>
          <w:divBdr>
            <w:top w:val="none" w:sz="0" w:space="0" w:color="auto"/>
            <w:left w:val="none" w:sz="0" w:space="0" w:color="auto"/>
            <w:bottom w:val="none" w:sz="0" w:space="0" w:color="auto"/>
            <w:right w:val="none" w:sz="0" w:space="0" w:color="auto"/>
          </w:divBdr>
        </w:div>
        <w:div w:id="1113790363">
          <w:marLeft w:val="0"/>
          <w:marRight w:val="0"/>
          <w:marTop w:val="0"/>
          <w:marBottom w:val="101"/>
          <w:divBdr>
            <w:top w:val="none" w:sz="0" w:space="0" w:color="auto"/>
            <w:left w:val="none" w:sz="0" w:space="0" w:color="auto"/>
            <w:bottom w:val="none" w:sz="0" w:space="0" w:color="auto"/>
            <w:right w:val="none" w:sz="0" w:space="0" w:color="auto"/>
          </w:divBdr>
        </w:div>
        <w:div w:id="428818587">
          <w:marLeft w:val="0"/>
          <w:marRight w:val="0"/>
          <w:marTop w:val="0"/>
          <w:marBottom w:val="101"/>
          <w:divBdr>
            <w:top w:val="none" w:sz="0" w:space="0" w:color="auto"/>
            <w:left w:val="none" w:sz="0" w:space="0" w:color="auto"/>
            <w:bottom w:val="none" w:sz="0" w:space="0" w:color="auto"/>
            <w:right w:val="none" w:sz="0" w:space="0" w:color="auto"/>
          </w:divBdr>
        </w:div>
        <w:div w:id="239679526">
          <w:marLeft w:val="0"/>
          <w:marRight w:val="0"/>
          <w:marTop w:val="0"/>
          <w:marBottom w:val="101"/>
          <w:divBdr>
            <w:top w:val="none" w:sz="0" w:space="0" w:color="auto"/>
            <w:left w:val="none" w:sz="0" w:space="0" w:color="auto"/>
            <w:bottom w:val="none" w:sz="0" w:space="0" w:color="auto"/>
            <w:right w:val="none" w:sz="0" w:space="0" w:color="auto"/>
          </w:divBdr>
        </w:div>
        <w:div w:id="778914380">
          <w:marLeft w:val="0"/>
          <w:marRight w:val="0"/>
          <w:marTop w:val="0"/>
          <w:marBottom w:val="101"/>
          <w:divBdr>
            <w:top w:val="none" w:sz="0" w:space="0" w:color="auto"/>
            <w:left w:val="none" w:sz="0" w:space="0" w:color="auto"/>
            <w:bottom w:val="none" w:sz="0" w:space="0" w:color="auto"/>
            <w:right w:val="none" w:sz="0" w:space="0" w:color="auto"/>
          </w:divBdr>
        </w:div>
        <w:div w:id="1586569984">
          <w:marLeft w:val="0"/>
          <w:marRight w:val="0"/>
          <w:marTop w:val="0"/>
          <w:marBottom w:val="101"/>
          <w:divBdr>
            <w:top w:val="none" w:sz="0" w:space="0" w:color="auto"/>
            <w:left w:val="none" w:sz="0" w:space="0" w:color="auto"/>
            <w:bottom w:val="none" w:sz="0" w:space="0" w:color="auto"/>
            <w:right w:val="none" w:sz="0" w:space="0" w:color="auto"/>
          </w:divBdr>
        </w:div>
        <w:div w:id="961112478">
          <w:marLeft w:val="0"/>
          <w:marRight w:val="0"/>
          <w:marTop w:val="0"/>
          <w:marBottom w:val="101"/>
          <w:divBdr>
            <w:top w:val="none" w:sz="0" w:space="0" w:color="auto"/>
            <w:left w:val="none" w:sz="0" w:space="0" w:color="auto"/>
            <w:bottom w:val="none" w:sz="0" w:space="0" w:color="auto"/>
            <w:right w:val="none" w:sz="0" w:space="0" w:color="auto"/>
          </w:divBdr>
        </w:div>
        <w:div w:id="140124679">
          <w:marLeft w:val="0"/>
          <w:marRight w:val="0"/>
          <w:marTop w:val="0"/>
          <w:marBottom w:val="101"/>
          <w:divBdr>
            <w:top w:val="none" w:sz="0" w:space="0" w:color="auto"/>
            <w:left w:val="none" w:sz="0" w:space="0" w:color="auto"/>
            <w:bottom w:val="none" w:sz="0" w:space="0" w:color="auto"/>
            <w:right w:val="none" w:sz="0" w:space="0" w:color="auto"/>
          </w:divBdr>
        </w:div>
        <w:div w:id="36897587">
          <w:marLeft w:val="0"/>
          <w:marRight w:val="0"/>
          <w:marTop w:val="0"/>
          <w:marBottom w:val="101"/>
          <w:divBdr>
            <w:top w:val="none" w:sz="0" w:space="0" w:color="auto"/>
            <w:left w:val="none" w:sz="0" w:space="0" w:color="auto"/>
            <w:bottom w:val="none" w:sz="0" w:space="0" w:color="auto"/>
            <w:right w:val="none" w:sz="0" w:space="0" w:color="auto"/>
          </w:divBdr>
        </w:div>
        <w:div w:id="986468816">
          <w:marLeft w:val="0"/>
          <w:marRight w:val="0"/>
          <w:marTop w:val="0"/>
          <w:marBottom w:val="101"/>
          <w:divBdr>
            <w:top w:val="none" w:sz="0" w:space="0" w:color="auto"/>
            <w:left w:val="none" w:sz="0" w:space="0" w:color="auto"/>
            <w:bottom w:val="none" w:sz="0" w:space="0" w:color="auto"/>
            <w:right w:val="none" w:sz="0" w:space="0" w:color="auto"/>
          </w:divBdr>
        </w:div>
        <w:div w:id="1198737829">
          <w:marLeft w:val="0"/>
          <w:marRight w:val="0"/>
          <w:marTop w:val="0"/>
          <w:marBottom w:val="101"/>
          <w:divBdr>
            <w:top w:val="none" w:sz="0" w:space="0" w:color="auto"/>
            <w:left w:val="none" w:sz="0" w:space="0" w:color="auto"/>
            <w:bottom w:val="none" w:sz="0" w:space="0" w:color="auto"/>
            <w:right w:val="none" w:sz="0" w:space="0" w:color="auto"/>
          </w:divBdr>
        </w:div>
        <w:div w:id="1649623964">
          <w:marLeft w:val="0"/>
          <w:marRight w:val="0"/>
          <w:marTop w:val="0"/>
          <w:marBottom w:val="101"/>
          <w:divBdr>
            <w:top w:val="none" w:sz="0" w:space="0" w:color="auto"/>
            <w:left w:val="none" w:sz="0" w:space="0" w:color="auto"/>
            <w:bottom w:val="none" w:sz="0" w:space="0" w:color="auto"/>
            <w:right w:val="none" w:sz="0" w:space="0" w:color="auto"/>
          </w:divBdr>
        </w:div>
        <w:div w:id="1675375357">
          <w:marLeft w:val="0"/>
          <w:marRight w:val="0"/>
          <w:marTop w:val="0"/>
          <w:marBottom w:val="101"/>
          <w:divBdr>
            <w:top w:val="none" w:sz="0" w:space="0" w:color="auto"/>
            <w:left w:val="none" w:sz="0" w:space="0" w:color="auto"/>
            <w:bottom w:val="none" w:sz="0" w:space="0" w:color="auto"/>
            <w:right w:val="none" w:sz="0" w:space="0" w:color="auto"/>
          </w:divBdr>
        </w:div>
        <w:div w:id="997658176">
          <w:marLeft w:val="0"/>
          <w:marRight w:val="0"/>
          <w:marTop w:val="0"/>
          <w:marBottom w:val="101"/>
          <w:divBdr>
            <w:top w:val="none" w:sz="0" w:space="0" w:color="auto"/>
            <w:left w:val="none" w:sz="0" w:space="0" w:color="auto"/>
            <w:bottom w:val="none" w:sz="0" w:space="0" w:color="auto"/>
            <w:right w:val="none" w:sz="0" w:space="0" w:color="auto"/>
          </w:divBdr>
        </w:div>
        <w:div w:id="1109163231">
          <w:marLeft w:val="0"/>
          <w:marRight w:val="0"/>
          <w:marTop w:val="0"/>
          <w:marBottom w:val="101"/>
          <w:divBdr>
            <w:top w:val="none" w:sz="0" w:space="0" w:color="auto"/>
            <w:left w:val="none" w:sz="0" w:space="0" w:color="auto"/>
            <w:bottom w:val="none" w:sz="0" w:space="0" w:color="auto"/>
            <w:right w:val="none" w:sz="0" w:space="0" w:color="auto"/>
          </w:divBdr>
        </w:div>
        <w:div w:id="883294317">
          <w:marLeft w:val="0"/>
          <w:marRight w:val="0"/>
          <w:marTop w:val="0"/>
          <w:marBottom w:val="101"/>
          <w:divBdr>
            <w:top w:val="none" w:sz="0" w:space="0" w:color="auto"/>
            <w:left w:val="none" w:sz="0" w:space="0" w:color="auto"/>
            <w:bottom w:val="none" w:sz="0" w:space="0" w:color="auto"/>
            <w:right w:val="none" w:sz="0" w:space="0" w:color="auto"/>
          </w:divBdr>
        </w:div>
        <w:div w:id="1833720396">
          <w:marLeft w:val="0"/>
          <w:marRight w:val="0"/>
          <w:marTop w:val="0"/>
          <w:marBottom w:val="101"/>
          <w:divBdr>
            <w:top w:val="none" w:sz="0" w:space="0" w:color="auto"/>
            <w:left w:val="none" w:sz="0" w:space="0" w:color="auto"/>
            <w:bottom w:val="none" w:sz="0" w:space="0" w:color="auto"/>
            <w:right w:val="none" w:sz="0" w:space="0" w:color="auto"/>
          </w:divBdr>
        </w:div>
        <w:div w:id="1069770206">
          <w:marLeft w:val="0"/>
          <w:marRight w:val="0"/>
          <w:marTop w:val="0"/>
          <w:marBottom w:val="101"/>
          <w:divBdr>
            <w:top w:val="none" w:sz="0" w:space="0" w:color="auto"/>
            <w:left w:val="none" w:sz="0" w:space="0" w:color="auto"/>
            <w:bottom w:val="none" w:sz="0" w:space="0" w:color="auto"/>
            <w:right w:val="none" w:sz="0" w:space="0" w:color="auto"/>
          </w:divBdr>
        </w:div>
        <w:div w:id="313262531">
          <w:marLeft w:val="0"/>
          <w:marRight w:val="0"/>
          <w:marTop w:val="0"/>
          <w:marBottom w:val="101"/>
          <w:divBdr>
            <w:top w:val="none" w:sz="0" w:space="0" w:color="auto"/>
            <w:left w:val="none" w:sz="0" w:space="0" w:color="auto"/>
            <w:bottom w:val="none" w:sz="0" w:space="0" w:color="auto"/>
            <w:right w:val="none" w:sz="0" w:space="0" w:color="auto"/>
          </w:divBdr>
        </w:div>
        <w:div w:id="810682529">
          <w:marLeft w:val="0"/>
          <w:marRight w:val="0"/>
          <w:marTop w:val="0"/>
          <w:marBottom w:val="101"/>
          <w:divBdr>
            <w:top w:val="none" w:sz="0" w:space="0" w:color="auto"/>
            <w:left w:val="none" w:sz="0" w:space="0" w:color="auto"/>
            <w:bottom w:val="none" w:sz="0" w:space="0" w:color="auto"/>
            <w:right w:val="none" w:sz="0" w:space="0" w:color="auto"/>
          </w:divBdr>
        </w:div>
        <w:div w:id="614365823">
          <w:marLeft w:val="0"/>
          <w:marRight w:val="0"/>
          <w:marTop w:val="0"/>
          <w:marBottom w:val="101"/>
          <w:divBdr>
            <w:top w:val="none" w:sz="0" w:space="0" w:color="auto"/>
            <w:left w:val="none" w:sz="0" w:space="0" w:color="auto"/>
            <w:bottom w:val="none" w:sz="0" w:space="0" w:color="auto"/>
            <w:right w:val="none" w:sz="0" w:space="0" w:color="auto"/>
          </w:divBdr>
        </w:div>
        <w:div w:id="2043282494">
          <w:marLeft w:val="0"/>
          <w:marRight w:val="0"/>
          <w:marTop w:val="0"/>
          <w:marBottom w:val="101"/>
          <w:divBdr>
            <w:top w:val="none" w:sz="0" w:space="0" w:color="auto"/>
            <w:left w:val="none" w:sz="0" w:space="0" w:color="auto"/>
            <w:bottom w:val="none" w:sz="0" w:space="0" w:color="auto"/>
            <w:right w:val="none" w:sz="0" w:space="0" w:color="auto"/>
          </w:divBdr>
        </w:div>
        <w:div w:id="1380594714">
          <w:marLeft w:val="0"/>
          <w:marRight w:val="0"/>
          <w:marTop w:val="0"/>
          <w:marBottom w:val="101"/>
          <w:divBdr>
            <w:top w:val="none" w:sz="0" w:space="0" w:color="auto"/>
            <w:left w:val="none" w:sz="0" w:space="0" w:color="auto"/>
            <w:bottom w:val="none" w:sz="0" w:space="0" w:color="auto"/>
            <w:right w:val="none" w:sz="0" w:space="0" w:color="auto"/>
          </w:divBdr>
        </w:div>
        <w:div w:id="972174688">
          <w:marLeft w:val="0"/>
          <w:marRight w:val="0"/>
          <w:marTop w:val="0"/>
          <w:marBottom w:val="200"/>
          <w:divBdr>
            <w:top w:val="none" w:sz="0" w:space="0" w:color="auto"/>
            <w:left w:val="none" w:sz="0" w:space="0" w:color="auto"/>
            <w:bottom w:val="none" w:sz="0" w:space="0" w:color="auto"/>
            <w:right w:val="none" w:sz="0" w:space="0" w:color="auto"/>
          </w:divBdr>
        </w:div>
        <w:div w:id="775364455">
          <w:marLeft w:val="0"/>
          <w:marRight w:val="0"/>
          <w:marTop w:val="0"/>
          <w:marBottom w:val="96"/>
          <w:divBdr>
            <w:top w:val="none" w:sz="0" w:space="0" w:color="auto"/>
            <w:left w:val="none" w:sz="0" w:space="0" w:color="auto"/>
            <w:bottom w:val="none" w:sz="0" w:space="0" w:color="auto"/>
            <w:right w:val="none" w:sz="0" w:space="0" w:color="auto"/>
          </w:divBdr>
        </w:div>
        <w:div w:id="1176925734">
          <w:marLeft w:val="0"/>
          <w:marRight w:val="0"/>
          <w:marTop w:val="0"/>
          <w:marBottom w:val="96"/>
          <w:divBdr>
            <w:top w:val="none" w:sz="0" w:space="0" w:color="auto"/>
            <w:left w:val="none" w:sz="0" w:space="0" w:color="auto"/>
            <w:bottom w:val="none" w:sz="0" w:space="0" w:color="auto"/>
            <w:right w:val="none" w:sz="0" w:space="0" w:color="auto"/>
          </w:divBdr>
        </w:div>
        <w:div w:id="934827277">
          <w:marLeft w:val="0"/>
          <w:marRight w:val="0"/>
          <w:marTop w:val="0"/>
          <w:marBottom w:val="96"/>
          <w:divBdr>
            <w:top w:val="none" w:sz="0" w:space="0" w:color="auto"/>
            <w:left w:val="none" w:sz="0" w:space="0" w:color="auto"/>
            <w:bottom w:val="none" w:sz="0" w:space="0" w:color="auto"/>
            <w:right w:val="none" w:sz="0" w:space="0" w:color="auto"/>
          </w:divBdr>
        </w:div>
        <w:div w:id="64454111">
          <w:marLeft w:val="0"/>
          <w:marRight w:val="0"/>
          <w:marTop w:val="0"/>
          <w:marBottom w:val="96"/>
          <w:divBdr>
            <w:top w:val="none" w:sz="0" w:space="0" w:color="auto"/>
            <w:left w:val="none" w:sz="0" w:space="0" w:color="auto"/>
            <w:bottom w:val="none" w:sz="0" w:space="0" w:color="auto"/>
            <w:right w:val="none" w:sz="0" w:space="0" w:color="auto"/>
          </w:divBdr>
        </w:div>
        <w:div w:id="74983779">
          <w:marLeft w:val="0"/>
          <w:marRight w:val="0"/>
          <w:marTop w:val="0"/>
          <w:marBottom w:val="96"/>
          <w:divBdr>
            <w:top w:val="none" w:sz="0" w:space="0" w:color="auto"/>
            <w:left w:val="none" w:sz="0" w:space="0" w:color="auto"/>
            <w:bottom w:val="none" w:sz="0" w:space="0" w:color="auto"/>
            <w:right w:val="none" w:sz="0" w:space="0" w:color="auto"/>
          </w:divBdr>
        </w:div>
        <w:div w:id="1218123173">
          <w:marLeft w:val="0"/>
          <w:marRight w:val="0"/>
          <w:marTop w:val="0"/>
          <w:marBottom w:val="96"/>
          <w:divBdr>
            <w:top w:val="none" w:sz="0" w:space="0" w:color="auto"/>
            <w:left w:val="none" w:sz="0" w:space="0" w:color="auto"/>
            <w:bottom w:val="none" w:sz="0" w:space="0" w:color="auto"/>
            <w:right w:val="none" w:sz="0" w:space="0" w:color="auto"/>
          </w:divBdr>
        </w:div>
        <w:div w:id="1649482505">
          <w:marLeft w:val="0"/>
          <w:marRight w:val="0"/>
          <w:marTop w:val="0"/>
          <w:marBottom w:val="96"/>
          <w:divBdr>
            <w:top w:val="none" w:sz="0" w:space="0" w:color="auto"/>
            <w:left w:val="none" w:sz="0" w:space="0" w:color="auto"/>
            <w:bottom w:val="none" w:sz="0" w:space="0" w:color="auto"/>
            <w:right w:val="none" w:sz="0" w:space="0" w:color="auto"/>
          </w:divBdr>
        </w:div>
        <w:div w:id="1021129263">
          <w:marLeft w:val="0"/>
          <w:marRight w:val="0"/>
          <w:marTop w:val="0"/>
          <w:marBottom w:val="96"/>
          <w:divBdr>
            <w:top w:val="none" w:sz="0" w:space="0" w:color="auto"/>
            <w:left w:val="none" w:sz="0" w:space="0" w:color="auto"/>
            <w:bottom w:val="none" w:sz="0" w:space="0" w:color="auto"/>
            <w:right w:val="none" w:sz="0" w:space="0" w:color="auto"/>
          </w:divBdr>
        </w:div>
        <w:div w:id="2105567962">
          <w:marLeft w:val="1080"/>
          <w:marRight w:val="0"/>
          <w:marTop w:val="0"/>
          <w:marBottom w:val="96"/>
          <w:divBdr>
            <w:top w:val="none" w:sz="0" w:space="0" w:color="auto"/>
            <w:left w:val="none" w:sz="0" w:space="0" w:color="auto"/>
            <w:bottom w:val="none" w:sz="0" w:space="0" w:color="auto"/>
            <w:right w:val="none" w:sz="0" w:space="0" w:color="auto"/>
          </w:divBdr>
        </w:div>
        <w:div w:id="1399280056">
          <w:marLeft w:val="0"/>
          <w:marRight w:val="0"/>
          <w:marTop w:val="0"/>
          <w:marBottom w:val="96"/>
          <w:divBdr>
            <w:top w:val="none" w:sz="0" w:space="0" w:color="auto"/>
            <w:left w:val="none" w:sz="0" w:space="0" w:color="auto"/>
            <w:bottom w:val="none" w:sz="0" w:space="0" w:color="auto"/>
            <w:right w:val="none" w:sz="0" w:space="0" w:color="auto"/>
          </w:divBdr>
        </w:div>
        <w:div w:id="270747563">
          <w:marLeft w:val="0"/>
          <w:marRight w:val="0"/>
          <w:marTop w:val="0"/>
          <w:marBottom w:val="96"/>
          <w:divBdr>
            <w:top w:val="none" w:sz="0" w:space="0" w:color="auto"/>
            <w:left w:val="none" w:sz="0" w:space="0" w:color="auto"/>
            <w:bottom w:val="none" w:sz="0" w:space="0" w:color="auto"/>
            <w:right w:val="none" w:sz="0" w:space="0" w:color="auto"/>
          </w:divBdr>
        </w:div>
        <w:div w:id="2111703944">
          <w:marLeft w:val="0"/>
          <w:marRight w:val="0"/>
          <w:marTop w:val="0"/>
          <w:marBottom w:val="96"/>
          <w:divBdr>
            <w:top w:val="none" w:sz="0" w:space="0" w:color="auto"/>
            <w:left w:val="none" w:sz="0" w:space="0" w:color="auto"/>
            <w:bottom w:val="none" w:sz="0" w:space="0" w:color="auto"/>
            <w:right w:val="none" w:sz="0" w:space="0" w:color="auto"/>
          </w:divBdr>
        </w:div>
        <w:div w:id="2037153435">
          <w:marLeft w:val="0"/>
          <w:marRight w:val="0"/>
          <w:marTop w:val="0"/>
          <w:marBottom w:val="96"/>
          <w:divBdr>
            <w:top w:val="none" w:sz="0" w:space="0" w:color="auto"/>
            <w:left w:val="none" w:sz="0" w:space="0" w:color="auto"/>
            <w:bottom w:val="none" w:sz="0" w:space="0" w:color="auto"/>
            <w:right w:val="none" w:sz="0" w:space="0" w:color="auto"/>
          </w:divBdr>
        </w:div>
        <w:div w:id="785655916">
          <w:marLeft w:val="0"/>
          <w:marRight w:val="0"/>
          <w:marTop w:val="0"/>
          <w:marBottom w:val="96"/>
          <w:divBdr>
            <w:top w:val="none" w:sz="0" w:space="0" w:color="auto"/>
            <w:left w:val="none" w:sz="0" w:space="0" w:color="auto"/>
            <w:bottom w:val="none" w:sz="0" w:space="0" w:color="auto"/>
            <w:right w:val="none" w:sz="0" w:space="0" w:color="auto"/>
          </w:divBdr>
        </w:div>
        <w:div w:id="1011563838">
          <w:marLeft w:val="0"/>
          <w:marRight w:val="0"/>
          <w:marTop w:val="0"/>
          <w:marBottom w:val="96"/>
          <w:divBdr>
            <w:top w:val="none" w:sz="0" w:space="0" w:color="auto"/>
            <w:left w:val="none" w:sz="0" w:space="0" w:color="auto"/>
            <w:bottom w:val="none" w:sz="0" w:space="0" w:color="auto"/>
            <w:right w:val="none" w:sz="0" w:space="0" w:color="auto"/>
          </w:divBdr>
        </w:div>
        <w:div w:id="224684957">
          <w:marLeft w:val="0"/>
          <w:marRight w:val="0"/>
          <w:marTop w:val="0"/>
          <w:marBottom w:val="96"/>
          <w:divBdr>
            <w:top w:val="none" w:sz="0" w:space="0" w:color="auto"/>
            <w:left w:val="none" w:sz="0" w:space="0" w:color="auto"/>
            <w:bottom w:val="none" w:sz="0" w:space="0" w:color="auto"/>
            <w:right w:val="none" w:sz="0" w:space="0" w:color="auto"/>
          </w:divBdr>
        </w:div>
        <w:div w:id="172111499">
          <w:marLeft w:val="0"/>
          <w:marRight w:val="0"/>
          <w:marTop w:val="0"/>
          <w:marBottom w:val="96"/>
          <w:divBdr>
            <w:top w:val="none" w:sz="0" w:space="0" w:color="auto"/>
            <w:left w:val="none" w:sz="0" w:space="0" w:color="auto"/>
            <w:bottom w:val="none" w:sz="0" w:space="0" w:color="auto"/>
            <w:right w:val="none" w:sz="0" w:space="0" w:color="auto"/>
          </w:divBdr>
        </w:div>
        <w:div w:id="2138798092">
          <w:marLeft w:val="0"/>
          <w:marRight w:val="0"/>
          <w:marTop w:val="0"/>
          <w:marBottom w:val="96"/>
          <w:divBdr>
            <w:top w:val="none" w:sz="0" w:space="0" w:color="auto"/>
            <w:left w:val="none" w:sz="0" w:space="0" w:color="auto"/>
            <w:bottom w:val="none" w:sz="0" w:space="0" w:color="auto"/>
            <w:right w:val="none" w:sz="0" w:space="0" w:color="auto"/>
          </w:divBdr>
        </w:div>
        <w:div w:id="413937186">
          <w:marLeft w:val="0"/>
          <w:marRight w:val="0"/>
          <w:marTop w:val="0"/>
          <w:marBottom w:val="96"/>
          <w:divBdr>
            <w:top w:val="none" w:sz="0" w:space="0" w:color="auto"/>
            <w:left w:val="none" w:sz="0" w:space="0" w:color="auto"/>
            <w:bottom w:val="none" w:sz="0" w:space="0" w:color="auto"/>
            <w:right w:val="none" w:sz="0" w:space="0" w:color="auto"/>
          </w:divBdr>
        </w:div>
        <w:div w:id="1398161271">
          <w:marLeft w:val="0"/>
          <w:marRight w:val="0"/>
          <w:marTop w:val="0"/>
          <w:marBottom w:val="96"/>
          <w:divBdr>
            <w:top w:val="none" w:sz="0" w:space="0" w:color="auto"/>
            <w:left w:val="none" w:sz="0" w:space="0" w:color="auto"/>
            <w:bottom w:val="none" w:sz="0" w:space="0" w:color="auto"/>
            <w:right w:val="none" w:sz="0" w:space="0" w:color="auto"/>
          </w:divBdr>
        </w:div>
        <w:div w:id="1691838108">
          <w:marLeft w:val="0"/>
          <w:marRight w:val="0"/>
          <w:marTop w:val="0"/>
          <w:marBottom w:val="96"/>
          <w:divBdr>
            <w:top w:val="none" w:sz="0" w:space="0" w:color="auto"/>
            <w:left w:val="none" w:sz="0" w:space="0" w:color="auto"/>
            <w:bottom w:val="none" w:sz="0" w:space="0" w:color="auto"/>
            <w:right w:val="none" w:sz="0" w:space="0" w:color="auto"/>
          </w:divBdr>
        </w:div>
        <w:div w:id="185095683">
          <w:marLeft w:val="0"/>
          <w:marRight w:val="0"/>
          <w:marTop w:val="0"/>
          <w:marBottom w:val="96"/>
          <w:divBdr>
            <w:top w:val="none" w:sz="0" w:space="0" w:color="auto"/>
            <w:left w:val="none" w:sz="0" w:space="0" w:color="auto"/>
            <w:bottom w:val="none" w:sz="0" w:space="0" w:color="auto"/>
            <w:right w:val="none" w:sz="0" w:space="0" w:color="auto"/>
          </w:divBdr>
        </w:div>
        <w:div w:id="1516773565">
          <w:marLeft w:val="0"/>
          <w:marRight w:val="0"/>
          <w:marTop w:val="0"/>
          <w:marBottom w:val="96"/>
          <w:divBdr>
            <w:top w:val="none" w:sz="0" w:space="0" w:color="auto"/>
            <w:left w:val="none" w:sz="0" w:space="0" w:color="auto"/>
            <w:bottom w:val="none" w:sz="0" w:space="0" w:color="auto"/>
            <w:right w:val="none" w:sz="0" w:space="0" w:color="auto"/>
          </w:divBdr>
        </w:div>
        <w:div w:id="2131439310">
          <w:marLeft w:val="0"/>
          <w:marRight w:val="0"/>
          <w:marTop w:val="0"/>
          <w:marBottom w:val="96"/>
          <w:divBdr>
            <w:top w:val="none" w:sz="0" w:space="0" w:color="auto"/>
            <w:left w:val="none" w:sz="0" w:space="0" w:color="auto"/>
            <w:bottom w:val="none" w:sz="0" w:space="0" w:color="auto"/>
            <w:right w:val="none" w:sz="0" w:space="0" w:color="auto"/>
          </w:divBdr>
        </w:div>
        <w:div w:id="955795347">
          <w:marLeft w:val="0"/>
          <w:marRight w:val="0"/>
          <w:marTop w:val="0"/>
          <w:marBottom w:val="96"/>
          <w:divBdr>
            <w:top w:val="none" w:sz="0" w:space="0" w:color="auto"/>
            <w:left w:val="none" w:sz="0" w:space="0" w:color="auto"/>
            <w:bottom w:val="none" w:sz="0" w:space="0" w:color="auto"/>
            <w:right w:val="none" w:sz="0" w:space="0" w:color="auto"/>
          </w:divBdr>
        </w:div>
        <w:div w:id="2006665897">
          <w:marLeft w:val="0"/>
          <w:marRight w:val="0"/>
          <w:marTop w:val="0"/>
          <w:marBottom w:val="96"/>
          <w:divBdr>
            <w:top w:val="none" w:sz="0" w:space="0" w:color="auto"/>
            <w:left w:val="none" w:sz="0" w:space="0" w:color="auto"/>
            <w:bottom w:val="none" w:sz="0" w:space="0" w:color="auto"/>
            <w:right w:val="none" w:sz="0" w:space="0" w:color="auto"/>
          </w:divBdr>
        </w:div>
        <w:div w:id="1592857241">
          <w:marLeft w:val="0"/>
          <w:marRight w:val="0"/>
          <w:marTop w:val="0"/>
          <w:marBottom w:val="96"/>
          <w:divBdr>
            <w:top w:val="none" w:sz="0" w:space="0" w:color="auto"/>
            <w:left w:val="none" w:sz="0" w:space="0" w:color="auto"/>
            <w:bottom w:val="none" w:sz="0" w:space="0" w:color="auto"/>
            <w:right w:val="none" w:sz="0" w:space="0" w:color="auto"/>
          </w:divBdr>
        </w:div>
        <w:div w:id="380130013">
          <w:marLeft w:val="0"/>
          <w:marRight w:val="0"/>
          <w:marTop w:val="0"/>
          <w:marBottom w:val="96"/>
          <w:divBdr>
            <w:top w:val="none" w:sz="0" w:space="0" w:color="auto"/>
            <w:left w:val="none" w:sz="0" w:space="0" w:color="auto"/>
            <w:bottom w:val="none" w:sz="0" w:space="0" w:color="auto"/>
            <w:right w:val="none" w:sz="0" w:space="0" w:color="auto"/>
          </w:divBdr>
        </w:div>
        <w:div w:id="64110049">
          <w:marLeft w:val="0"/>
          <w:marRight w:val="0"/>
          <w:marTop w:val="0"/>
          <w:marBottom w:val="96"/>
          <w:divBdr>
            <w:top w:val="none" w:sz="0" w:space="0" w:color="auto"/>
            <w:left w:val="none" w:sz="0" w:space="0" w:color="auto"/>
            <w:bottom w:val="none" w:sz="0" w:space="0" w:color="auto"/>
            <w:right w:val="none" w:sz="0" w:space="0" w:color="auto"/>
          </w:divBdr>
        </w:div>
        <w:div w:id="64694249">
          <w:marLeft w:val="0"/>
          <w:marRight w:val="0"/>
          <w:marTop w:val="0"/>
          <w:marBottom w:val="96"/>
          <w:divBdr>
            <w:top w:val="none" w:sz="0" w:space="0" w:color="auto"/>
            <w:left w:val="none" w:sz="0" w:space="0" w:color="auto"/>
            <w:bottom w:val="none" w:sz="0" w:space="0" w:color="auto"/>
            <w:right w:val="none" w:sz="0" w:space="0" w:color="auto"/>
          </w:divBdr>
        </w:div>
        <w:div w:id="848714619">
          <w:marLeft w:val="0"/>
          <w:marRight w:val="0"/>
          <w:marTop w:val="0"/>
          <w:marBottom w:val="96"/>
          <w:divBdr>
            <w:top w:val="none" w:sz="0" w:space="0" w:color="auto"/>
            <w:left w:val="none" w:sz="0" w:space="0" w:color="auto"/>
            <w:bottom w:val="none" w:sz="0" w:space="0" w:color="auto"/>
            <w:right w:val="none" w:sz="0" w:space="0" w:color="auto"/>
          </w:divBdr>
        </w:div>
        <w:div w:id="398332941">
          <w:marLeft w:val="0"/>
          <w:marRight w:val="0"/>
          <w:marTop w:val="0"/>
          <w:marBottom w:val="96"/>
          <w:divBdr>
            <w:top w:val="none" w:sz="0" w:space="0" w:color="auto"/>
            <w:left w:val="none" w:sz="0" w:space="0" w:color="auto"/>
            <w:bottom w:val="none" w:sz="0" w:space="0" w:color="auto"/>
            <w:right w:val="none" w:sz="0" w:space="0" w:color="auto"/>
          </w:divBdr>
        </w:div>
        <w:div w:id="1437561012">
          <w:marLeft w:val="0"/>
          <w:marRight w:val="0"/>
          <w:marTop w:val="0"/>
          <w:marBottom w:val="96"/>
          <w:divBdr>
            <w:top w:val="none" w:sz="0" w:space="0" w:color="auto"/>
            <w:left w:val="none" w:sz="0" w:space="0" w:color="auto"/>
            <w:bottom w:val="none" w:sz="0" w:space="0" w:color="auto"/>
            <w:right w:val="none" w:sz="0" w:space="0" w:color="auto"/>
          </w:divBdr>
        </w:div>
        <w:div w:id="1620262072">
          <w:marLeft w:val="0"/>
          <w:marRight w:val="0"/>
          <w:marTop w:val="0"/>
          <w:marBottom w:val="96"/>
          <w:divBdr>
            <w:top w:val="none" w:sz="0" w:space="0" w:color="auto"/>
            <w:left w:val="none" w:sz="0" w:space="0" w:color="auto"/>
            <w:bottom w:val="none" w:sz="0" w:space="0" w:color="auto"/>
            <w:right w:val="none" w:sz="0" w:space="0" w:color="auto"/>
          </w:divBdr>
        </w:div>
        <w:div w:id="1802723006">
          <w:marLeft w:val="0"/>
          <w:marRight w:val="0"/>
          <w:marTop w:val="0"/>
          <w:marBottom w:val="96"/>
          <w:divBdr>
            <w:top w:val="none" w:sz="0" w:space="0" w:color="auto"/>
            <w:left w:val="none" w:sz="0" w:space="0" w:color="auto"/>
            <w:bottom w:val="none" w:sz="0" w:space="0" w:color="auto"/>
            <w:right w:val="none" w:sz="0" w:space="0" w:color="auto"/>
          </w:divBdr>
        </w:div>
        <w:div w:id="895630226">
          <w:marLeft w:val="0"/>
          <w:marRight w:val="0"/>
          <w:marTop w:val="0"/>
          <w:marBottom w:val="96"/>
          <w:divBdr>
            <w:top w:val="none" w:sz="0" w:space="0" w:color="auto"/>
            <w:left w:val="none" w:sz="0" w:space="0" w:color="auto"/>
            <w:bottom w:val="none" w:sz="0" w:space="0" w:color="auto"/>
            <w:right w:val="none" w:sz="0" w:space="0" w:color="auto"/>
          </w:divBdr>
        </w:div>
        <w:div w:id="2039431970">
          <w:marLeft w:val="0"/>
          <w:marRight w:val="0"/>
          <w:marTop w:val="0"/>
          <w:marBottom w:val="96"/>
          <w:divBdr>
            <w:top w:val="none" w:sz="0" w:space="0" w:color="auto"/>
            <w:left w:val="none" w:sz="0" w:space="0" w:color="auto"/>
            <w:bottom w:val="none" w:sz="0" w:space="0" w:color="auto"/>
            <w:right w:val="none" w:sz="0" w:space="0" w:color="auto"/>
          </w:divBdr>
        </w:div>
        <w:div w:id="281234343">
          <w:marLeft w:val="0"/>
          <w:marRight w:val="0"/>
          <w:marTop w:val="0"/>
          <w:marBottom w:val="96"/>
          <w:divBdr>
            <w:top w:val="none" w:sz="0" w:space="0" w:color="auto"/>
            <w:left w:val="none" w:sz="0" w:space="0" w:color="auto"/>
            <w:bottom w:val="none" w:sz="0" w:space="0" w:color="auto"/>
            <w:right w:val="none" w:sz="0" w:space="0" w:color="auto"/>
          </w:divBdr>
        </w:div>
        <w:div w:id="1882354882">
          <w:marLeft w:val="0"/>
          <w:marRight w:val="0"/>
          <w:marTop w:val="0"/>
          <w:marBottom w:val="96"/>
          <w:divBdr>
            <w:top w:val="none" w:sz="0" w:space="0" w:color="auto"/>
            <w:left w:val="none" w:sz="0" w:space="0" w:color="auto"/>
            <w:bottom w:val="none" w:sz="0" w:space="0" w:color="auto"/>
            <w:right w:val="none" w:sz="0" w:space="0" w:color="auto"/>
          </w:divBdr>
        </w:div>
        <w:div w:id="1696224628">
          <w:marLeft w:val="0"/>
          <w:marRight w:val="0"/>
          <w:marTop w:val="0"/>
          <w:marBottom w:val="96"/>
          <w:divBdr>
            <w:top w:val="none" w:sz="0" w:space="0" w:color="auto"/>
            <w:left w:val="none" w:sz="0" w:space="0" w:color="auto"/>
            <w:bottom w:val="none" w:sz="0" w:space="0" w:color="auto"/>
            <w:right w:val="none" w:sz="0" w:space="0" w:color="auto"/>
          </w:divBdr>
        </w:div>
        <w:div w:id="1601374853">
          <w:marLeft w:val="0"/>
          <w:marRight w:val="0"/>
          <w:marTop w:val="0"/>
          <w:marBottom w:val="96"/>
          <w:divBdr>
            <w:top w:val="none" w:sz="0" w:space="0" w:color="auto"/>
            <w:left w:val="none" w:sz="0" w:space="0" w:color="auto"/>
            <w:bottom w:val="none" w:sz="0" w:space="0" w:color="auto"/>
            <w:right w:val="none" w:sz="0" w:space="0" w:color="auto"/>
          </w:divBdr>
        </w:div>
        <w:div w:id="2103838806">
          <w:marLeft w:val="1080"/>
          <w:marRight w:val="0"/>
          <w:marTop w:val="0"/>
          <w:marBottom w:val="96"/>
          <w:divBdr>
            <w:top w:val="none" w:sz="0" w:space="0" w:color="auto"/>
            <w:left w:val="none" w:sz="0" w:space="0" w:color="auto"/>
            <w:bottom w:val="none" w:sz="0" w:space="0" w:color="auto"/>
            <w:right w:val="none" w:sz="0" w:space="0" w:color="auto"/>
          </w:divBdr>
        </w:div>
        <w:div w:id="1474175200">
          <w:marLeft w:val="0"/>
          <w:marRight w:val="0"/>
          <w:marTop w:val="0"/>
          <w:marBottom w:val="96"/>
          <w:divBdr>
            <w:top w:val="none" w:sz="0" w:space="0" w:color="auto"/>
            <w:left w:val="none" w:sz="0" w:space="0" w:color="auto"/>
            <w:bottom w:val="none" w:sz="0" w:space="0" w:color="auto"/>
            <w:right w:val="none" w:sz="0" w:space="0" w:color="auto"/>
          </w:divBdr>
        </w:div>
        <w:div w:id="957905469">
          <w:marLeft w:val="0"/>
          <w:marRight w:val="0"/>
          <w:marTop w:val="0"/>
          <w:marBottom w:val="96"/>
          <w:divBdr>
            <w:top w:val="none" w:sz="0" w:space="0" w:color="auto"/>
            <w:left w:val="none" w:sz="0" w:space="0" w:color="auto"/>
            <w:bottom w:val="none" w:sz="0" w:space="0" w:color="auto"/>
            <w:right w:val="none" w:sz="0" w:space="0" w:color="auto"/>
          </w:divBdr>
        </w:div>
        <w:div w:id="306593983">
          <w:marLeft w:val="0"/>
          <w:marRight w:val="0"/>
          <w:marTop w:val="0"/>
          <w:marBottom w:val="96"/>
          <w:divBdr>
            <w:top w:val="none" w:sz="0" w:space="0" w:color="auto"/>
            <w:left w:val="none" w:sz="0" w:space="0" w:color="auto"/>
            <w:bottom w:val="none" w:sz="0" w:space="0" w:color="auto"/>
            <w:right w:val="none" w:sz="0" w:space="0" w:color="auto"/>
          </w:divBdr>
        </w:div>
        <w:div w:id="1913005053">
          <w:marLeft w:val="0"/>
          <w:marRight w:val="0"/>
          <w:marTop w:val="0"/>
          <w:marBottom w:val="96"/>
          <w:divBdr>
            <w:top w:val="none" w:sz="0" w:space="0" w:color="auto"/>
            <w:left w:val="none" w:sz="0" w:space="0" w:color="auto"/>
            <w:bottom w:val="none" w:sz="0" w:space="0" w:color="auto"/>
            <w:right w:val="none" w:sz="0" w:space="0" w:color="auto"/>
          </w:divBdr>
        </w:div>
        <w:div w:id="991911147">
          <w:marLeft w:val="0"/>
          <w:marRight w:val="0"/>
          <w:marTop w:val="0"/>
          <w:marBottom w:val="96"/>
          <w:divBdr>
            <w:top w:val="none" w:sz="0" w:space="0" w:color="auto"/>
            <w:left w:val="none" w:sz="0" w:space="0" w:color="auto"/>
            <w:bottom w:val="none" w:sz="0" w:space="0" w:color="auto"/>
            <w:right w:val="none" w:sz="0" w:space="0" w:color="auto"/>
          </w:divBdr>
        </w:div>
        <w:div w:id="1304657624">
          <w:marLeft w:val="0"/>
          <w:marRight w:val="0"/>
          <w:marTop w:val="0"/>
          <w:marBottom w:val="96"/>
          <w:divBdr>
            <w:top w:val="none" w:sz="0" w:space="0" w:color="auto"/>
            <w:left w:val="none" w:sz="0" w:space="0" w:color="auto"/>
            <w:bottom w:val="none" w:sz="0" w:space="0" w:color="auto"/>
            <w:right w:val="none" w:sz="0" w:space="0" w:color="auto"/>
          </w:divBdr>
        </w:div>
        <w:div w:id="916210888">
          <w:marLeft w:val="0"/>
          <w:marRight w:val="0"/>
          <w:marTop w:val="0"/>
          <w:marBottom w:val="96"/>
          <w:divBdr>
            <w:top w:val="none" w:sz="0" w:space="0" w:color="auto"/>
            <w:left w:val="none" w:sz="0" w:space="0" w:color="auto"/>
            <w:bottom w:val="none" w:sz="0" w:space="0" w:color="auto"/>
            <w:right w:val="none" w:sz="0" w:space="0" w:color="auto"/>
          </w:divBdr>
        </w:div>
        <w:div w:id="1468431069">
          <w:marLeft w:val="0"/>
          <w:marRight w:val="0"/>
          <w:marTop w:val="0"/>
          <w:marBottom w:val="96"/>
          <w:divBdr>
            <w:top w:val="none" w:sz="0" w:space="0" w:color="auto"/>
            <w:left w:val="none" w:sz="0" w:space="0" w:color="auto"/>
            <w:bottom w:val="none" w:sz="0" w:space="0" w:color="auto"/>
            <w:right w:val="none" w:sz="0" w:space="0" w:color="auto"/>
          </w:divBdr>
        </w:div>
        <w:div w:id="962854986">
          <w:marLeft w:val="1080"/>
          <w:marRight w:val="0"/>
          <w:marTop w:val="0"/>
          <w:marBottom w:val="101"/>
          <w:divBdr>
            <w:top w:val="none" w:sz="0" w:space="0" w:color="auto"/>
            <w:left w:val="none" w:sz="0" w:space="0" w:color="auto"/>
            <w:bottom w:val="none" w:sz="0" w:space="0" w:color="auto"/>
            <w:right w:val="none" w:sz="0" w:space="0" w:color="auto"/>
          </w:divBdr>
        </w:div>
        <w:div w:id="477459477">
          <w:marLeft w:val="0"/>
          <w:marRight w:val="0"/>
          <w:marTop w:val="0"/>
          <w:marBottom w:val="101"/>
          <w:divBdr>
            <w:top w:val="none" w:sz="0" w:space="0" w:color="auto"/>
            <w:left w:val="none" w:sz="0" w:space="0" w:color="auto"/>
            <w:bottom w:val="none" w:sz="0" w:space="0" w:color="auto"/>
            <w:right w:val="none" w:sz="0" w:space="0" w:color="auto"/>
          </w:divBdr>
        </w:div>
        <w:div w:id="18971782">
          <w:marLeft w:val="0"/>
          <w:marRight w:val="0"/>
          <w:marTop w:val="0"/>
          <w:marBottom w:val="101"/>
          <w:divBdr>
            <w:top w:val="none" w:sz="0" w:space="0" w:color="auto"/>
            <w:left w:val="none" w:sz="0" w:space="0" w:color="auto"/>
            <w:bottom w:val="none" w:sz="0" w:space="0" w:color="auto"/>
            <w:right w:val="none" w:sz="0" w:space="0" w:color="auto"/>
          </w:divBdr>
        </w:div>
        <w:div w:id="1232232223">
          <w:marLeft w:val="0"/>
          <w:marRight w:val="0"/>
          <w:marTop w:val="0"/>
          <w:marBottom w:val="101"/>
          <w:divBdr>
            <w:top w:val="none" w:sz="0" w:space="0" w:color="auto"/>
            <w:left w:val="none" w:sz="0" w:space="0" w:color="auto"/>
            <w:bottom w:val="none" w:sz="0" w:space="0" w:color="auto"/>
            <w:right w:val="none" w:sz="0" w:space="0" w:color="auto"/>
          </w:divBdr>
        </w:div>
        <w:div w:id="1090196283">
          <w:marLeft w:val="0"/>
          <w:marRight w:val="0"/>
          <w:marTop w:val="0"/>
          <w:marBottom w:val="101"/>
          <w:divBdr>
            <w:top w:val="none" w:sz="0" w:space="0" w:color="auto"/>
            <w:left w:val="none" w:sz="0" w:space="0" w:color="auto"/>
            <w:bottom w:val="none" w:sz="0" w:space="0" w:color="auto"/>
            <w:right w:val="none" w:sz="0" w:space="0" w:color="auto"/>
          </w:divBdr>
        </w:div>
        <w:div w:id="1142502245">
          <w:marLeft w:val="0"/>
          <w:marRight w:val="0"/>
          <w:marTop w:val="0"/>
          <w:marBottom w:val="101"/>
          <w:divBdr>
            <w:top w:val="none" w:sz="0" w:space="0" w:color="auto"/>
            <w:left w:val="none" w:sz="0" w:space="0" w:color="auto"/>
            <w:bottom w:val="none" w:sz="0" w:space="0" w:color="auto"/>
            <w:right w:val="none" w:sz="0" w:space="0" w:color="auto"/>
          </w:divBdr>
        </w:div>
        <w:div w:id="1240670643">
          <w:marLeft w:val="0"/>
          <w:marRight w:val="0"/>
          <w:marTop w:val="0"/>
          <w:marBottom w:val="101"/>
          <w:divBdr>
            <w:top w:val="none" w:sz="0" w:space="0" w:color="auto"/>
            <w:left w:val="none" w:sz="0" w:space="0" w:color="auto"/>
            <w:bottom w:val="none" w:sz="0" w:space="0" w:color="auto"/>
            <w:right w:val="none" w:sz="0" w:space="0" w:color="auto"/>
          </w:divBdr>
        </w:div>
        <w:div w:id="1754354010">
          <w:marLeft w:val="0"/>
          <w:marRight w:val="0"/>
          <w:marTop w:val="0"/>
          <w:marBottom w:val="101"/>
          <w:divBdr>
            <w:top w:val="none" w:sz="0" w:space="0" w:color="auto"/>
            <w:left w:val="none" w:sz="0" w:space="0" w:color="auto"/>
            <w:bottom w:val="none" w:sz="0" w:space="0" w:color="auto"/>
            <w:right w:val="none" w:sz="0" w:space="0" w:color="auto"/>
          </w:divBdr>
        </w:div>
        <w:div w:id="66852827">
          <w:marLeft w:val="0"/>
          <w:marRight w:val="0"/>
          <w:marTop w:val="0"/>
          <w:marBottom w:val="101"/>
          <w:divBdr>
            <w:top w:val="none" w:sz="0" w:space="0" w:color="auto"/>
            <w:left w:val="none" w:sz="0" w:space="0" w:color="auto"/>
            <w:bottom w:val="none" w:sz="0" w:space="0" w:color="auto"/>
            <w:right w:val="none" w:sz="0" w:space="0" w:color="auto"/>
          </w:divBdr>
        </w:div>
        <w:div w:id="728842773">
          <w:marLeft w:val="0"/>
          <w:marRight w:val="0"/>
          <w:marTop w:val="0"/>
          <w:marBottom w:val="101"/>
          <w:divBdr>
            <w:top w:val="none" w:sz="0" w:space="0" w:color="auto"/>
            <w:left w:val="none" w:sz="0" w:space="0" w:color="auto"/>
            <w:bottom w:val="none" w:sz="0" w:space="0" w:color="auto"/>
            <w:right w:val="none" w:sz="0" w:space="0" w:color="auto"/>
          </w:divBdr>
        </w:div>
        <w:div w:id="994844993">
          <w:marLeft w:val="0"/>
          <w:marRight w:val="0"/>
          <w:marTop w:val="0"/>
          <w:marBottom w:val="101"/>
          <w:divBdr>
            <w:top w:val="none" w:sz="0" w:space="0" w:color="auto"/>
            <w:left w:val="none" w:sz="0" w:space="0" w:color="auto"/>
            <w:bottom w:val="none" w:sz="0" w:space="0" w:color="auto"/>
            <w:right w:val="none" w:sz="0" w:space="0" w:color="auto"/>
          </w:divBdr>
        </w:div>
        <w:div w:id="1250120973">
          <w:marLeft w:val="0"/>
          <w:marRight w:val="0"/>
          <w:marTop w:val="0"/>
          <w:marBottom w:val="101"/>
          <w:divBdr>
            <w:top w:val="none" w:sz="0" w:space="0" w:color="auto"/>
            <w:left w:val="none" w:sz="0" w:space="0" w:color="auto"/>
            <w:bottom w:val="none" w:sz="0" w:space="0" w:color="auto"/>
            <w:right w:val="none" w:sz="0" w:space="0" w:color="auto"/>
          </w:divBdr>
        </w:div>
        <w:div w:id="1701709591">
          <w:marLeft w:val="0"/>
          <w:marRight w:val="0"/>
          <w:marTop w:val="0"/>
          <w:marBottom w:val="101"/>
          <w:divBdr>
            <w:top w:val="none" w:sz="0" w:space="0" w:color="auto"/>
            <w:left w:val="none" w:sz="0" w:space="0" w:color="auto"/>
            <w:bottom w:val="none" w:sz="0" w:space="0" w:color="auto"/>
            <w:right w:val="none" w:sz="0" w:space="0" w:color="auto"/>
          </w:divBdr>
        </w:div>
        <w:div w:id="397022997">
          <w:marLeft w:val="0"/>
          <w:marRight w:val="0"/>
          <w:marTop w:val="0"/>
          <w:marBottom w:val="101"/>
          <w:divBdr>
            <w:top w:val="none" w:sz="0" w:space="0" w:color="auto"/>
            <w:left w:val="none" w:sz="0" w:space="0" w:color="auto"/>
            <w:bottom w:val="none" w:sz="0" w:space="0" w:color="auto"/>
            <w:right w:val="none" w:sz="0" w:space="0" w:color="auto"/>
          </w:divBdr>
        </w:div>
        <w:div w:id="567346190">
          <w:marLeft w:val="0"/>
          <w:marRight w:val="0"/>
          <w:marTop w:val="0"/>
          <w:marBottom w:val="101"/>
          <w:divBdr>
            <w:top w:val="none" w:sz="0" w:space="0" w:color="auto"/>
            <w:left w:val="none" w:sz="0" w:space="0" w:color="auto"/>
            <w:bottom w:val="none" w:sz="0" w:space="0" w:color="auto"/>
            <w:right w:val="none" w:sz="0" w:space="0" w:color="auto"/>
          </w:divBdr>
        </w:div>
        <w:div w:id="690035512">
          <w:marLeft w:val="0"/>
          <w:marRight w:val="0"/>
          <w:marTop w:val="0"/>
          <w:marBottom w:val="101"/>
          <w:divBdr>
            <w:top w:val="none" w:sz="0" w:space="0" w:color="auto"/>
            <w:left w:val="none" w:sz="0" w:space="0" w:color="auto"/>
            <w:bottom w:val="none" w:sz="0" w:space="0" w:color="auto"/>
            <w:right w:val="none" w:sz="0" w:space="0" w:color="auto"/>
          </w:divBdr>
        </w:div>
        <w:div w:id="821233745">
          <w:marLeft w:val="0"/>
          <w:marRight w:val="0"/>
          <w:marTop w:val="0"/>
          <w:marBottom w:val="101"/>
          <w:divBdr>
            <w:top w:val="none" w:sz="0" w:space="0" w:color="auto"/>
            <w:left w:val="none" w:sz="0" w:space="0" w:color="auto"/>
            <w:bottom w:val="none" w:sz="0" w:space="0" w:color="auto"/>
            <w:right w:val="none" w:sz="0" w:space="0" w:color="auto"/>
          </w:divBdr>
        </w:div>
        <w:div w:id="604533163">
          <w:marLeft w:val="0"/>
          <w:marRight w:val="0"/>
          <w:marTop w:val="0"/>
          <w:marBottom w:val="101"/>
          <w:divBdr>
            <w:top w:val="none" w:sz="0" w:space="0" w:color="auto"/>
            <w:left w:val="none" w:sz="0" w:space="0" w:color="auto"/>
            <w:bottom w:val="none" w:sz="0" w:space="0" w:color="auto"/>
            <w:right w:val="none" w:sz="0" w:space="0" w:color="auto"/>
          </w:divBdr>
        </w:div>
        <w:div w:id="1696073139">
          <w:marLeft w:val="0"/>
          <w:marRight w:val="0"/>
          <w:marTop w:val="0"/>
          <w:marBottom w:val="101"/>
          <w:divBdr>
            <w:top w:val="none" w:sz="0" w:space="0" w:color="auto"/>
            <w:left w:val="none" w:sz="0" w:space="0" w:color="auto"/>
            <w:bottom w:val="none" w:sz="0" w:space="0" w:color="auto"/>
            <w:right w:val="none" w:sz="0" w:space="0" w:color="auto"/>
          </w:divBdr>
        </w:div>
        <w:div w:id="1050298352">
          <w:marLeft w:val="0"/>
          <w:marRight w:val="0"/>
          <w:marTop w:val="0"/>
          <w:marBottom w:val="101"/>
          <w:divBdr>
            <w:top w:val="none" w:sz="0" w:space="0" w:color="auto"/>
            <w:left w:val="none" w:sz="0" w:space="0" w:color="auto"/>
            <w:bottom w:val="none" w:sz="0" w:space="0" w:color="auto"/>
            <w:right w:val="none" w:sz="0" w:space="0" w:color="auto"/>
          </w:divBdr>
        </w:div>
        <w:div w:id="1536652429">
          <w:marLeft w:val="0"/>
          <w:marRight w:val="0"/>
          <w:marTop w:val="0"/>
          <w:marBottom w:val="101"/>
          <w:divBdr>
            <w:top w:val="none" w:sz="0" w:space="0" w:color="auto"/>
            <w:left w:val="none" w:sz="0" w:space="0" w:color="auto"/>
            <w:bottom w:val="none" w:sz="0" w:space="0" w:color="auto"/>
            <w:right w:val="none" w:sz="0" w:space="0" w:color="auto"/>
          </w:divBdr>
        </w:div>
        <w:div w:id="1926765262">
          <w:marLeft w:val="0"/>
          <w:marRight w:val="0"/>
          <w:marTop w:val="0"/>
          <w:marBottom w:val="101"/>
          <w:divBdr>
            <w:top w:val="none" w:sz="0" w:space="0" w:color="auto"/>
            <w:left w:val="none" w:sz="0" w:space="0" w:color="auto"/>
            <w:bottom w:val="none" w:sz="0" w:space="0" w:color="auto"/>
            <w:right w:val="none" w:sz="0" w:space="0" w:color="auto"/>
          </w:divBdr>
        </w:div>
        <w:div w:id="1725979173">
          <w:marLeft w:val="0"/>
          <w:marRight w:val="0"/>
          <w:marTop w:val="0"/>
          <w:marBottom w:val="101"/>
          <w:divBdr>
            <w:top w:val="none" w:sz="0" w:space="0" w:color="auto"/>
            <w:left w:val="none" w:sz="0" w:space="0" w:color="auto"/>
            <w:bottom w:val="none" w:sz="0" w:space="0" w:color="auto"/>
            <w:right w:val="none" w:sz="0" w:space="0" w:color="auto"/>
          </w:divBdr>
        </w:div>
        <w:div w:id="1573275234">
          <w:marLeft w:val="0"/>
          <w:marRight w:val="0"/>
          <w:marTop w:val="0"/>
          <w:marBottom w:val="101"/>
          <w:divBdr>
            <w:top w:val="none" w:sz="0" w:space="0" w:color="auto"/>
            <w:left w:val="none" w:sz="0" w:space="0" w:color="auto"/>
            <w:bottom w:val="none" w:sz="0" w:space="0" w:color="auto"/>
            <w:right w:val="none" w:sz="0" w:space="0" w:color="auto"/>
          </w:divBdr>
        </w:div>
        <w:div w:id="866525218">
          <w:marLeft w:val="0"/>
          <w:marRight w:val="0"/>
          <w:marTop w:val="0"/>
          <w:marBottom w:val="101"/>
          <w:divBdr>
            <w:top w:val="none" w:sz="0" w:space="0" w:color="auto"/>
            <w:left w:val="none" w:sz="0" w:space="0" w:color="auto"/>
            <w:bottom w:val="none" w:sz="0" w:space="0" w:color="auto"/>
            <w:right w:val="none" w:sz="0" w:space="0" w:color="auto"/>
          </w:divBdr>
        </w:div>
        <w:div w:id="931476364">
          <w:marLeft w:val="0"/>
          <w:marRight w:val="0"/>
          <w:marTop w:val="0"/>
          <w:marBottom w:val="101"/>
          <w:divBdr>
            <w:top w:val="none" w:sz="0" w:space="0" w:color="auto"/>
            <w:left w:val="none" w:sz="0" w:space="0" w:color="auto"/>
            <w:bottom w:val="none" w:sz="0" w:space="0" w:color="auto"/>
            <w:right w:val="none" w:sz="0" w:space="0" w:color="auto"/>
          </w:divBdr>
        </w:div>
        <w:div w:id="739059194">
          <w:marLeft w:val="0"/>
          <w:marRight w:val="0"/>
          <w:marTop w:val="0"/>
          <w:marBottom w:val="101"/>
          <w:divBdr>
            <w:top w:val="none" w:sz="0" w:space="0" w:color="auto"/>
            <w:left w:val="none" w:sz="0" w:space="0" w:color="auto"/>
            <w:bottom w:val="none" w:sz="0" w:space="0" w:color="auto"/>
            <w:right w:val="none" w:sz="0" w:space="0" w:color="auto"/>
          </w:divBdr>
        </w:div>
        <w:div w:id="2122334063">
          <w:marLeft w:val="0"/>
          <w:marRight w:val="0"/>
          <w:marTop w:val="0"/>
          <w:marBottom w:val="101"/>
          <w:divBdr>
            <w:top w:val="none" w:sz="0" w:space="0" w:color="auto"/>
            <w:left w:val="none" w:sz="0" w:space="0" w:color="auto"/>
            <w:bottom w:val="none" w:sz="0" w:space="0" w:color="auto"/>
            <w:right w:val="none" w:sz="0" w:space="0" w:color="auto"/>
          </w:divBdr>
        </w:div>
        <w:div w:id="605774817">
          <w:marLeft w:val="0"/>
          <w:marRight w:val="0"/>
          <w:marTop w:val="0"/>
          <w:marBottom w:val="101"/>
          <w:divBdr>
            <w:top w:val="none" w:sz="0" w:space="0" w:color="auto"/>
            <w:left w:val="none" w:sz="0" w:space="0" w:color="auto"/>
            <w:bottom w:val="none" w:sz="0" w:space="0" w:color="auto"/>
            <w:right w:val="none" w:sz="0" w:space="0" w:color="auto"/>
          </w:divBdr>
        </w:div>
        <w:div w:id="986863990">
          <w:marLeft w:val="720"/>
          <w:marRight w:val="0"/>
          <w:marTop w:val="0"/>
          <w:marBottom w:val="101"/>
          <w:divBdr>
            <w:top w:val="none" w:sz="0" w:space="0" w:color="auto"/>
            <w:left w:val="none" w:sz="0" w:space="0" w:color="auto"/>
            <w:bottom w:val="none" w:sz="0" w:space="0" w:color="auto"/>
            <w:right w:val="none" w:sz="0" w:space="0" w:color="auto"/>
          </w:divBdr>
        </w:div>
        <w:div w:id="423067112">
          <w:marLeft w:val="0"/>
          <w:marRight w:val="0"/>
          <w:marTop w:val="0"/>
          <w:marBottom w:val="101"/>
          <w:divBdr>
            <w:top w:val="none" w:sz="0" w:space="0" w:color="auto"/>
            <w:left w:val="none" w:sz="0" w:space="0" w:color="auto"/>
            <w:bottom w:val="none" w:sz="0" w:space="0" w:color="auto"/>
            <w:right w:val="none" w:sz="0" w:space="0" w:color="auto"/>
          </w:divBdr>
        </w:div>
        <w:div w:id="1842045504">
          <w:marLeft w:val="0"/>
          <w:marRight w:val="0"/>
          <w:marTop w:val="0"/>
          <w:marBottom w:val="101"/>
          <w:divBdr>
            <w:top w:val="none" w:sz="0" w:space="0" w:color="auto"/>
            <w:left w:val="none" w:sz="0" w:space="0" w:color="auto"/>
            <w:bottom w:val="none" w:sz="0" w:space="0" w:color="auto"/>
            <w:right w:val="none" w:sz="0" w:space="0" w:color="auto"/>
          </w:divBdr>
        </w:div>
        <w:div w:id="1410663228">
          <w:marLeft w:val="0"/>
          <w:marRight w:val="0"/>
          <w:marTop w:val="0"/>
          <w:marBottom w:val="101"/>
          <w:divBdr>
            <w:top w:val="none" w:sz="0" w:space="0" w:color="auto"/>
            <w:left w:val="none" w:sz="0" w:space="0" w:color="auto"/>
            <w:bottom w:val="none" w:sz="0" w:space="0" w:color="auto"/>
            <w:right w:val="none" w:sz="0" w:space="0" w:color="auto"/>
          </w:divBdr>
        </w:div>
        <w:div w:id="233778068">
          <w:marLeft w:val="0"/>
          <w:marRight w:val="0"/>
          <w:marTop w:val="0"/>
          <w:marBottom w:val="101"/>
          <w:divBdr>
            <w:top w:val="none" w:sz="0" w:space="0" w:color="auto"/>
            <w:left w:val="none" w:sz="0" w:space="0" w:color="auto"/>
            <w:bottom w:val="none" w:sz="0" w:space="0" w:color="auto"/>
            <w:right w:val="none" w:sz="0" w:space="0" w:color="auto"/>
          </w:divBdr>
        </w:div>
        <w:div w:id="1518157053">
          <w:marLeft w:val="0"/>
          <w:marRight w:val="0"/>
          <w:marTop w:val="0"/>
          <w:marBottom w:val="101"/>
          <w:divBdr>
            <w:top w:val="none" w:sz="0" w:space="0" w:color="auto"/>
            <w:left w:val="none" w:sz="0" w:space="0" w:color="auto"/>
            <w:bottom w:val="none" w:sz="0" w:space="0" w:color="auto"/>
            <w:right w:val="none" w:sz="0" w:space="0" w:color="auto"/>
          </w:divBdr>
        </w:div>
        <w:div w:id="1339383308">
          <w:marLeft w:val="0"/>
          <w:marRight w:val="0"/>
          <w:marTop w:val="0"/>
          <w:marBottom w:val="101"/>
          <w:divBdr>
            <w:top w:val="none" w:sz="0" w:space="0" w:color="auto"/>
            <w:left w:val="none" w:sz="0" w:space="0" w:color="auto"/>
            <w:bottom w:val="none" w:sz="0" w:space="0" w:color="auto"/>
            <w:right w:val="none" w:sz="0" w:space="0" w:color="auto"/>
          </w:divBdr>
        </w:div>
        <w:div w:id="323508825">
          <w:marLeft w:val="0"/>
          <w:marRight w:val="0"/>
          <w:marTop w:val="0"/>
          <w:marBottom w:val="101"/>
          <w:divBdr>
            <w:top w:val="none" w:sz="0" w:space="0" w:color="auto"/>
            <w:left w:val="none" w:sz="0" w:space="0" w:color="auto"/>
            <w:bottom w:val="none" w:sz="0" w:space="0" w:color="auto"/>
            <w:right w:val="none" w:sz="0" w:space="0" w:color="auto"/>
          </w:divBdr>
        </w:div>
        <w:div w:id="549000703">
          <w:marLeft w:val="0"/>
          <w:marRight w:val="0"/>
          <w:marTop w:val="0"/>
          <w:marBottom w:val="101"/>
          <w:divBdr>
            <w:top w:val="none" w:sz="0" w:space="0" w:color="auto"/>
            <w:left w:val="none" w:sz="0" w:space="0" w:color="auto"/>
            <w:bottom w:val="none" w:sz="0" w:space="0" w:color="auto"/>
            <w:right w:val="none" w:sz="0" w:space="0" w:color="auto"/>
          </w:divBdr>
        </w:div>
        <w:div w:id="1520465930">
          <w:marLeft w:val="0"/>
          <w:marRight w:val="0"/>
          <w:marTop w:val="0"/>
          <w:marBottom w:val="101"/>
          <w:divBdr>
            <w:top w:val="none" w:sz="0" w:space="0" w:color="auto"/>
            <w:left w:val="none" w:sz="0" w:space="0" w:color="auto"/>
            <w:bottom w:val="none" w:sz="0" w:space="0" w:color="auto"/>
            <w:right w:val="none" w:sz="0" w:space="0" w:color="auto"/>
          </w:divBdr>
        </w:div>
        <w:div w:id="960108511">
          <w:marLeft w:val="0"/>
          <w:marRight w:val="0"/>
          <w:marTop w:val="0"/>
          <w:marBottom w:val="101"/>
          <w:divBdr>
            <w:top w:val="none" w:sz="0" w:space="0" w:color="auto"/>
            <w:left w:val="none" w:sz="0" w:space="0" w:color="auto"/>
            <w:bottom w:val="none" w:sz="0" w:space="0" w:color="auto"/>
            <w:right w:val="none" w:sz="0" w:space="0" w:color="auto"/>
          </w:divBdr>
        </w:div>
        <w:div w:id="1091700358">
          <w:marLeft w:val="0"/>
          <w:marRight w:val="0"/>
          <w:marTop w:val="0"/>
          <w:marBottom w:val="101"/>
          <w:divBdr>
            <w:top w:val="none" w:sz="0" w:space="0" w:color="auto"/>
            <w:left w:val="none" w:sz="0" w:space="0" w:color="auto"/>
            <w:bottom w:val="none" w:sz="0" w:space="0" w:color="auto"/>
            <w:right w:val="none" w:sz="0" w:space="0" w:color="auto"/>
          </w:divBdr>
        </w:div>
        <w:div w:id="1408914451">
          <w:marLeft w:val="0"/>
          <w:marRight w:val="0"/>
          <w:marTop w:val="0"/>
          <w:marBottom w:val="101"/>
          <w:divBdr>
            <w:top w:val="none" w:sz="0" w:space="0" w:color="auto"/>
            <w:left w:val="none" w:sz="0" w:space="0" w:color="auto"/>
            <w:bottom w:val="none" w:sz="0" w:space="0" w:color="auto"/>
            <w:right w:val="none" w:sz="0" w:space="0" w:color="auto"/>
          </w:divBdr>
        </w:div>
        <w:div w:id="1049957930">
          <w:marLeft w:val="0"/>
          <w:marRight w:val="0"/>
          <w:marTop w:val="0"/>
          <w:marBottom w:val="200"/>
          <w:divBdr>
            <w:top w:val="none" w:sz="0" w:space="0" w:color="auto"/>
            <w:left w:val="none" w:sz="0" w:space="0" w:color="auto"/>
            <w:bottom w:val="none" w:sz="0" w:space="0" w:color="auto"/>
            <w:right w:val="none" w:sz="0" w:space="0" w:color="auto"/>
          </w:divBdr>
        </w:div>
        <w:div w:id="1437826485">
          <w:marLeft w:val="0"/>
          <w:marRight w:val="0"/>
          <w:marTop w:val="0"/>
          <w:marBottom w:val="101"/>
          <w:divBdr>
            <w:top w:val="none" w:sz="0" w:space="0" w:color="auto"/>
            <w:left w:val="none" w:sz="0" w:space="0" w:color="auto"/>
            <w:bottom w:val="none" w:sz="0" w:space="0" w:color="auto"/>
            <w:right w:val="none" w:sz="0" w:space="0" w:color="auto"/>
          </w:divBdr>
        </w:div>
        <w:div w:id="994802452">
          <w:marLeft w:val="0"/>
          <w:marRight w:val="0"/>
          <w:marTop w:val="0"/>
          <w:marBottom w:val="101"/>
          <w:divBdr>
            <w:top w:val="none" w:sz="0" w:space="0" w:color="auto"/>
            <w:left w:val="none" w:sz="0" w:space="0" w:color="auto"/>
            <w:bottom w:val="none" w:sz="0" w:space="0" w:color="auto"/>
            <w:right w:val="none" w:sz="0" w:space="0" w:color="auto"/>
          </w:divBdr>
        </w:div>
        <w:div w:id="1551071938">
          <w:marLeft w:val="0"/>
          <w:marRight w:val="0"/>
          <w:marTop w:val="0"/>
          <w:marBottom w:val="101"/>
          <w:divBdr>
            <w:top w:val="none" w:sz="0" w:space="0" w:color="auto"/>
            <w:left w:val="none" w:sz="0" w:space="0" w:color="auto"/>
            <w:bottom w:val="none" w:sz="0" w:space="0" w:color="auto"/>
            <w:right w:val="none" w:sz="0" w:space="0" w:color="auto"/>
          </w:divBdr>
        </w:div>
        <w:div w:id="183248452">
          <w:marLeft w:val="0"/>
          <w:marRight w:val="0"/>
          <w:marTop w:val="0"/>
          <w:marBottom w:val="101"/>
          <w:divBdr>
            <w:top w:val="none" w:sz="0" w:space="0" w:color="auto"/>
            <w:left w:val="none" w:sz="0" w:space="0" w:color="auto"/>
            <w:bottom w:val="none" w:sz="0" w:space="0" w:color="auto"/>
            <w:right w:val="none" w:sz="0" w:space="0" w:color="auto"/>
          </w:divBdr>
        </w:div>
        <w:div w:id="427965320">
          <w:marLeft w:val="0"/>
          <w:marRight w:val="0"/>
          <w:marTop w:val="0"/>
          <w:marBottom w:val="101"/>
          <w:divBdr>
            <w:top w:val="none" w:sz="0" w:space="0" w:color="auto"/>
            <w:left w:val="none" w:sz="0" w:space="0" w:color="auto"/>
            <w:bottom w:val="none" w:sz="0" w:space="0" w:color="auto"/>
            <w:right w:val="none" w:sz="0" w:space="0" w:color="auto"/>
          </w:divBdr>
        </w:div>
        <w:div w:id="1638222117">
          <w:marLeft w:val="0"/>
          <w:marRight w:val="0"/>
          <w:marTop w:val="0"/>
          <w:marBottom w:val="101"/>
          <w:divBdr>
            <w:top w:val="none" w:sz="0" w:space="0" w:color="auto"/>
            <w:left w:val="none" w:sz="0" w:space="0" w:color="auto"/>
            <w:bottom w:val="none" w:sz="0" w:space="0" w:color="auto"/>
            <w:right w:val="none" w:sz="0" w:space="0" w:color="auto"/>
          </w:divBdr>
        </w:div>
        <w:div w:id="540943340">
          <w:marLeft w:val="0"/>
          <w:marRight w:val="0"/>
          <w:marTop w:val="0"/>
          <w:marBottom w:val="101"/>
          <w:divBdr>
            <w:top w:val="none" w:sz="0" w:space="0" w:color="auto"/>
            <w:left w:val="none" w:sz="0" w:space="0" w:color="auto"/>
            <w:bottom w:val="none" w:sz="0" w:space="0" w:color="auto"/>
            <w:right w:val="none" w:sz="0" w:space="0" w:color="auto"/>
          </w:divBdr>
        </w:div>
        <w:div w:id="633752908">
          <w:marLeft w:val="0"/>
          <w:marRight w:val="0"/>
          <w:marTop w:val="0"/>
          <w:marBottom w:val="101"/>
          <w:divBdr>
            <w:top w:val="none" w:sz="0" w:space="0" w:color="auto"/>
            <w:left w:val="none" w:sz="0" w:space="0" w:color="auto"/>
            <w:bottom w:val="none" w:sz="0" w:space="0" w:color="auto"/>
            <w:right w:val="none" w:sz="0" w:space="0" w:color="auto"/>
          </w:divBdr>
        </w:div>
        <w:div w:id="1849715857">
          <w:marLeft w:val="0"/>
          <w:marRight w:val="0"/>
          <w:marTop w:val="0"/>
          <w:marBottom w:val="101"/>
          <w:divBdr>
            <w:top w:val="none" w:sz="0" w:space="0" w:color="auto"/>
            <w:left w:val="none" w:sz="0" w:space="0" w:color="auto"/>
            <w:bottom w:val="none" w:sz="0" w:space="0" w:color="auto"/>
            <w:right w:val="none" w:sz="0" w:space="0" w:color="auto"/>
          </w:divBdr>
        </w:div>
        <w:div w:id="676611859">
          <w:marLeft w:val="0"/>
          <w:marRight w:val="0"/>
          <w:marTop w:val="0"/>
          <w:marBottom w:val="101"/>
          <w:divBdr>
            <w:top w:val="none" w:sz="0" w:space="0" w:color="auto"/>
            <w:left w:val="none" w:sz="0" w:space="0" w:color="auto"/>
            <w:bottom w:val="none" w:sz="0" w:space="0" w:color="auto"/>
            <w:right w:val="none" w:sz="0" w:space="0" w:color="auto"/>
          </w:divBdr>
        </w:div>
        <w:div w:id="1150442236">
          <w:marLeft w:val="0"/>
          <w:marRight w:val="0"/>
          <w:marTop w:val="0"/>
          <w:marBottom w:val="101"/>
          <w:divBdr>
            <w:top w:val="none" w:sz="0" w:space="0" w:color="auto"/>
            <w:left w:val="none" w:sz="0" w:space="0" w:color="auto"/>
            <w:bottom w:val="none" w:sz="0" w:space="0" w:color="auto"/>
            <w:right w:val="none" w:sz="0" w:space="0" w:color="auto"/>
          </w:divBdr>
        </w:div>
        <w:div w:id="649596329">
          <w:marLeft w:val="0"/>
          <w:marRight w:val="0"/>
          <w:marTop w:val="0"/>
          <w:marBottom w:val="101"/>
          <w:divBdr>
            <w:top w:val="none" w:sz="0" w:space="0" w:color="auto"/>
            <w:left w:val="none" w:sz="0" w:space="0" w:color="auto"/>
            <w:bottom w:val="none" w:sz="0" w:space="0" w:color="auto"/>
            <w:right w:val="none" w:sz="0" w:space="0" w:color="auto"/>
          </w:divBdr>
        </w:div>
        <w:div w:id="100036969">
          <w:marLeft w:val="0"/>
          <w:marRight w:val="0"/>
          <w:marTop w:val="0"/>
          <w:marBottom w:val="101"/>
          <w:divBdr>
            <w:top w:val="none" w:sz="0" w:space="0" w:color="auto"/>
            <w:left w:val="none" w:sz="0" w:space="0" w:color="auto"/>
            <w:bottom w:val="none" w:sz="0" w:space="0" w:color="auto"/>
            <w:right w:val="none" w:sz="0" w:space="0" w:color="auto"/>
          </w:divBdr>
        </w:div>
        <w:div w:id="1951474092">
          <w:marLeft w:val="0"/>
          <w:marRight w:val="0"/>
          <w:marTop w:val="0"/>
          <w:marBottom w:val="101"/>
          <w:divBdr>
            <w:top w:val="none" w:sz="0" w:space="0" w:color="auto"/>
            <w:left w:val="none" w:sz="0" w:space="0" w:color="auto"/>
            <w:bottom w:val="none" w:sz="0" w:space="0" w:color="auto"/>
            <w:right w:val="none" w:sz="0" w:space="0" w:color="auto"/>
          </w:divBdr>
        </w:div>
        <w:div w:id="1401053693">
          <w:marLeft w:val="0"/>
          <w:marRight w:val="0"/>
          <w:marTop w:val="0"/>
          <w:marBottom w:val="101"/>
          <w:divBdr>
            <w:top w:val="none" w:sz="0" w:space="0" w:color="auto"/>
            <w:left w:val="none" w:sz="0" w:space="0" w:color="auto"/>
            <w:bottom w:val="none" w:sz="0" w:space="0" w:color="auto"/>
            <w:right w:val="none" w:sz="0" w:space="0" w:color="auto"/>
          </w:divBdr>
        </w:div>
        <w:div w:id="1071851029">
          <w:marLeft w:val="0"/>
          <w:marRight w:val="0"/>
          <w:marTop w:val="0"/>
          <w:marBottom w:val="101"/>
          <w:divBdr>
            <w:top w:val="none" w:sz="0" w:space="0" w:color="auto"/>
            <w:left w:val="none" w:sz="0" w:space="0" w:color="auto"/>
            <w:bottom w:val="none" w:sz="0" w:space="0" w:color="auto"/>
            <w:right w:val="none" w:sz="0" w:space="0" w:color="auto"/>
          </w:divBdr>
        </w:div>
        <w:div w:id="95833388">
          <w:marLeft w:val="0"/>
          <w:marRight w:val="0"/>
          <w:marTop w:val="0"/>
          <w:marBottom w:val="101"/>
          <w:divBdr>
            <w:top w:val="none" w:sz="0" w:space="0" w:color="auto"/>
            <w:left w:val="none" w:sz="0" w:space="0" w:color="auto"/>
            <w:bottom w:val="none" w:sz="0" w:space="0" w:color="auto"/>
            <w:right w:val="none" w:sz="0" w:space="0" w:color="auto"/>
          </w:divBdr>
        </w:div>
        <w:div w:id="920989297">
          <w:marLeft w:val="0"/>
          <w:marRight w:val="0"/>
          <w:marTop w:val="0"/>
          <w:marBottom w:val="101"/>
          <w:divBdr>
            <w:top w:val="none" w:sz="0" w:space="0" w:color="auto"/>
            <w:left w:val="none" w:sz="0" w:space="0" w:color="auto"/>
            <w:bottom w:val="none" w:sz="0" w:space="0" w:color="auto"/>
            <w:right w:val="none" w:sz="0" w:space="0" w:color="auto"/>
          </w:divBdr>
        </w:div>
        <w:div w:id="732585558">
          <w:marLeft w:val="0"/>
          <w:marRight w:val="0"/>
          <w:marTop w:val="0"/>
          <w:marBottom w:val="101"/>
          <w:divBdr>
            <w:top w:val="none" w:sz="0" w:space="0" w:color="auto"/>
            <w:left w:val="none" w:sz="0" w:space="0" w:color="auto"/>
            <w:bottom w:val="none" w:sz="0" w:space="0" w:color="auto"/>
            <w:right w:val="none" w:sz="0" w:space="0" w:color="auto"/>
          </w:divBdr>
        </w:div>
        <w:div w:id="999501658">
          <w:marLeft w:val="0"/>
          <w:marRight w:val="0"/>
          <w:marTop w:val="0"/>
          <w:marBottom w:val="101"/>
          <w:divBdr>
            <w:top w:val="none" w:sz="0" w:space="0" w:color="auto"/>
            <w:left w:val="none" w:sz="0" w:space="0" w:color="auto"/>
            <w:bottom w:val="none" w:sz="0" w:space="0" w:color="auto"/>
            <w:right w:val="none" w:sz="0" w:space="0" w:color="auto"/>
          </w:divBdr>
        </w:div>
        <w:div w:id="450513133">
          <w:marLeft w:val="0"/>
          <w:marRight w:val="0"/>
          <w:marTop w:val="0"/>
          <w:marBottom w:val="101"/>
          <w:divBdr>
            <w:top w:val="none" w:sz="0" w:space="0" w:color="auto"/>
            <w:left w:val="none" w:sz="0" w:space="0" w:color="auto"/>
            <w:bottom w:val="none" w:sz="0" w:space="0" w:color="auto"/>
            <w:right w:val="none" w:sz="0" w:space="0" w:color="auto"/>
          </w:divBdr>
        </w:div>
        <w:div w:id="1153334197">
          <w:marLeft w:val="0"/>
          <w:marRight w:val="0"/>
          <w:marTop w:val="0"/>
          <w:marBottom w:val="101"/>
          <w:divBdr>
            <w:top w:val="none" w:sz="0" w:space="0" w:color="auto"/>
            <w:left w:val="none" w:sz="0" w:space="0" w:color="auto"/>
            <w:bottom w:val="none" w:sz="0" w:space="0" w:color="auto"/>
            <w:right w:val="none" w:sz="0" w:space="0" w:color="auto"/>
          </w:divBdr>
        </w:div>
        <w:div w:id="1937861253">
          <w:marLeft w:val="0"/>
          <w:marRight w:val="0"/>
          <w:marTop w:val="0"/>
          <w:marBottom w:val="101"/>
          <w:divBdr>
            <w:top w:val="none" w:sz="0" w:space="0" w:color="auto"/>
            <w:left w:val="none" w:sz="0" w:space="0" w:color="auto"/>
            <w:bottom w:val="none" w:sz="0" w:space="0" w:color="auto"/>
            <w:right w:val="none" w:sz="0" w:space="0" w:color="auto"/>
          </w:divBdr>
        </w:div>
        <w:div w:id="284040876">
          <w:marLeft w:val="0"/>
          <w:marRight w:val="0"/>
          <w:marTop w:val="0"/>
          <w:marBottom w:val="101"/>
          <w:divBdr>
            <w:top w:val="none" w:sz="0" w:space="0" w:color="auto"/>
            <w:left w:val="none" w:sz="0" w:space="0" w:color="auto"/>
            <w:bottom w:val="none" w:sz="0" w:space="0" w:color="auto"/>
            <w:right w:val="none" w:sz="0" w:space="0" w:color="auto"/>
          </w:divBdr>
        </w:div>
        <w:div w:id="1125083719">
          <w:marLeft w:val="0"/>
          <w:marRight w:val="0"/>
          <w:marTop w:val="0"/>
          <w:marBottom w:val="101"/>
          <w:divBdr>
            <w:top w:val="none" w:sz="0" w:space="0" w:color="auto"/>
            <w:left w:val="none" w:sz="0" w:space="0" w:color="auto"/>
            <w:bottom w:val="none" w:sz="0" w:space="0" w:color="auto"/>
            <w:right w:val="none" w:sz="0" w:space="0" w:color="auto"/>
          </w:divBdr>
        </w:div>
        <w:div w:id="1280330823">
          <w:marLeft w:val="0"/>
          <w:marRight w:val="0"/>
          <w:marTop w:val="0"/>
          <w:marBottom w:val="101"/>
          <w:divBdr>
            <w:top w:val="none" w:sz="0" w:space="0" w:color="auto"/>
            <w:left w:val="none" w:sz="0" w:space="0" w:color="auto"/>
            <w:bottom w:val="none" w:sz="0" w:space="0" w:color="auto"/>
            <w:right w:val="none" w:sz="0" w:space="0" w:color="auto"/>
          </w:divBdr>
        </w:div>
        <w:div w:id="1526287487">
          <w:marLeft w:val="0"/>
          <w:marRight w:val="0"/>
          <w:marTop w:val="0"/>
          <w:marBottom w:val="101"/>
          <w:divBdr>
            <w:top w:val="none" w:sz="0" w:space="0" w:color="auto"/>
            <w:left w:val="none" w:sz="0" w:space="0" w:color="auto"/>
            <w:bottom w:val="none" w:sz="0" w:space="0" w:color="auto"/>
            <w:right w:val="none" w:sz="0" w:space="0" w:color="auto"/>
          </w:divBdr>
        </w:div>
        <w:div w:id="1247307291">
          <w:marLeft w:val="0"/>
          <w:marRight w:val="0"/>
          <w:marTop w:val="0"/>
          <w:marBottom w:val="101"/>
          <w:divBdr>
            <w:top w:val="none" w:sz="0" w:space="0" w:color="auto"/>
            <w:left w:val="none" w:sz="0" w:space="0" w:color="auto"/>
            <w:bottom w:val="none" w:sz="0" w:space="0" w:color="auto"/>
            <w:right w:val="none" w:sz="0" w:space="0" w:color="auto"/>
          </w:divBdr>
        </w:div>
        <w:div w:id="952398718">
          <w:marLeft w:val="0"/>
          <w:marRight w:val="0"/>
          <w:marTop w:val="0"/>
          <w:marBottom w:val="101"/>
          <w:divBdr>
            <w:top w:val="none" w:sz="0" w:space="0" w:color="auto"/>
            <w:left w:val="none" w:sz="0" w:space="0" w:color="auto"/>
            <w:bottom w:val="none" w:sz="0" w:space="0" w:color="auto"/>
            <w:right w:val="none" w:sz="0" w:space="0" w:color="auto"/>
          </w:divBdr>
        </w:div>
        <w:div w:id="1062100891">
          <w:marLeft w:val="720"/>
          <w:marRight w:val="0"/>
          <w:marTop w:val="0"/>
          <w:marBottom w:val="101"/>
          <w:divBdr>
            <w:top w:val="none" w:sz="0" w:space="0" w:color="auto"/>
            <w:left w:val="none" w:sz="0" w:space="0" w:color="auto"/>
            <w:bottom w:val="none" w:sz="0" w:space="0" w:color="auto"/>
            <w:right w:val="none" w:sz="0" w:space="0" w:color="auto"/>
          </w:divBdr>
        </w:div>
        <w:div w:id="1933776647">
          <w:marLeft w:val="0"/>
          <w:marRight w:val="0"/>
          <w:marTop w:val="0"/>
          <w:marBottom w:val="101"/>
          <w:divBdr>
            <w:top w:val="none" w:sz="0" w:space="0" w:color="auto"/>
            <w:left w:val="none" w:sz="0" w:space="0" w:color="auto"/>
            <w:bottom w:val="none" w:sz="0" w:space="0" w:color="auto"/>
            <w:right w:val="none" w:sz="0" w:space="0" w:color="auto"/>
          </w:divBdr>
        </w:div>
        <w:div w:id="1959212939">
          <w:marLeft w:val="0"/>
          <w:marRight w:val="0"/>
          <w:marTop w:val="0"/>
          <w:marBottom w:val="101"/>
          <w:divBdr>
            <w:top w:val="none" w:sz="0" w:space="0" w:color="auto"/>
            <w:left w:val="none" w:sz="0" w:space="0" w:color="auto"/>
            <w:bottom w:val="none" w:sz="0" w:space="0" w:color="auto"/>
            <w:right w:val="none" w:sz="0" w:space="0" w:color="auto"/>
          </w:divBdr>
        </w:div>
        <w:div w:id="1409883199">
          <w:marLeft w:val="720"/>
          <w:marRight w:val="0"/>
          <w:marTop w:val="0"/>
          <w:marBottom w:val="101"/>
          <w:divBdr>
            <w:top w:val="none" w:sz="0" w:space="0" w:color="auto"/>
            <w:left w:val="none" w:sz="0" w:space="0" w:color="auto"/>
            <w:bottom w:val="none" w:sz="0" w:space="0" w:color="auto"/>
            <w:right w:val="none" w:sz="0" w:space="0" w:color="auto"/>
          </w:divBdr>
        </w:div>
        <w:div w:id="851997209">
          <w:marLeft w:val="0"/>
          <w:marRight w:val="0"/>
          <w:marTop w:val="0"/>
          <w:marBottom w:val="101"/>
          <w:divBdr>
            <w:top w:val="none" w:sz="0" w:space="0" w:color="auto"/>
            <w:left w:val="none" w:sz="0" w:space="0" w:color="auto"/>
            <w:bottom w:val="none" w:sz="0" w:space="0" w:color="auto"/>
            <w:right w:val="none" w:sz="0" w:space="0" w:color="auto"/>
          </w:divBdr>
        </w:div>
        <w:div w:id="1589970068">
          <w:marLeft w:val="0"/>
          <w:marRight w:val="0"/>
          <w:marTop w:val="0"/>
          <w:marBottom w:val="101"/>
          <w:divBdr>
            <w:top w:val="none" w:sz="0" w:space="0" w:color="auto"/>
            <w:left w:val="none" w:sz="0" w:space="0" w:color="auto"/>
            <w:bottom w:val="none" w:sz="0" w:space="0" w:color="auto"/>
            <w:right w:val="none" w:sz="0" w:space="0" w:color="auto"/>
          </w:divBdr>
        </w:div>
        <w:div w:id="465701487">
          <w:marLeft w:val="0"/>
          <w:marRight w:val="0"/>
          <w:marTop w:val="0"/>
          <w:marBottom w:val="101"/>
          <w:divBdr>
            <w:top w:val="none" w:sz="0" w:space="0" w:color="auto"/>
            <w:left w:val="none" w:sz="0" w:space="0" w:color="auto"/>
            <w:bottom w:val="none" w:sz="0" w:space="0" w:color="auto"/>
            <w:right w:val="none" w:sz="0" w:space="0" w:color="auto"/>
          </w:divBdr>
        </w:div>
        <w:div w:id="1413818552">
          <w:marLeft w:val="0"/>
          <w:marRight w:val="0"/>
          <w:marTop w:val="0"/>
          <w:marBottom w:val="101"/>
          <w:divBdr>
            <w:top w:val="none" w:sz="0" w:space="0" w:color="auto"/>
            <w:left w:val="none" w:sz="0" w:space="0" w:color="auto"/>
            <w:bottom w:val="none" w:sz="0" w:space="0" w:color="auto"/>
            <w:right w:val="none" w:sz="0" w:space="0" w:color="auto"/>
          </w:divBdr>
        </w:div>
        <w:div w:id="721370199">
          <w:marLeft w:val="0"/>
          <w:marRight w:val="0"/>
          <w:marTop w:val="0"/>
          <w:marBottom w:val="101"/>
          <w:divBdr>
            <w:top w:val="none" w:sz="0" w:space="0" w:color="auto"/>
            <w:left w:val="none" w:sz="0" w:space="0" w:color="auto"/>
            <w:bottom w:val="none" w:sz="0" w:space="0" w:color="auto"/>
            <w:right w:val="none" w:sz="0" w:space="0" w:color="auto"/>
          </w:divBdr>
        </w:div>
        <w:div w:id="23023246">
          <w:marLeft w:val="0"/>
          <w:marRight w:val="0"/>
          <w:marTop w:val="0"/>
          <w:marBottom w:val="101"/>
          <w:divBdr>
            <w:top w:val="none" w:sz="0" w:space="0" w:color="auto"/>
            <w:left w:val="none" w:sz="0" w:space="0" w:color="auto"/>
            <w:bottom w:val="none" w:sz="0" w:space="0" w:color="auto"/>
            <w:right w:val="none" w:sz="0" w:space="0" w:color="auto"/>
          </w:divBdr>
        </w:div>
        <w:div w:id="811487153">
          <w:marLeft w:val="0"/>
          <w:marRight w:val="0"/>
          <w:marTop w:val="0"/>
          <w:marBottom w:val="101"/>
          <w:divBdr>
            <w:top w:val="none" w:sz="0" w:space="0" w:color="auto"/>
            <w:left w:val="none" w:sz="0" w:space="0" w:color="auto"/>
            <w:bottom w:val="none" w:sz="0" w:space="0" w:color="auto"/>
            <w:right w:val="none" w:sz="0" w:space="0" w:color="auto"/>
          </w:divBdr>
        </w:div>
        <w:div w:id="1494297443">
          <w:marLeft w:val="0"/>
          <w:marRight w:val="0"/>
          <w:marTop w:val="0"/>
          <w:marBottom w:val="101"/>
          <w:divBdr>
            <w:top w:val="none" w:sz="0" w:space="0" w:color="auto"/>
            <w:left w:val="none" w:sz="0" w:space="0" w:color="auto"/>
            <w:bottom w:val="none" w:sz="0" w:space="0" w:color="auto"/>
            <w:right w:val="none" w:sz="0" w:space="0" w:color="auto"/>
          </w:divBdr>
        </w:div>
        <w:div w:id="245968620">
          <w:marLeft w:val="0"/>
          <w:marRight w:val="0"/>
          <w:marTop w:val="0"/>
          <w:marBottom w:val="101"/>
          <w:divBdr>
            <w:top w:val="none" w:sz="0" w:space="0" w:color="auto"/>
            <w:left w:val="none" w:sz="0" w:space="0" w:color="auto"/>
            <w:bottom w:val="none" w:sz="0" w:space="0" w:color="auto"/>
            <w:right w:val="none" w:sz="0" w:space="0" w:color="auto"/>
          </w:divBdr>
        </w:div>
        <w:div w:id="863520276">
          <w:marLeft w:val="0"/>
          <w:marRight w:val="0"/>
          <w:marTop w:val="0"/>
          <w:marBottom w:val="101"/>
          <w:divBdr>
            <w:top w:val="none" w:sz="0" w:space="0" w:color="auto"/>
            <w:left w:val="none" w:sz="0" w:space="0" w:color="auto"/>
            <w:bottom w:val="none" w:sz="0" w:space="0" w:color="auto"/>
            <w:right w:val="none" w:sz="0" w:space="0" w:color="auto"/>
          </w:divBdr>
        </w:div>
        <w:div w:id="553203050">
          <w:marLeft w:val="0"/>
          <w:marRight w:val="0"/>
          <w:marTop w:val="0"/>
          <w:marBottom w:val="101"/>
          <w:divBdr>
            <w:top w:val="none" w:sz="0" w:space="0" w:color="auto"/>
            <w:left w:val="none" w:sz="0" w:space="0" w:color="auto"/>
            <w:bottom w:val="none" w:sz="0" w:space="0" w:color="auto"/>
            <w:right w:val="none" w:sz="0" w:space="0" w:color="auto"/>
          </w:divBdr>
        </w:div>
        <w:div w:id="849871416">
          <w:marLeft w:val="0"/>
          <w:marRight w:val="0"/>
          <w:marTop w:val="0"/>
          <w:marBottom w:val="101"/>
          <w:divBdr>
            <w:top w:val="none" w:sz="0" w:space="0" w:color="auto"/>
            <w:left w:val="none" w:sz="0" w:space="0" w:color="auto"/>
            <w:bottom w:val="none" w:sz="0" w:space="0" w:color="auto"/>
            <w:right w:val="none" w:sz="0" w:space="0" w:color="auto"/>
          </w:divBdr>
        </w:div>
        <w:div w:id="557210216">
          <w:marLeft w:val="0"/>
          <w:marRight w:val="0"/>
          <w:marTop w:val="0"/>
          <w:marBottom w:val="101"/>
          <w:divBdr>
            <w:top w:val="none" w:sz="0" w:space="0" w:color="auto"/>
            <w:left w:val="none" w:sz="0" w:space="0" w:color="auto"/>
            <w:bottom w:val="none" w:sz="0" w:space="0" w:color="auto"/>
            <w:right w:val="none" w:sz="0" w:space="0" w:color="auto"/>
          </w:divBdr>
        </w:div>
        <w:div w:id="1948997953">
          <w:marLeft w:val="0"/>
          <w:marRight w:val="0"/>
          <w:marTop w:val="0"/>
          <w:marBottom w:val="101"/>
          <w:divBdr>
            <w:top w:val="none" w:sz="0" w:space="0" w:color="auto"/>
            <w:left w:val="none" w:sz="0" w:space="0" w:color="auto"/>
            <w:bottom w:val="none" w:sz="0" w:space="0" w:color="auto"/>
            <w:right w:val="none" w:sz="0" w:space="0" w:color="auto"/>
          </w:divBdr>
        </w:div>
      </w:divsChild>
    </w:div>
    <w:div w:id="13299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12132</Words>
  <Characters>66729</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2020-01-20T14:35:00Z</dcterms:created>
  <dcterms:modified xsi:type="dcterms:W3CDTF">2020-01-20T14:36:00Z</dcterms:modified>
</cp:coreProperties>
</file>