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5yf1fqkvb3f7" w:id="0"/>
      <w:bookmarkEnd w:id="0"/>
      <w:r w:rsidDel="00000000" w:rsidR="00000000" w:rsidRPr="00000000">
        <w:rPr>
          <w:rFonts w:ascii="Verdana" w:cs="Verdana" w:eastAsia="Verdana" w:hAnsi="Verdana"/>
          <w:b w:val="1"/>
          <w:color w:val="4a86e8"/>
          <w:sz w:val="20"/>
          <w:szCs w:val="20"/>
          <w:rtl w:val="0"/>
        </w:rPr>
        <w:t xml:space="preserve">Resolución que modifica las Disposiciones de carácter general aplicables a las instituciones de crédito</w:t>
        <w:br w:type="textWrapping"/>
        <w:t xml:space="preserve">(DOF 27 de septiembre de 2023)</w:t>
      </w:r>
    </w:p>
    <w:p w:rsidR="00000000" w:rsidDel="00000000" w:rsidP="00000000" w:rsidRDefault="00000000" w:rsidRPr="00000000" w14:paraId="00000002">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iue63u32kpi8" w:id="1"/>
      <w:bookmarkEnd w:id="1"/>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HACIENDA.- Secretaría de Hacienda y Crédito Público.- Comisión Nacional Bancaria y de Valores.</w:t>
      </w:r>
    </w:p>
    <w:p w:rsidR="00000000" w:rsidDel="00000000" w:rsidP="00000000" w:rsidRDefault="00000000" w:rsidRPr="00000000" w14:paraId="0000000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Comisión Nacional Bancaria y de Valores, con fundamento en lo dispuesto por los artículos 96 Bis; 97, párrafo primero y 98 Bis de la Ley de Instituciones de Crédito, así como 4, fracciones III, V, XXXVI y XXXVIII, y 16, fracción I de la Ley de la Comisión Nacional Bancaria y de Valores, contando con la previa opinión del Banco de México, y</w:t>
      </w:r>
    </w:p>
    <w:p w:rsidR="00000000" w:rsidDel="00000000" w:rsidP="00000000" w:rsidRDefault="00000000" w:rsidRPr="00000000" w14:paraId="00000004">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atención al artículo 78 de la Ley General de Mejora Regulatoria y con la finalidad de reducir el costo de cumplimiento por la emisión de la presente Resolución, la Comisión Nacional Bancaria y de Valores publicó en el Diario Oficial de la Federación el 27 de julio de 2021 la "Resolución que modifica las Disposiciones de carácter general aplicables a las instituciones de crédito", con la finalidad de incorporar el riesgo en que puedan incurrir las instituciones de crédito al otorgar créditos a mujeres a la metodología de estimación de reservas preventivas y calificación de cartera de crédito, por el cual se reconocen los beneficios por ahorro en reservas, tratándose de créditos a la vivienda, créditos ABCD y automotrices;</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Programa Nacional de Financiamiento del Desarrollo 2020-2024 presenta los objetivos y las estrategias prioritarias, así como las acciones puntuales en los sectores hacendario y financiero que asegurarán la disponibilidad de recursos necesarios para incrementar la inversión e impulsar el desarrollo del país y, en específico, las estrategias 5.3.2 y 6.3.5. buscan promover, en coordinación con las dependencias competentes, mayor financiamiento y servicios financieros para personas emprendedoras, mujeres, micro pequeñas y medianas empresas e integrantes del sector rural, así como diseñar productos y servicios financieros dirigidos a mujeres para fomentar su inclusión financiera;</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Política Nacional de Inclusión Financiera (PNIF) establece que el aumento de la inclusión y educación financieras es un medio para alcanzar la salud financiera, lo que contribuirá al bienestar de la población y, en ese tenor, se considera necesario generar más información para mejorar la toma de decisiones en materia de política pública. En particular, la Estrategia 6.4 de la PNIF busca realizar acciones dentro de las instituciones financieras privadas y públicas para mejorar la inclusión financiera de las mujeres;</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diversos organismos internacionales, tales como la Organización de las Naciones Unidas, el Banco Interamericano de Desarrollo y la Alianza para la Inclusión Financiera, han recomendado contar con desagregación de datos por sexo como parte de las acciones relevantes para analizar la inclusión financiera por sexo, diseñar políticas públicas y llevar un seguimiento sobre las brechas de género en el acceso a servicios financieros;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México, la Encuesta Nacional de Financiamiento de las Empresas 2021 muestra que existe una baja participación de las mujeres en el sector empresarial y que existe una brecha importante entre empresas lideradas por mujeres en comparación con las lideradas por hombres en el acceso al financiamiento;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actualmente no existen datos administrativos de las instituciones de crédito sobre la cartera de crédito a empresas de acuerdo con el sexo de sus dueños o de quien lidera las empresas, y</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base en lo anterior, resulta necesario que la Comisión Nacional Bancaria y de Valores conozca la información relativa a la tenencia accionaria, el consejo de administración y la alta dirección distinguiendo por sexo de los órganos de gobierno de las entidades financieras y personas morales acreditadas, ha resuelto expedir la siguiente:</w:t>
      </w:r>
    </w:p>
    <w:p w:rsidR="00000000" w:rsidDel="00000000" w:rsidP="00000000" w:rsidRDefault="00000000" w:rsidRPr="00000000" w14:paraId="0000000C">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RESOLUCIÓN QUE MODIFICA LAS DISPOSICIONES DE CARÁCTER GENERAL APLICABLES A LAS</w:t>
      </w:r>
    </w:p>
    <w:p w:rsidR="00000000" w:rsidDel="00000000" w:rsidP="00000000" w:rsidRDefault="00000000" w:rsidRPr="00000000" w14:paraId="0000000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INSTITUCIONES DE CRÉDITO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w:t>
      </w:r>
      <w:r w:rsidDel="00000000" w:rsidR="00000000" w:rsidRPr="00000000">
        <w:rPr>
          <w:rFonts w:ascii="Verdana" w:cs="Verdana" w:eastAsia="Verdana" w:hAnsi="Verdana"/>
          <w:b w:val="1"/>
          <w:color w:val="2f2f2f"/>
          <w:sz w:val="20"/>
          <w:szCs w:val="20"/>
          <w:rtl w:val="0"/>
        </w:rPr>
        <w:t xml:space="preserve">REFORMAN </w:t>
      </w:r>
      <w:r w:rsidDel="00000000" w:rsidR="00000000" w:rsidRPr="00000000">
        <w:rPr>
          <w:rFonts w:ascii="Verdana" w:cs="Verdana" w:eastAsia="Verdana" w:hAnsi="Verdana"/>
          <w:color w:val="2f2f2f"/>
          <w:sz w:val="20"/>
          <w:szCs w:val="20"/>
          <w:rtl w:val="0"/>
        </w:rPr>
        <w:t xml:space="preserve">el artículo 208, fracción III, segundo párrafo, y el Anexo 36 "Reportes regulatorios", Serie R04 "Cartera de crédito", sección "Cartera comercial", párrafos primero y penúltimo; y se </w:t>
      </w:r>
      <w:r w:rsidDel="00000000" w:rsidR="00000000" w:rsidRPr="00000000">
        <w:rPr>
          <w:rFonts w:ascii="Verdana" w:cs="Verdana" w:eastAsia="Verdana" w:hAnsi="Verdana"/>
          <w:b w:val="1"/>
          <w:color w:val="2f2f2f"/>
          <w:sz w:val="20"/>
          <w:szCs w:val="20"/>
          <w:rtl w:val="0"/>
        </w:rPr>
        <w:t xml:space="preserve">ADICIONAN</w:t>
      </w:r>
      <w:r w:rsidDel="00000000" w:rsidR="00000000" w:rsidRPr="00000000">
        <w:rPr>
          <w:rFonts w:ascii="Verdana" w:cs="Verdana" w:eastAsia="Verdana" w:hAnsi="Verdana"/>
          <w:color w:val="2f2f2f"/>
          <w:sz w:val="20"/>
          <w:szCs w:val="20"/>
          <w:rtl w:val="0"/>
        </w:rPr>
        <w:t xml:space="preserve"> el artículo 207, Serie R04 "Cartera de crédito", sección "Cartera comercial", apartado "Información detallada (Metodología de calificación de cartera Anexos 18 a 22), con el reporte C-0441 "Datos de acreditados de créditos comerciales a cargo de entidades financieras y personas morales", así como el Anexo 36 "Reportes regulatorios", índice y Serie R04 "Cartera de crédito", sección "Cartera comercial", apartado "REPORTES", con el reporte C-0441, y apartado "FORMATO DE CAPTURA" con un párrafo décimo primero y una tabla, recorriéndose el actual párrafo décimo primero y su tabla en el mismo orden, para pasar a ser el párrafo décimo segundo, de las "Disposiciones de carácter general aplicables a las instituciones de crédito", publicadas en el Diario Oficial de la Federación el 2 de diciembre de 2005 y reformadas por última vez mediante resolución publicada en el citado Diario el 17 de abril de 2023, para quedar como sigue:</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207.-</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R01 Catálogo mínimo </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R03 Inversiones en valores </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R04 Cartera de Crédito</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Situación financiera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Cartera comercial</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Información detallada (Metodología de calificación de cartera Anexos 18 a 22)</w:t>
      </w:r>
    </w:p>
    <w:p w:rsidR="00000000" w:rsidDel="00000000" w:rsidP="00000000" w:rsidRDefault="00000000" w:rsidRPr="00000000" w14:paraId="00000016">
      <w:pPr>
        <w:shd w:fill="ffffff" w:val="clear"/>
        <w:spacing w:after="100" w:lineRule="auto"/>
        <w:ind w:left="2020" w:hanging="86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C-0430    </w:t>
      </w: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17">
      <w:pPr>
        <w:shd w:fill="ffffff" w:val="clear"/>
        <w:spacing w:after="100" w:lineRule="auto"/>
        <w:ind w:left="2020" w:hanging="86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C-0431    </w:t>
      </w: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18">
      <w:pPr>
        <w:shd w:fill="ffffff" w:val="clear"/>
        <w:spacing w:after="100" w:lineRule="auto"/>
        <w:ind w:left="2020" w:hanging="86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C-0432    </w:t>
      </w: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19">
      <w:pPr>
        <w:shd w:fill="ffffff" w:val="clear"/>
        <w:spacing w:after="100" w:lineRule="auto"/>
        <w:ind w:left="2020" w:hanging="86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C-0433    </w:t>
      </w: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1A">
      <w:pPr>
        <w:shd w:fill="ffffff" w:val="clear"/>
        <w:spacing w:after="100" w:lineRule="auto"/>
        <w:ind w:left="2020" w:hanging="86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C-0434    </w:t>
      </w: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1B">
      <w:pPr>
        <w:shd w:fill="ffffff" w:val="clear"/>
        <w:spacing w:after="100" w:lineRule="auto"/>
        <w:ind w:left="2020" w:hanging="86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C-0435    </w:t>
      </w: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1C">
      <w:pPr>
        <w:shd w:fill="ffffff" w:val="clear"/>
        <w:spacing w:after="100" w:lineRule="auto"/>
        <w:ind w:left="2020" w:hanging="86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C-0436    </w:t>
      </w: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1D">
      <w:pPr>
        <w:shd w:fill="ffffff" w:val="clear"/>
        <w:spacing w:after="100" w:lineRule="auto"/>
        <w:ind w:left="2020" w:hanging="86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C-0437    </w:t>
      </w: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1E">
      <w:pPr>
        <w:shd w:fill="ffffff" w:val="clear"/>
        <w:spacing w:after="100" w:lineRule="auto"/>
        <w:ind w:left="2020" w:hanging="86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C-0438    </w:t>
      </w: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1F">
      <w:pPr>
        <w:shd w:fill="ffffff" w:val="clear"/>
        <w:spacing w:after="100" w:lineRule="auto"/>
        <w:ind w:left="2020" w:hanging="86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C-0439    </w:t>
      </w: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20">
      <w:pPr>
        <w:shd w:fill="ffffff" w:val="clear"/>
        <w:spacing w:after="100" w:lineRule="auto"/>
        <w:ind w:left="2020" w:hanging="86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C-0440    </w:t>
      </w: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21">
      <w:pPr>
        <w:shd w:fill="ffffff" w:val="clear"/>
        <w:spacing w:after="100" w:lineRule="auto"/>
        <w:ind w:left="2020" w:hanging="8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C-0441    Datos de acreditados de créditos comerciales a cargo de entidades financieras y personas morales</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Información detallada de garantías de segundo piso . . .</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C-0447         </w:t>
      </w: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Cartera a la vivienda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R06 Bienes Adjudicados</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R07 Impuestos a la utilidad y PTU diferidos</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R08 Captación</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R10 Reclasificaciones</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R12 Consolidación</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R13 Estados financieros</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2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R14 Información cualitativa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2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R15 Operaciones por servicio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2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R16 Riesgos</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2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R24 Información operativa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2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R26 Información por comisionistas</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3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R27 Reclamaciones</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3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R28 Información de Riesgo Operacional</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3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R29 Aseguramientos, transferencias y desbloqueos de cuentas</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3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R32 Conciliaciones</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3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R34 razón de apalancamiento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3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3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 . .</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3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208.-</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38">
      <w:pPr>
        <w:shd w:fill="ffffff" w:val="clear"/>
        <w:spacing w:after="100" w:lineRule="auto"/>
        <w:ind w:left="2020" w:hanging="86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 y II.       </w:t>
      </w: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39">
      <w:pPr>
        <w:shd w:fill="ffffff" w:val="clear"/>
        <w:spacing w:after="100" w:lineRule="auto"/>
        <w:ind w:left="2020" w:hanging="86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III.            </w:t>
      </w: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3A">
      <w:pPr>
        <w:shd w:fill="ffffff" w:val="clear"/>
        <w:spacing w:after="100" w:lineRule="auto"/>
        <w:ind w:left="2020" w:hanging="8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De igual forma, en el plazo mencionado en el párrafo anterior, la relativa a las series R04, R16, R24 y R28, exclusivamente por lo que se refiere a los reportes C-0441, B-1621, D-2443, E-2450, E-2451, E-2452, A-2811 y A-2813 de dichas series.</w:t>
      </w:r>
    </w:p>
    <w:p w:rsidR="00000000" w:rsidDel="00000000" w:rsidP="00000000" w:rsidRDefault="00000000" w:rsidRPr="00000000" w14:paraId="0000003B">
      <w:pPr>
        <w:shd w:fill="ffffff" w:val="clear"/>
        <w:spacing w:after="100" w:lineRule="auto"/>
        <w:ind w:left="2020" w:hanging="86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3C">
      <w:pPr>
        <w:shd w:fill="ffffff" w:val="clear"/>
        <w:spacing w:after="100" w:lineRule="auto"/>
        <w:ind w:left="2020" w:hanging="86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IV.          </w:t>
      </w: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3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 . .</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3E">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"Anexo 36</w:t>
      </w:r>
    </w:p>
    <w:p w:rsidR="00000000" w:rsidDel="00000000" w:rsidP="00000000" w:rsidRDefault="00000000" w:rsidRPr="00000000" w14:paraId="0000003F">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Reportes regulatorios</w:t>
      </w:r>
    </w:p>
    <w:p w:rsidR="00000000" w:rsidDel="00000000" w:rsidP="00000000" w:rsidRDefault="00000000" w:rsidRPr="00000000" w14:paraId="00000040">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Índice</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77.9884411000351"/>
        <w:gridCol w:w="281.5841123307863"/>
        <w:gridCol w:w="311.2245452077111"/>
        <w:gridCol w:w="1037.4151506923706"/>
        <w:gridCol w:w="5112.9746712695405"/>
        <w:gridCol w:w="1704.3248904231802"/>
        <w:tblGridChange w:id="0">
          <w:tblGrid>
            <w:gridCol w:w="577.9884411000351"/>
            <w:gridCol w:w="281.5841123307863"/>
            <w:gridCol w:w="311.2245452077111"/>
            <w:gridCol w:w="1037.4151506923706"/>
            <w:gridCol w:w="5112.9746712695405"/>
            <w:gridCol w:w="1704.3248904231802"/>
          </w:tblGrid>
        </w:tblGridChange>
      </w:tblGrid>
      <w:tr>
        <w:trPr>
          <w:cantSplit w:val="0"/>
          <w:trHeight w:val="315" w:hRule="atLeast"/>
          <w:tblHeader w:val="0"/>
        </w:trPr>
        <w:tc>
          <w:tcPr>
            <w:gridSpan w:val="5"/>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041">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R01 Catálogo mínimo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6">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Periodicidad</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7">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8">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49">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4A">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A-0111</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4B">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4C">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D">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gridSpan w:val="5"/>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E">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315" w:hRule="atLeast"/>
          <w:tblHeader w:val="0"/>
        </w:trPr>
        <w:tc>
          <w:tcPr>
            <w:gridSpan w:val="5"/>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53">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R03 Inversiones en valores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58">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Periodicidad</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59">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5A">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5B">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5C">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E-0304</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5D">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5E">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5F">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60">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61">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62">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E-0305</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63">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64">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65">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66">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67">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68">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69">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6A">
            <w:pPr>
              <w:shd w:fill="ffffff" w:val="clea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315" w:hRule="atLeast"/>
          <w:tblHeader w:val="0"/>
        </w:trPr>
        <w:tc>
          <w:tcPr>
            <w:gridSpan w:val="5"/>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6B">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R04 Cartera de Crédito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70">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Periodicidad</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71">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gridSpan w:val="5"/>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72">
            <w:pPr>
              <w:shd w:fill="ffffff" w:val="clear"/>
              <w:spacing w:after="40" w:before="40" w:lineRule="auto"/>
              <w:jc w:val="both"/>
              <w:rPr>
                <w:rFonts w:ascii="Verdana" w:cs="Verdana" w:eastAsia="Verdana" w:hAnsi="Verdana"/>
                <w:b w:val="1"/>
                <w:i w:val="1"/>
                <w:color w:val="2f2f2f"/>
                <w:sz w:val="20"/>
                <w:szCs w:val="20"/>
              </w:rPr>
            </w:pPr>
            <w:r w:rsidDel="00000000" w:rsidR="00000000" w:rsidRPr="00000000">
              <w:rPr>
                <w:rFonts w:ascii="Verdana" w:cs="Verdana" w:eastAsia="Verdana" w:hAnsi="Verdana"/>
                <w:b w:val="1"/>
                <w:i w:val="1"/>
                <w:color w:val="2f2f2f"/>
                <w:sz w:val="20"/>
                <w:szCs w:val="20"/>
                <w:rtl w:val="0"/>
              </w:rPr>
              <w:t xml:space="preserve">Situación financiera</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77">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78">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79">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7A">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A-0411</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7B">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7C">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7D">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7E">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7F">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80">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A-0417</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81">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82">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83">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84">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85">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86">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A-0419</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87">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88">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89">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8A">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8B">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8C">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A-0420</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8D">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8E">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8F">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90">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91">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92">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A-0424</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93">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94">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95">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96">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97">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98">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99">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9A">
            <w:pPr>
              <w:shd w:fill="ffffff" w:val="clea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9B">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gridSpan w:val="5"/>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9C">
            <w:pPr>
              <w:shd w:fill="ffffff" w:val="clear"/>
              <w:spacing w:after="40" w:before="40" w:lineRule="auto"/>
              <w:jc w:val="both"/>
              <w:rPr>
                <w:rFonts w:ascii="Verdana" w:cs="Verdana" w:eastAsia="Verdana" w:hAnsi="Verdana"/>
                <w:b w:val="1"/>
                <w:i w:val="1"/>
                <w:color w:val="2f2f2f"/>
                <w:sz w:val="20"/>
                <w:szCs w:val="20"/>
              </w:rPr>
            </w:pPr>
            <w:r w:rsidDel="00000000" w:rsidR="00000000" w:rsidRPr="00000000">
              <w:rPr>
                <w:rFonts w:ascii="Verdana" w:cs="Verdana" w:eastAsia="Verdana" w:hAnsi="Verdana"/>
                <w:b w:val="1"/>
                <w:i w:val="1"/>
                <w:color w:val="2f2f2f"/>
                <w:sz w:val="20"/>
                <w:szCs w:val="20"/>
                <w:rtl w:val="0"/>
              </w:rPr>
              <w:t xml:space="preserve">Cartera comercial</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A1">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A2">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gridSpan w:val="4"/>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A3">
            <w:pPr>
              <w:shd w:fill="ffffff" w:val="clear"/>
              <w:spacing w:after="40" w:before="40" w:lineRule="auto"/>
              <w:jc w:val="both"/>
              <w:rPr>
                <w:rFonts w:ascii="Verdana" w:cs="Verdana" w:eastAsia="Verdana" w:hAnsi="Verdana"/>
                <w:b w:val="1"/>
                <w:i w:val="1"/>
                <w:color w:val="2f2f2f"/>
                <w:sz w:val="20"/>
                <w:szCs w:val="20"/>
              </w:rPr>
            </w:pPr>
            <w:r w:rsidDel="00000000" w:rsidR="00000000" w:rsidRPr="00000000">
              <w:rPr>
                <w:rFonts w:ascii="Verdana" w:cs="Verdana" w:eastAsia="Verdana" w:hAnsi="Verdana"/>
                <w:b w:val="1"/>
                <w:i w:val="1"/>
                <w:color w:val="2f2f2f"/>
                <w:sz w:val="20"/>
                <w:szCs w:val="20"/>
                <w:rtl w:val="0"/>
              </w:rPr>
              <w:t xml:space="preserve">Información detallada (Metodología de calificación de cartera Anexos 18 a 22)</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A7">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A8">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A9">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AA">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C-0430</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AB">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AC">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AD">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AE">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AF">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B0">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C-0431</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B1">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B2">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B3">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B4">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B5">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B6">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C-0432</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B7">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B8">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B9">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BA">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BB">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BC">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C-0433</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BD">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BE">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BF">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C0">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C1">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C2">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C-0434</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C3">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C4">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C5">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C6">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C7">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C8">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C-0435</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C9">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CA">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CB">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CC">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CD">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CE">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C-0436</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CF">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D0">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D1">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D2">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D3">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D4">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C-0437</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D5">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D6">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D7">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D8">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D9">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DA">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C-0438</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DB">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DC">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DD">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DE">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DF">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E0">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C-0439</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E1">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E2">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E3">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E4">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E5">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E6">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C-0440</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E7">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E8">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55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E9">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EA">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EB">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EC">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C-0441</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ED">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Datos de acreditados de créditos comerciales a cargo de entidades financieras y personas morales</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EE">
            <w:pPr>
              <w:shd w:fill="ffffff" w:val="clea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Trimestral</w:t>
            </w:r>
          </w:p>
        </w:tc>
      </w:tr>
    </w:tbl>
    <w:p w:rsidR="00000000" w:rsidDel="00000000" w:rsidP="00000000" w:rsidRDefault="00000000" w:rsidRPr="00000000" w14:paraId="000000E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52.0895232923472"/>
        <w:gridCol w:w="296.4043287692487"/>
        <w:gridCol w:w="311.2245452077111"/>
        <w:gridCol w:w="1037.4151506923706"/>
        <w:gridCol w:w="5024.053372638766"/>
        <w:gridCol w:w="1704.3248904231802"/>
        <w:tblGridChange w:id="0">
          <w:tblGrid>
            <w:gridCol w:w="652.0895232923472"/>
            <w:gridCol w:w="296.4043287692487"/>
            <w:gridCol w:w="311.2245452077111"/>
            <w:gridCol w:w="1037.4151506923706"/>
            <w:gridCol w:w="5024.053372638766"/>
            <w:gridCol w:w="1704.3248904231802"/>
          </w:tblGrid>
        </w:tblGridChange>
      </w:tblGrid>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F0">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F1">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gridSpan w:val="4"/>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F2">
            <w:pPr>
              <w:shd w:fill="ffffff" w:val="clear"/>
              <w:spacing w:after="40" w:before="40" w:lineRule="auto"/>
              <w:jc w:val="both"/>
              <w:rPr>
                <w:rFonts w:ascii="Verdana" w:cs="Verdana" w:eastAsia="Verdana" w:hAnsi="Verdana"/>
                <w:b w:val="1"/>
                <w:i w:val="1"/>
                <w:color w:val="2f2f2f"/>
                <w:sz w:val="20"/>
                <w:szCs w:val="20"/>
              </w:rPr>
            </w:pPr>
            <w:r w:rsidDel="00000000" w:rsidR="00000000" w:rsidRPr="00000000">
              <w:rPr>
                <w:rFonts w:ascii="Verdana" w:cs="Verdana" w:eastAsia="Verdana" w:hAnsi="Verdana"/>
                <w:b w:val="1"/>
                <w:i w:val="1"/>
                <w:color w:val="2f2f2f"/>
                <w:sz w:val="20"/>
                <w:szCs w:val="20"/>
                <w:rtl w:val="0"/>
              </w:rPr>
              <w:t xml:space="preserve">Información detallada de garantías de segundo piso</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F6">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F7">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F8">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F9">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C-0447</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FA">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FB">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FC">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FD">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FE">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FF">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00">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01">
            <w:pPr>
              <w:shd w:fill="ffffff" w:val="clea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02">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gridSpan w:val="5"/>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03">
            <w:pPr>
              <w:shd w:fill="ffffff" w:val="clear"/>
              <w:spacing w:after="40" w:before="40" w:lineRule="auto"/>
              <w:jc w:val="both"/>
              <w:rPr>
                <w:rFonts w:ascii="Verdana" w:cs="Verdana" w:eastAsia="Verdana" w:hAnsi="Verdana"/>
                <w:b w:val="1"/>
                <w:i w:val="1"/>
                <w:color w:val="2f2f2f"/>
                <w:sz w:val="20"/>
                <w:szCs w:val="20"/>
              </w:rPr>
            </w:pPr>
            <w:r w:rsidDel="00000000" w:rsidR="00000000" w:rsidRPr="00000000">
              <w:rPr>
                <w:rFonts w:ascii="Verdana" w:cs="Verdana" w:eastAsia="Verdana" w:hAnsi="Verdana"/>
                <w:b w:val="1"/>
                <w:i w:val="1"/>
                <w:color w:val="2f2f2f"/>
                <w:sz w:val="20"/>
                <w:szCs w:val="20"/>
                <w:rtl w:val="0"/>
              </w:rPr>
              <w:t xml:space="preserve">Cartera a la vivienda</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08">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09">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0A">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0B">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H-0491</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0C">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0D">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0E">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0F">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10">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11">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H-0492</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12">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13">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14">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15">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16">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17">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H-0493</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18">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19">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1A">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1B">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1C">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1D">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H-0494</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1E">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1F">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15" w:hRule="atLeast"/>
          <w:tblHeader w:val="0"/>
        </w:trPr>
        <w:tc>
          <w:tcPr>
            <w:gridSpan w:val="5"/>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20">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25">
            <w:pPr>
              <w:shd w:fill="ffffff" w:val="clea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315" w:hRule="atLeast"/>
          <w:tblHeader w:val="0"/>
        </w:trPr>
        <w:tc>
          <w:tcPr>
            <w:gridSpan w:val="5"/>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26">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R06 Bienes Adjudicados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2B">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Periodicidad</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2C">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2D">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2E">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2F">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A-0611</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30">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31">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32">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33">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34">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35">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36">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37">
            <w:pPr>
              <w:shd w:fill="ffffff" w:val="clea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330" w:hRule="atLeast"/>
          <w:tblHeader w:val="0"/>
        </w:trPr>
        <w:tc>
          <w:tcPr>
            <w:gridSpan w:val="5"/>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38">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R07 Impuestos a la utilidad y PTU diferidos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3D">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Periodicidad</w:t>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3E">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3F">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40">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41">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A-0711</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42">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43">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30" w:hRule="atLeast"/>
          <w:tblHeader w:val="0"/>
        </w:trPr>
        <w:tc>
          <w:tcPr>
            <w:gridSpan w:val="5"/>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44">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49">
            <w:pPr>
              <w:shd w:fill="ffffff" w:val="clea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330" w:hRule="atLeast"/>
          <w:tblHeader w:val="0"/>
        </w:trPr>
        <w:tc>
          <w:tcPr>
            <w:gridSpan w:val="5"/>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4A">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R08 Captación</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4F">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Periodicidad</w:t>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50">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51">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52">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53">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A-0811</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54">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55">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56">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57">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58">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59">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A-0815</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5A">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5B">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5C">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5D">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5E">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5F">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A-0816</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60">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61">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62">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63">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64">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65">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A-0819</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66">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67">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68">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gridSpan w:val="5"/>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69">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645" w:hRule="atLeast"/>
          <w:tblHeader w:val="0"/>
        </w:trPr>
        <w:tc>
          <w:tcPr>
            <w:gridSpan w:val="5"/>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6E">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6F">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R10 Reclasificaciones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74">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Periodicidad</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75">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76">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77">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78">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A-1011</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79">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7A">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7B">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7C">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7D">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7E">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A-1012</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7F">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80">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15" w:hRule="atLeast"/>
          <w:tblHeader w:val="0"/>
        </w:trPr>
        <w:tc>
          <w:tcPr>
            <w:gridSpan w:val="5"/>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81">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86">
            <w:pPr>
              <w:shd w:fill="ffffff" w:val="clea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315" w:hRule="atLeast"/>
          <w:tblHeader w:val="0"/>
        </w:trPr>
        <w:tc>
          <w:tcPr>
            <w:gridSpan w:val="5"/>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87">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R12 Consolidación</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8C">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Periodicidad</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8D">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8E">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8F">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90">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A-1219</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91">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92">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93">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94">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95">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96">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A-1220</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97">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98">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99">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9A">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9B">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9C">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B-1230</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9D">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9E">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15" w:hRule="atLeast"/>
          <w:tblHeader w:val="0"/>
        </w:trPr>
        <w:tc>
          <w:tcPr>
            <w:gridSpan w:val="5"/>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9F">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A4">
            <w:pPr>
              <w:shd w:fill="ffffff" w:val="clea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315" w:hRule="atLeast"/>
          <w:tblHeader w:val="0"/>
        </w:trPr>
        <w:tc>
          <w:tcPr>
            <w:gridSpan w:val="5"/>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A5">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R13 Estados financieros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AA">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Periodicidad</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AB">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AC">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AD">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AE">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A-1311</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AF">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B0">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bl>
    <w:p w:rsidR="00000000" w:rsidDel="00000000" w:rsidP="00000000" w:rsidRDefault="00000000" w:rsidRPr="00000000" w14:paraId="000001B1">
      <w:pPr>
        <w:shd w:fill="ffffff" w:val="clear"/>
        <w:jc w:val="both"/>
        <w:rPr>
          <w:rFonts w:ascii="Verdana" w:cs="Verdana" w:eastAsia="Verdana" w:hAnsi="Verdana"/>
          <w:color w:val="2f2f2f"/>
          <w:sz w:val="20"/>
          <w:szCs w:val="20"/>
        </w:rPr>
      </w:pPr>
      <w:r w:rsidDel="00000000" w:rsidR="00000000" w:rsidRPr="00000000">
        <w:rPr>
          <w:rtl w:val="0"/>
        </w:rPr>
      </w:r>
    </w:p>
    <w:tbl>
      <w:tblPr>
        <w:tblStyle w:val="Table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6.9097397308096"/>
        <w:gridCol w:w="296.4043287692487"/>
        <w:gridCol w:w="311.2245452077111"/>
        <w:gridCol w:w="1037.4151506923706"/>
        <w:gridCol w:w="5009.233156200304"/>
        <w:gridCol w:w="1704.3248904231802"/>
        <w:tblGridChange w:id="0">
          <w:tblGrid>
            <w:gridCol w:w="666.9097397308096"/>
            <w:gridCol w:w="296.4043287692487"/>
            <w:gridCol w:w="311.2245452077111"/>
            <w:gridCol w:w="1037.4151506923706"/>
            <w:gridCol w:w="5009.233156200304"/>
            <w:gridCol w:w="1704.3248904231802"/>
          </w:tblGrid>
        </w:tblGridChange>
      </w:tblGrid>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B2">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B3">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B4">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B5">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A-1316</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B6">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B7">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B8">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B9">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BA">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BB">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B-1321</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BC">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BD">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BE">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BF">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C0">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C1">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B-1322</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C2">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C3">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15" w:hRule="atLeast"/>
          <w:tblHeader w:val="0"/>
        </w:trPr>
        <w:tc>
          <w:tcPr>
            <w:gridSpan w:val="5"/>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C4">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C9">
            <w:pPr>
              <w:shd w:fill="ffffff" w:val="clea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315" w:hRule="atLeast"/>
          <w:tblHeader w:val="0"/>
        </w:trPr>
        <w:tc>
          <w:tcPr>
            <w:gridSpan w:val="5"/>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CA">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R14 Información cualitativa</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CF">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Periodicidad</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D0">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D1">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D2">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D3">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A-1411</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D4">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D5">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D6">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D7">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D8">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D9">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A-1412</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DA">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DB">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bl>
    <w:p w:rsidR="00000000" w:rsidDel="00000000" w:rsidP="00000000" w:rsidRDefault="00000000" w:rsidRPr="00000000" w14:paraId="000001D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6.9097397308096"/>
        <w:gridCol w:w="296.4043287692487"/>
        <w:gridCol w:w="311.2245452077111"/>
        <w:gridCol w:w="1037.4151506923706"/>
        <w:gridCol w:w="5009.233156200304"/>
        <w:gridCol w:w="1704.3248904231802"/>
        <w:tblGridChange w:id="0">
          <w:tblGrid>
            <w:gridCol w:w="666.9097397308096"/>
            <w:gridCol w:w="296.4043287692487"/>
            <w:gridCol w:w="311.2245452077111"/>
            <w:gridCol w:w="1037.4151506923706"/>
            <w:gridCol w:w="5009.233156200304"/>
            <w:gridCol w:w="1704.3248904231802"/>
          </w:tblGrid>
        </w:tblGridChange>
      </w:tblGrid>
      <w:tr>
        <w:trPr>
          <w:cantSplit w:val="0"/>
          <w:trHeight w:val="300" w:hRule="atLeast"/>
          <w:tblHeader w:val="0"/>
        </w:trPr>
        <w:tc>
          <w:tcPr>
            <w:gridSpan w:val="5"/>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DD">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R15 Operaciones por servicio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E2">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Periodicidad</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E3">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E4">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E5">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E6">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B-1522</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E7">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E8">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E9">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EA">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EB">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EC">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B-1523</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ED">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EE">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EF">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F0">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F1">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F2">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B-1524</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F3">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F4">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00" w:hRule="atLeast"/>
          <w:tblHeader w:val="0"/>
        </w:trPr>
        <w:tc>
          <w:tcPr>
            <w:gridSpan w:val="5"/>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F5">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FA">
            <w:pPr>
              <w:shd w:fill="ffffff" w:val="clea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300" w:hRule="atLeast"/>
          <w:tblHeader w:val="0"/>
        </w:trPr>
        <w:tc>
          <w:tcPr>
            <w:gridSpan w:val="5"/>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FB">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R16 Riesgos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00">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Periodicidad</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01">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02">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03">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204">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A-1611</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05">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06">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07">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08">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09">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20A">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A-1612</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0B">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0C">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0D">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0E">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0F">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210">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B-1621</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11">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12">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00" w:hRule="atLeast"/>
          <w:tblHeader w:val="0"/>
        </w:trPr>
        <w:tc>
          <w:tcPr>
            <w:gridSpan w:val="5"/>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13">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18">
            <w:pPr>
              <w:shd w:fill="ffffff" w:val="clea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300" w:hRule="atLeast"/>
          <w:tblHeader w:val="0"/>
        </w:trPr>
        <w:tc>
          <w:tcPr>
            <w:gridSpan w:val="5"/>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19">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R24 Información operativa</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1E">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Periodicidad</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1F">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20">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21">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222">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B-2421</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23">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24">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25">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26">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27">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228">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B-2422</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29">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2A">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2B">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2C">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2D">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22E">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B-2423</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2F">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30">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31">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32">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33">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234">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C-2431</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35">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36">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37">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38">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39">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23A">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D-2441</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3B">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3C">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3D">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3E">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3F">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240">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D-2442</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41">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42">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43">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44">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45">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246">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D-2443</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47">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48">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49">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4A">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4B">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24C">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E-2450</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4D">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4E">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4F">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50">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51">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252">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E-2451</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53">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54">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55">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56">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57">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258">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E-2452</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59">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5A">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00" w:hRule="atLeast"/>
          <w:tblHeader w:val="0"/>
        </w:trPr>
        <w:tc>
          <w:tcPr>
            <w:gridSpan w:val="5"/>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5B">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60">
            <w:pPr>
              <w:shd w:fill="ffffff" w:val="clea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300" w:hRule="atLeast"/>
          <w:tblHeader w:val="0"/>
        </w:trPr>
        <w:tc>
          <w:tcPr>
            <w:gridSpan w:val="5"/>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61">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R26 Información por comisionistas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66">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Periodicidad</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67">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68">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69">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6A">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A-2610</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6B">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6C">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6D">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6E">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6F">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70">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A-2611</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71">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72">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73">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74">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75">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276">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B-2612</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77">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78">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79">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7A">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7B">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7C">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C-2613</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7D">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7E">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00" w:hRule="atLeast"/>
          <w:tblHeader w:val="0"/>
        </w:trPr>
        <w:tc>
          <w:tcPr>
            <w:gridSpan w:val="5"/>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7F">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84">
            <w:pPr>
              <w:shd w:fill="ffffff" w:val="clea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300" w:hRule="atLeast"/>
          <w:tblHeader w:val="0"/>
        </w:trPr>
        <w:tc>
          <w:tcPr>
            <w:gridSpan w:val="5"/>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85">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R27 Reclamaciones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8A">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Periodicidad</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8B">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8C">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28D">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28E">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A-2701</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8F">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90">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570" w:hRule="atLeast"/>
          <w:tblHeader w:val="0"/>
        </w:trPr>
        <w:tc>
          <w:tcPr>
            <w:gridSpan w:val="5"/>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91">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292">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R28 Información de riesgo operacional</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97">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Periodicidad</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98">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99">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29A">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29B">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A-2811</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9C">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9D">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9E">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9F">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2A0">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2A1">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A-2812</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A2">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A3">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A4">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A5">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2A6">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2A7">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A-2813</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A8">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A9">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AA">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AB">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2AC">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2AD">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A-2815</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AE">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AF">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585" w:hRule="atLeast"/>
          <w:tblHeader w:val="0"/>
        </w:trPr>
        <w:tc>
          <w:tcPr>
            <w:gridSpan w:val="5"/>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B0">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2B1">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R29 Aseguramientos, transferencias y desbloqueos de cuentas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B6">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Periodicidad</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B7">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B8">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2B9">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2BA">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A-2911</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BB">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BC">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585" w:hRule="atLeast"/>
          <w:tblHeader w:val="0"/>
        </w:trPr>
        <w:tc>
          <w:tcPr>
            <w:gridSpan w:val="5"/>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BD">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2BE">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R32 Conciliaciones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C3">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Periodicidad</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C4">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C5">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2C6">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2C7">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A-3211</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C8">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C9">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585" w:hRule="atLeast"/>
          <w:tblHeader w:val="0"/>
        </w:trPr>
        <w:tc>
          <w:tcPr>
            <w:gridSpan w:val="5"/>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CA">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2CB">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R34 Razón de apalancamiento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D0">
            <w:pPr>
              <w:shd w:fill="ffffff" w:val="clea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D1">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2D2">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2D3">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2D4">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A-3401</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D5">
            <w:pPr>
              <w:shd w:fill="ffffff" w:val="clea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D6">
            <w:pPr>
              <w:shd w:fill="ffffff" w:val="clea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 . .</w:t>
            </w:r>
            <w:r w:rsidDel="00000000" w:rsidR="00000000" w:rsidRPr="00000000">
              <w:rPr>
                <w:rFonts w:ascii="Verdana" w:cs="Verdana" w:eastAsia="Verdana" w:hAnsi="Verdana"/>
                <w:color w:val="2f2f2f"/>
                <w:sz w:val="20"/>
                <w:szCs w:val="20"/>
                <w:rtl w:val="0"/>
              </w:rPr>
              <w:t xml:space="preserve">"</w:t>
            </w:r>
          </w:p>
        </w:tc>
      </w:tr>
    </w:tbl>
    <w:p w:rsidR="00000000" w:rsidDel="00000000" w:rsidP="00000000" w:rsidRDefault="00000000" w:rsidRPr="00000000" w14:paraId="000002D7">
      <w:pPr>
        <w:shd w:fill="ffffff" w:val="clear"/>
        <w:spacing w:after="100" w:lineRule="auto"/>
        <w:jc w:val="center"/>
        <w:rPr>
          <w:rFonts w:ascii="Verdana" w:cs="Verdana" w:eastAsia="Verdana" w:hAnsi="Verdana"/>
          <w:b w:val="1"/>
          <w:color w:val="2f2f2f"/>
          <w:sz w:val="20"/>
          <w:szCs w:val="20"/>
          <w:u w:val="single"/>
        </w:rPr>
      </w:pPr>
      <w:r w:rsidDel="00000000" w:rsidR="00000000" w:rsidRPr="00000000">
        <w:rPr>
          <w:rFonts w:ascii="Verdana" w:cs="Verdana" w:eastAsia="Verdana" w:hAnsi="Verdana"/>
          <w:b w:val="1"/>
          <w:color w:val="2f2f2f"/>
          <w:sz w:val="20"/>
          <w:szCs w:val="20"/>
          <w:u w:val="single"/>
          <w:rtl w:val="0"/>
        </w:rPr>
        <w:t xml:space="preserve">"SERIE R04 CARTERA DE CRÉDITO</w:t>
      </w:r>
    </w:p>
    <w:p w:rsidR="00000000" w:rsidDel="00000000" w:rsidP="00000000" w:rsidRDefault="00000000" w:rsidRPr="00000000" w14:paraId="000002D8">
      <w:pPr>
        <w:shd w:fill="ffffff" w:val="clear"/>
        <w:spacing w:after="100" w:lineRule="auto"/>
        <w:jc w:val="center"/>
        <w:rPr>
          <w:rFonts w:ascii="Verdana" w:cs="Verdana" w:eastAsia="Verdana" w:hAnsi="Verdana"/>
          <w:b w:val="1"/>
          <w:i w:val="1"/>
          <w:color w:val="2f2f2f"/>
          <w:sz w:val="20"/>
          <w:szCs w:val="20"/>
        </w:rPr>
      </w:pPr>
      <w:r w:rsidDel="00000000" w:rsidR="00000000" w:rsidRPr="00000000">
        <w:rPr>
          <w:rFonts w:ascii="Verdana" w:cs="Verdana" w:eastAsia="Verdana" w:hAnsi="Verdana"/>
          <w:b w:val="1"/>
          <w:i w:val="1"/>
          <w:color w:val="2f2f2f"/>
          <w:sz w:val="20"/>
          <w:szCs w:val="20"/>
          <w:rtl w:val="0"/>
        </w:rPr>
        <w:t xml:space="preserve">Cartera comercial</w:t>
      </w:r>
    </w:p>
    <w:p w:rsidR="00000000" w:rsidDel="00000000" w:rsidP="00000000" w:rsidRDefault="00000000" w:rsidRPr="00000000" w14:paraId="000002D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Esta serie se divide en tres secciones, la segunda sección se denomina </w:t>
      </w:r>
      <w:r w:rsidDel="00000000" w:rsidR="00000000" w:rsidRPr="00000000">
        <w:rPr>
          <w:rFonts w:ascii="Verdana" w:cs="Verdana" w:eastAsia="Verdana" w:hAnsi="Verdana"/>
          <w:b w:val="1"/>
          <w:i w:val="1"/>
          <w:color w:val="2f2f2f"/>
          <w:sz w:val="20"/>
          <w:szCs w:val="20"/>
          <w:rtl w:val="0"/>
        </w:rPr>
        <w:t xml:space="preserve">Cartera comercial</w:t>
      </w:r>
      <w:r w:rsidDel="00000000" w:rsidR="00000000" w:rsidRPr="00000000">
        <w:rPr>
          <w:rFonts w:ascii="Verdana" w:cs="Verdana" w:eastAsia="Verdana" w:hAnsi="Verdana"/>
          <w:color w:val="2f2f2f"/>
          <w:sz w:val="20"/>
          <w:szCs w:val="20"/>
          <w:rtl w:val="0"/>
        </w:rPr>
        <w:t xml:space="preserve"> y está integrada por </w:t>
      </w:r>
      <w:r w:rsidDel="00000000" w:rsidR="00000000" w:rsidRPr="00000000">
        <w:rPr>
          <w:rFonts w:ascii="Verdana" w:cs="Verdana" w:eastAsia="Verdana" w:hAnsi="Verdana"/>
          <w:i w:val="1"/>
          <w:color w:val="2f2f2f"/>
          <w:sz w:val="20"/>
          <w:szCs w:val="20"/>
          <w:rtl w:val="0"/>
        </w:rPr>
        <w:t xml:space="preserve">doce</w:t>
      </w:r>
      <w:r w:rsidDel="00000000" w:rsidR="00000000" w:rsidRPr="00000000">
        <w:rPr>
          <w:rFonts w:ascii="Verdana" w:cs="Verdana" w:eastAsia="Verdana" w:hAnsi="Verdana"/>
          <w:color w:val="2f2f2f"/>
          <w:sz w:val="20"/>
          <w:szCs w:val="20"/>
          <w:rtl w:val="0"/>
        </w:rPr>
        <w:t xml:space="preserve"> (12) reportes referentes a la </w:t>
      </w:r>
      <w:r w:rsidDel="00000000" w:rsidR="00000000" w:rsidRPr="00000000">
        <w:rPr>
          <w:rFonts w:ascii="Verdana" w:cs="Verdana" w:eastAsia="Verdana" w:hAnsi="Verdana"/>
          <w:b w:val="1"/>
          <w:i w:val="1"/>
          <w:color w:val="2f2f2f"/>
          <w:sz w:val="20"/>
          <w:szCs w:val="20"/>
          <w:rtl w:val="0"/>
        </w:rPr>
        <w:t xml:space="preserve">información detallada (Metodología de calificación de cartera Anexos 18 a 22)</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y un (1) reporte referente a </w:t>
      </w:r>
      <w:r w:rsidDel="00000000" w:rsidR="00000000" w:rsidRPr="00000000">
        <w:rPr>
          <w:rFonts w:ascii="Verdana" w:cs="Verdana" w:eastAsia="Verdana" w:hAnsi="Verdana"/>
          <w:i w:val="1"/>
          <w:color w:val="2f2f2f"/>
          <w:sz w:val="20"/>
          <w:szCs w:val="20"/>
          <w:rtl w:val="0"/>
        </w:rPr>
        <w:t xml:space="preserve">la </w:t>
      </w:r>
      <w:r w:rsidDel="00000000" w:rsidR="00000000" w:rsidRPr="00000000">
        <w:rPr>
          <w:rFonts w:ascii="Verdana" w:cs="Verdana" w:eastAsia="Verdana" w:hAnsi="Verdana"/>
          <w:b w:val="1"/>
          <w:i w:val="1"/>
          <w:color w:val="2f2f2f"/>
          <w:sz w:val="20"/>
          <w:szCs w:val="20"/>
          <w:rtl w:val="0"/>
        </w:rPr>
        <w:t xml:space="preserve">información detallada de garantías de segundo piso</w:t>
      </w:r>
      <w:r w:rsidDel="00000000" w:rsidR="00000000" w:rsidRPr="00000000">
        <w:rPr>
          <w:rFonts w:ascii="Verdana" w:cs="Verdana" w:eastAsia="Verdana" w:hAnsi="Verdana"/>
          <w:color w:val="2f2f2f"/>
          <w:sz w:val="20"/>
          <w:szCs w:val="20"/>
          <w:rtl w:val="0"/>
        </w:rPr>
        <w:t xml:space="preserve">, cuya frecuencia de elaboración y presentación debe ser </w:t>
      </w:r>
      <w:r w:rsidDel="00000000" w:rsidR="00000000" w:rsidRPr="00000000">
        <w:rPr>
          <w:rFonts w:ascii="Verdana" w:cs="Verdana" w:eastAsia="Verdana" w:hAnsi="Verdana"/>
          <w:b w:val="1"/>
          <w:color w:val="2f2f2f"/>
          <w:sz w:val="20"/>
          <w:szCs w:val="20"/>
          <w:u w:val="single"/>
          <w:rtl w:val="0"/>
        </w:rPr>
        <w:t xml:space="preserve">mensual</w:t>
      </w:r>
      <w:r w:rsidDel="00000000" w:rsidR="00000000" w:rsidRPr="00000000">
        <w:rPr>
          <w:rFonts w:ascii="Verdana" w:cs="Verdana" w:eastAsia="Verdana" w:hAnsi="Verdana"/>
          <w:color w:val="2f2f2f"/>
          <w:sz w:val="20"/>
          <w:szCs w:val="20"/>
          <w:rtl w:val="0"/>
        </w:rPr>
        <w:t xml:space="preserve"> para los reportes C-0430, C-0431, C-0432, C-0433, C-0434, C-0435, C-0436, C-0437, C-0438, C-0439, C-0440, C-0447 y </w:t>
      </w:r>
      <w:r w:rsidDel="00000000" w:rsidR="00000000" w:rsidRPr="00000000">
        <w:rPr>
          <w:rFonts w:ascii="Verdana" w:cs="Verdana" w:eastAsia="Verdana" w:hAnsi="Verdana"/>
          <w:b w:val="1"/>
          <w:color w:val="2f2f2f"/>
          <w:sz w:val="20"/>
          <w:szCs w:val="20"/>
          <w:u w:val="single"/>
          <w:rtl w:val="0"/>
        </w:rPr>
        <w:t xml:space="preserve">trimestral</w:t>
      </w:r>
      <w:r w:rsidDel="00000000" w:rsidR="00000000" w:rsidRPr="00000000">
        <w:rPr>
          <w:rFonts w:ascii="Verdana" w:cs="Verdana" w:eastAsia="Verdana" w:hAnsi="Verdana"/>
          <w:color w:val="2f2f2f"/>
          <w:sz w:val="20"/>
          <w:szCs w:val="20"/>
          <w:rtl w:val="0"/>
        </w:rPr>
        <w:t xml:space="preserve"> para el reporte C-0441.</w:t>
      </w:r>
    </w:p>
    <w:p w:rsidR="00000000" w:rsidDel="00000000" w:rsidP="00000000" w:rsidRDefault="00000000" w:rsidRPr="00000000" w14:paraId="000002D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2D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REPORTES</w:t>
      </w:r>
    </w:p>
    <w:tbl>
      <w:tblPr>
        <w:tblStyle w:val="Table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1.3025096000933"/>
        <w:gridCol w:w="7484.20930142353"/>
        <w:tblGridChange w:id="0">
          <w:tblGrid>
            <w:gridCol w:w="1541.3025096000933"/>
            <w:gridCol w:w="7484.20930142353"/>
          </w:tblGrid>
        </w:tblGridChange>
      </w:tblGrid>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DC">
            <w:pPr>
              <w:shd w:fill="ffffff" w:val="clear"/>
              <w:spacing w:after="100" w:lineRule="auto"/>
              <w:ind w:left="28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C-0430</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DD">
            <w:pPr>
              <w:shd w:fill="ffffff" w:val="clea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DE">
            <w:pPr>
              <w:shd w:fill="ffffff" w:val="clear"/>
              <w:spacing w:after="100" w:lineRule="auto"/>
              <w:ind w:left="28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C-0431</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DF">
            <w:pPr>
              <w:shd w:fill="ffffff" w:val="clea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E0">
            <w:pPr>
              <w:shd w:fill="ffffff" w:val="clear"/>
              <w:spacing w:after="100" w:lineRule="auto"/>
              <w:ind w:left="28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C-0432</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E1">
            <w:pPr>
              <w:shd w:fill="ffffff" w:val="clea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E2">
            <w:pPr>
              <w:shd w:fill="ffffff" w:val="clear"/>
              <w:spacing w:after="100" w:lineRule="auto"/>
              <w:ind w:left="28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C-0433</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E3">
            <w:pPr>
              <w:shd w:fill="ffffff" w:val="clea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E4">
            <w:pPr>
              <w:shd w:fill="ffffff" w:val="clear"/>
              <w:spacing w:after="100" w:lineRule="auto"/>
              <w:ind w:left="28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C-0434</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E5">
            <w:pPr>
              <w:shd w:fill="ffffff" w:val="clea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E6">
            <w:pPr>
              <w:shd w:fill="ffffff" w:val="clear"/>
              <w:spacing w:after="100" w:lineRule="auto"/>
              <w:ind w:left="28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C-0435</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E7">
            <w:pPr>
              <w:shd w:fill="ffffff" w:val="clea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E8">
            <w:pPr>
              <w:shd w:fill="ffffff" w:val="clear"/>
              <w:spacing w:after="100" w:lineRule="auto"/>
              <w:ind w:left="28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C-0436</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E9">
            <w:pPr>
              <w:shd w:fill="ffffff" w:val="clea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EA">
            <w:pPr>
              <w:shd w:fill="ffffff" w:val="clear"/>
              <w:spacing w:after="100" w:lineRule="auto"/>
              <w:ind w:left="28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C-0437</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EB">
            <w:pPr>
              <w:shd w:fill="ffffff" w:val="clea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EC">
            <w:pPr>
              <w:shd w:fill="ffffff" w:val="clear"/>
              <w:spacing w:after="100" w:lineRule="auto"/>
              <w:ind w:left="28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C-0438</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ED">
            <w:pPr>
              <w:shd w:fill="ffffff" w:val="clea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EE">
            <w:pPr>
              <w:shd w:fill="ffffff" w:val="clear"/>
              <w:spacing w:after="100" w:lineRule="auto"/>
              <w:ind w:left="28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C-0439</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EF">
            <w:pPr>
              <w:shd w:fill="ffffff" w:val="clea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F0">
            <w:pPr>
              <w:shd w:fill="ffffff" w:val="clear"/>
              <w:spacing w:after="100" w:lineRule="auto"/>
              <w:ind w:left="28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C-0440</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F1">
            <w:pPr>
              <w:shd w:fill="ffffff" w:val="clea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F2">
            <w:pPr>
              <w:shd w:fill="ffffff" w:val="clear"/>
              <w:spacing w:after="100" w:lineRule="auto"/>
              <w:ind w:left="28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C-0441</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F3">
            <w:pPr>
              <w:shd w:fill="ffffff" w:val="clea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Datos de acreditados de créditos comerciales a cargo de entidades financieras y personas morales</w:t>
            </w:r>
          </w:p>
          <w:p w:rsidR="00000000" w:rsidDel="00000000" w:rsidP="00000000" w:rsidRDefault="00000000" w:rsidRPr="00000000" w14:paraId="000002F4">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Este reporte tiene como finalidad proporcionar información adicional de los acreditados correspondientes a entidades financieras y personas morales, relativas a la tenencia accionaria, el consejo de administración y la alta dirección distinguiendo por sexo.</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F5">
            <w:pPr>
              <w:shd w:fill="ffffff" w:val="clear"/>
              <w:spacing w:after="100" w:lineRule="auto"/>
              <w:ind w:left="28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C-0447</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F6">
            <w:pPr>
              <w:shd w:fill="ffffff" w:val="clea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tc>
      </w:tr>
    </w:tbl>
    <w:p w:rsidR="00000000" w:rsidDel="00000000" w:rsidP="00000000" w:rsidRDefault="00000000" w:rsidRPr="00000000" w14:paraId="000002F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2F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FORMATO DE CAPTURA</w:t>
      </w:r>
    </w:p>
    <w:p w:rsidR="00000000" w:rsidDel="00000000" w:rsidP="00000000" w:rsidRDefault="00000000" w:rsidRPr="00000000" w14:paraId="000002F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2FA">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[Tabla]</w:t>
      </w:r>
    </w:p>
    <w:p w:rsidR="00000000" w:rsidDel="00000000" w:rsidP="00000000" w:rsidRDefault="00000000" w:rsidRPr="00000000" w14:paraId="000002F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2FC">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[Tabla]</w:t>
      </w:r>
    </w:p>
    <w:p w:rsidR="00000000" w:rsidDel="00000000" w:rsidP="00000000" w:rsidRDefault="00000000" w:rsidRPr="00000000" w14:paraId="000002F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2FE">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[Tabla]</w:t>
      </w:r>
    </w:p>
    <w:p w:rsidR="00000000" w:rsidDel="00000000" w:rsidP="00000000" w:rsidRDefault="00000000" w:rsidRPr="00000000" w14:paraId="000002F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300">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[Tabla]</w:t>
      </w:r>
    </w:p>
    <w:p w:rsidR="00000000" w:rsidDel="00000000" w:rsidP="00000000" w:rsidRDefault="00000000" w:rsidRPr="00000000" w14:paraId="0000030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302">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[Tabla]</w:t>
      </w:r>
    </w:p>
    <w:p w:rsidR="00000000" w:rsidDel="00000000" w:rsidP="00000000" w:rsidRDefault="00000000" w:rsidRPr="00000000" w14:paraId="0000030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304">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[Tabla]</w:t>
      </w:r>
    </w:p>
    <w:p w:rsidR="00000000" w:rsidDel="00000000" w:rsidP="00000000" w:rsidRDefault="00000000" w:rsidRPr="00000000" w14:paraId="0000030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306">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[Tabla]</w:t>
      </w:r>
    </w:p>
    <w:p w:rsidR="00000000" w:rsidDel="00000000" w:rsidP="00000000" w:rsidRDefault="00000000" w:rsidRPr="00000000" w14:paraId="0000030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308">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[Tabla]</w:t>
      </w:r>
    </w:p>
    <w:p w:rsidR="00000000" w:rsidDel="00000000" w:rsidP="00000000" w:rsidRDefault="00000000" w:rsidRPr="00000000" w14:paraId="0000030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30A">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[Tabla]</w:t>
      </w:r>
    </w:p>
    <w:p w:rsidR="00000000" w:rsidDel="00000000" w:rsidP="00000000" w:rsidRDefault="00000000" w:rsidRPr="00000000" w14:paraId="0000030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30C">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[Tabla]</w:t>
      </w:r>
    </w:p>
    <w:p w:rsidR="00000000" w:rsidDel="00000000" w:rsidP="00000000" w:rsidRDefault="00000000" w:rsidRPr="00000000" w14:paraId="0000030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30E">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[Tabla]</w:t>
      </w:r>
    </w:p>
    <w:p w:rsidR="00000000" w:rsidDel="00000000" w:rsidP="00000000" w:rsidRDefault="00000000" w:rsidRPr="00000000" w14:paraId="000003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Instituciones llevarán a cabo el envío de la información relacionada con el reporte "C-0441 Datos de acreditados de créditos comerciales a cargo de entidades financieras y personas morales" descrito anteriormente, mediante la utilización del siguiente formato de captura:</w:t>
      </w:r>
    </w:p>
    <w:tbl>
      <w:tblPr>
        <w:tblStyle w:val="Table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0.161624533776"/>
        <w:gridCol w:w="6175.350186489848"/>
        <w:tblGridChange w:id="0">
          <w:tblGrid>
            <w:gridCol w:w="2850.161624533776"/>
            <w:gridCol w:w="6175.350186489848"/>
          </w:tblGrid>
        </w:tblGridChange>
      </w:tblGrid>
      <w:tr>
        <w:trPr>
          <w:cantSplit w:val="0"/>
          <w:trHeight w:val="315" w:hRule="atLeast"/>
          <w:tblHeader w:val="0"/>
        </w:trPr>
        <w:tc>
          <w:tcPr>
            <w:gridSpan w:val="2"/>
            <w:tcBorders>
              <w:top w:color="000000" w:space="0" w:sz="6" w:val="single"/>
              <w:left w:color="000000" w:space="0" w:sz="6" w:val="single"/>
              <w:bottom w:color="000000" w:space="0" w:sz="6" w:val="single"/>
              <w:right w:color="000000" w:space="0" w:sz="6" w:val="single"/>
            </w:tcBorders>
            <w:shd w:fill="d9d9d9" w:val="clear"/>
            <w:tcMar>
              <w:top w:w="0.0" w:type="dxa"/>
              <w:left w:w="80.0" w:type="dxa"/>
              <w:bottom w:w="0.0" w:type="dxa"/>
              <w:right w:w="80.0" w:type="dxa"/>
            </w:tcMar>
            <w:vAlign w:val="center"/>
          </w:tcPr>
          <w:p w:rsidR="00000000" w:rsidDel="00000000" w:rsidP="00000000" w:rsidRDefault="00000000" w:rsidRPr="00000000" w14:paraId="00000310">
            <w:pPr>
              <w:shd w:fill="ffffff" w:val="clea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INFORMACIÓN SOLICITADA</w:t>
            </w:r>
          </w:p>
        </w:tc>
      </w:tr>
      <w:tr>
        <w:trPr>
          <w:cantSplit w:val="0"/>
          <w:trHeight w:val="285"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12">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SECCIÓN IDENTIFICADOR DEL</w:t>
            </w:r>
          </w:p>
          <w:p w:rsidR="00000000" w:rsidDel="00000000" w:rsidP="00000000" w:rsidRDefault="00000000" w:rsidRPr="00000000" w14:paraId="00000313">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REPORTE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14">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PERIODO</w:t>
            </w:r>
          </w:p>
        </w:tc>
      </w:tr>
      <w:tr>
        <w:trPr>
          <w:cantSplit w:val="0"/>
          <w:trHeight w:val="28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15">
            <w:pPr>
              <w:shd w:fill="ffffff" w:val="clear"/>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16">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CLAVE DE LA INSTITUCIÓN</w:t>
            </w:r>
          </w:p>
        </w:tc>
      </w:tr>
      <w:tr>
        <w:trPr>
          <w:cantSplit w:val="0"/>
          <w:trHeight w:val="28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17">
            <w:pPr>
              <w:shd w:fill="ffffff" w:val="clear"/>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18">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REPORTE</w:t>
            </w:r>
          </w:p>
        </w:tc>
      </w:tr>
      <w:tr>
        <w:trPr>
          <w:cantSplit w:val="0"/>
          <w:trHeight w:val="285"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19">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SECCIÓN IDENTIFICADOR DEL</w:t>
            </w:r>
          </w:p>
          <w:p w:rsidR="00000000" w:rsidDel="00000000" w:rsidP="00000000" w:rsidRDefault="00000000" w:rsidRPr="00000000" w14:paraId="0000031A">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ACREDITADO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1B">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IDENTIFICADOR DEL ACREDITADO ASIGNADO POR LA INSTITUCIÓN</w:t>
            </w:r>
          </w:p>
        </w:tc>
      </w:tr>
      <w:tr>
        <w:trPr>
          <w:cantSplit w:val="0"/>
          <w:trHeight w:val="28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1C">
            <w:pPr>
              <w:shd w:fill="ffffff" w:val="clear"/>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1D">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NOMBRE DEL ACREDITADO</w:t>
            </w:r>
          </w:p>
        </w:tc>
      </w:tr>
      <w:tr>
        <w:trPr>
          <w:cantSplit w:val="0"/>
          <w:trHeight w:val="28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1E">
            <w:pPr>
              <w:shd w:fill="ffffff" w:val="clear"/>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1F">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RFC DEL ACREDITADO</w:t>
            </w:r>
          </w:p>
        </w:tc>
      </w:tr>
      <w:tr>
        <w:trPr>
          <w:cantSplit w:val="0"/>
          <w:trHeight w:val="28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0">
            <w:pPr>
              <w:shd w:fill="ffffff" w:val="clear"/>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21">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TIPO DE ACREDITADO</w:t>
            </w:r>
          </w:p>
        </w:tc>
      </w:tr>
      <w:tr>
        <w:trPr>
          <w:cantSplit w:val="0"/>
          <w:trHeight w:val="285"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22">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SECCIÓN PROPIEDAD Y</w:t>
            </w:r>
          </w:p>
          <w:p w:rsidR="00000000" w:rsidDel="00000000" w:rsidP="00000000" w:rsidRDefault="00000000" w:rsidRPr="00000000" w14:paraId="00000323">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DIRECCIÓN DE LA EMPRESA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24">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PORCENTAJE DE PARTICIPACIÓN ACCIONARIA DE MUJERES</w:t>
            </w:r>
          </w:p>
        </w:tc>
      </w:tr>
      <w:tr>
        <w:trPr>
          <w:cantSplit w:val="0"/>
          <w:trHeight w:val="28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5">
            <w:pPr>
              <w:shd w:fill="ffffff" w:val="clear"/>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26">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TIENE CONSEJO DE ADMINISTRACIÓN O EQUIVALENTE</w:t>
            </w:r>
          </w:p>
        </w:tc>
      </w:tr>
      <w:tr>
        <w:trPr>
          <w:cantSplit w:val="0"/>
          <w:trHeight w:val="46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7">
            <w:pPr>
              <w:shd w:fill="ffffff" w:val="clear"/>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28">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NÚMERO TOTAL DE INTEGRANTES DEL CONSEJO DE ADMINISTRACIÓN O EQUIVALENTE</w:t>
            </w:r>
          </w:p>
        </w:tc>
      </w:tr>
      <w:tr>
        <w:trPr>
          <w:cantSplit w:val="0"/>
          <w:trHeight w:val="46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9">
            <w:pPr>
              <w:shd w:fill="ffffff" w:val="clear"/>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2A">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NÚMERO DE INTEGRANTES MUJERES EN EL CONSEJO DE ADMINISTRACIÓN O EQUIVALENTE</w:t>
            </w:r>
          </w:p>
        </w:tc>
      </w:tr>
      <w:tr>
        <w:trPr>
          <w:cantSplit w:val="0"/>
          <w:trHeight w:val="28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B">
            <w:pPr>
              <w:shd w:fill="ffffff" w:val="clear"/>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2C">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SEXO DEL PRESIDENTE DEL CONSEJO DE ADMINISTRACIÓN O EQUIVALENTE</w:t>
            </w:r>
          </w:p>
        </w:tc>
      </w:tr>
      <w:tr>
        <w:trPr>
          <w:cantSplit w:val="0"/>
          <w:trHeight w:val="28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D">
            <w:pPr>
              <w:shd w:fill="ffffff" w:val="clear"/>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2E">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NÚMERO DE PERSONAL CONTRATADO CONSIDERADO DE ALTA DIRECCIÓN</w:t>
            </w:r>
          </w:p>
        </w:tc>
      </w:tr>
      <w:tr>
        <w:trPr>
          <w:cantSplit w:val="0"/>
          <w:trHeight w:val="28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F">
            <w:pPr>
              <w:shd w:fill="ffffff" w:val="clear"/>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30">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NÚMERO DE MUJERES CONTRATADAS CONSIDERADAS DE ALTA DIRECCIÓN</w:t>
            </w:r>
          </w:p>
        </w:tc>
      </w:tr>
      <w:tr>
        <w:trPr>
          <w:cantSplit w:val="0"/>
          <w:trHeight w:val="28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31">
            <w:pPr>
              <w:shd w:fill="ffffff" w:val="clear"/>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32">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SEXO DEL DIRECTOR GENERAL</w:t>
            </w:r>
          </w:p>
        </w:tc>
      </w:tr>
      <w:tr>
        <w:trPr>
          <w:cantSplit w:val="0"/>
          <w:trHeight w:val="46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33">
            <w:pPr>
              <w:shd w:fill="ffffff" w:val="clear"/>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34">
            <w:pPr>
              <w:shd w:fill="ffffff" w:val="clea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DIRECTOR GENERAL Y PRESIDENTE DEL CONSEJO DE ADMINISTRACIÓN SON LA MISMA PERSONA</w:t>
            </w:r>
          </w:p>
        </w:tc>
      </w:tr>
    </w:tbl>
    <w:p w:rsidR="00000000" w:rsidDel="00000000" w:rsidP="00000000" w:rsidRDefault="00000000" w:rsidRPr="00000000" w14:paraId="0000033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336">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[Tabla]</w:t>
      </w:r>
    </w:p>
    <w:p w:rsidR="00000000" w:rsidDel="00000000" w:rsidP="00000000" w:rsidRDefault="00000000" w:rsidRPr="00000000" w14:paraId="0000033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Instituciones reportarán la información que se indica en la presente serie, la cual deberá cumplir con las validaciones y estándares de calidad que indique la Comisión, ajustándose a las características y especificaciones que para efectos de llenado y envío de información se presentan en los instructivos de llenado, los cuales se publican y actualizan en el SITI o en el que, en su caso, dé a conocer la Comisión. Una vez superadas las validaciones y estándares de calidad, el SITI generará un acuse de recibo electrónico.</w:t>
      </w:r>
    </w:p>
    <w:p w:rsidR="00000000" w:rsidDel="00000000" w:rsidP="00000000" w:rsidRDefault="00000000" w:rsidRPr="00000000" w14:paraId="0000033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 . .</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33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33A">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La presente Resolución entrará en vigor a partir del 1 de julio de 2024 y las Instituciones deberán realizar la primera entrega de información del reporte regulatorio "C-0441 Datos de acreditados de cré</w:t>
      </w:r>
      <w:r w:rsidDel="00000000" w:rsidR="00000000" w:rsidRPr="00000000">
        <w:rPr>
          <w:rFonts w:ascii="Verdana" w:cs="Verdana" w:eastAsia="Verdana" w:hAnsi="Verdana"/>
          <w:sz w:val="20"/>
          <w:szCs w:val="20"/>
          <w:rtl w:val="0"/>
        </w:rPr>
        <w:t xml:space="preserve">ditos comerciales a cargo de entidades financieras y personas morales" con información del tercer trimestre de ese mismo año, salvo por lo previsto en el siguiente artículo transitorio.</w:t>
      </w:r>
    </w:p>
    <w:p w:rsidR="00000000" w:rsidDel="00000000" w:rsidP="00000000" w:rsidRDefault="00000000" w:rsidRPr="00000000" w14:paraId="0000033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SEGUNDO.-</w:t>
      </w:r>
      <w:r w:rsidDel="00000000" w:rsidR="00000000" w:rsidRPr="00000000">
        <w:rPr>
          <w:rFonts w:ascii="Verdana" w:cs="Verdana" w:eastAsia="Verdana" w:hAnsi="Verdana"/>
          <w:sz w:val="20"/>
          <w:szCs w:val="20"/>
          <w:rtl w:val="0"/>
        </w:rPr>
        <w:t xml:space="preserve"> La presente Resolución será aplicable a los préstamos o créditos celebrados a partir de la entrada en vigor de este instrumento, así como a aquellos préstamos o créditos celebrados con anterioridad a la entrada en vigor, que lleven a cabo reestructuras o renovaciones celebradas con posterioridad a la entrada en vigor de este instrumento.</w:t>
      </w:r>
    </w:p>
    <w:p w:rsidR="00000000" w:rsidDel="00000000" w:rsidP="00000000" w:rsidRDefault="00000000" w:rsidRPr="00000000" w14:paraId="0000033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33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19 de septiembre de 2023.- Presidente de la Comisión Nacional Bancaria y de Valores, Dr. </w:t>
      </w:r>
      <w:r w:rsidDel="00000000" w:rsidR="00000000" w:rsidRPr="00000000">
        <w:rPr>
          <w:rFonts w:ascii="Verdana" w:cs="Verdana" w:eastAsia="Verdana" w:hAnsi="Verdana"/>
          <w:b w:val="1"/>
          <w:color w:val="2f2f2f"/>
          <w:sz w:val="20"/>
          <w:szCs w:val="20"/>
          <w:rtl w:val="0"/>
        </w:rPr>
        <w:t xml:space="preserve">Jesús de la Fuente Rodríguez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33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33F">
      <w:pPr>
        <w:shd w:fill="ffffff" w:val="clear"/>
        <w:jc w:val="both"/>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340">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