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5 al Convenio de Colaboración Administrativa en Materia Fiscal Federal, celebrado entre la Secretaría de Hacienda y Crédito Público y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5 AL CONVENIO DE COLABORACIÓN ADMINISTRATIVA EN MATERIA FISCAL FEDERAL, CELEBRADO ENTRE EL GOBIERNO FEDERAL, POR CONDUCTO DE LA SECRETARÍA DE HACIENDA Y CRÉDITO PÚBLICO, Y EL GOBIERNO DE LA CIUDAD DE MÉXICO.</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 la </w:t>
      </w:r>
      <w:r w:rsidDel="00000000" w:rsidR="00000000" w:rsidRPr="00000000">
        <w:rPr>
          <w:rFonts w:ascii="Verdana" w:cs="Verdana" w:eastAsia="Verdana" w:hAnsi="Verdana"/>
          <w:b w:val="1"/>
          <w:color w:val="2f2f2f"/>
          <w:sz w:val="20"/>
          <w:szCs w:val="20"/>
          <w:rtl w:val="0"/>
        </w:rPr>
        <w:t xml:space="preserve">Ciudad de México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5 al Convenio de Colaboración Administrativa en Materia Fiscal Federal que tienen celebrado, publicado en el Diario Oficial de la Federación el 15 de abril de 2014 y</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5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5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5 al Convenio de Colaboración Administrativa en Materia Fiscal Federal,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w:t>
      </w:r>
      <w:r w:rsidDel="00000000" w:rsidR="00000000" w:rsidRPr="00000000">
        <w:rPr>
          <w:rFonts w:ascii="Verdana" w:cs="Verdana" w:eastAsia="Verdana" w:hAnsi="Verdana"/>
          <w:color w:val="2f2f2f"/>
          <w:sz w:val="20"/>
          <w:szCs w:val="20"/>
          <w:vertAlign w:val="subscript"/>
          <w:rtl w:val="0"/>
        </w:rPr>
        <w:t xml:space="preserve"> </w:t>
      </w:r>
      <w:r w:rsidDel="00000000" w:rsidR="00000000" w:rsidRPr="00000000">
        <w:rPr>
          <w:rFonts w:ascii="Verdana" w:cs="Verdana" w:eastAsia="Verdana" w:hAnsi="Verdana"/>
          <w:color w:val="2f2f2f"/>
          <w:sz w:val="20"/>
          <w:szCs w:val="20"/>
          <w:rtl w:val="0"/>
        </w:rPr>
        <w:t xml:space="preserve">se mantiene fija en el tiempo, en función del porcentaje que cada Entidad obtuvo durante el ejercicio 2014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5 al Convenio de Colaboración Administrativa en Materia Fiscal Federal, celebrado por el Gobierno Federal, por conducto de la Secretaría de Hacienda y Crédito Público, y el Gobierno del Distrito Federal, actualmente Ciudad de México,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artículos 122, Apartado A. fracción III de la Constitución Política de los Estados Unidos Mexicanos; 1, 21, inciso B, numeral 1, 32, inciso A numeral 1 y 33, numeral 1 de la Constitución Política de la Ciudad de México; 7 y 23 de la Ley Orgánica del Poder Ejecutivo y de la Administración Pública de la Ciudad de México, 1, 3, fracción I, 7, fracción II, inciso B y 28 del Reglamento Interior del Poder Ejecutivo y de la Administración Pública de la Ciudad de México,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ambas partes</w:t>
      </w:r>
    </w:p>
    <w:p w:rsidR="00000000" w:rsidDel="00000000" w:rsidP="00000000" w:rsidRDefault="00000000" w:rsidRPr="00000000" w14:paraId="0000000E">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5 al Convenio de Colaboración Administrativa en Materia Fiscal Federal, celebrado por el Gobierno Federal, por conducto de la Secretaría de Hacienda y Crédito Público, y el Gobierno del Distrito Federal, actualmente Ciudad de México para quedar de la siguiente manera:</w:t>
      </w:r>
    </w:p>
    <w:p w:rsidR="00000000" w:rsidDel="00000000" w:rsidP="00000000" w:rsidRDefault="00000000" w:rsidRPr="00000000" w14:paraId="00000011">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5">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A">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E">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1">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8">
      <w:pPr>
        <w:shd w:fill="ffffff" w:val="clear"/>
        <w:spacing w:after="4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9">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a</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5 al Convenio de Colaboración Administrativa en Materia Fiscal Federal a que se refiere el presente Acuerdo.</w:t>
      </w:r>
    </w:p>
    <w:p w:rsidR="00000000" w:rsidDel="00000000" w:rsidP="00000000" w:rsidRDefault="00000000" w:rsidRPr="00000000" w14:paraId="0000002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17 de marzo del 2020.- Por el Gobierno de la Ciudad de México: la Jefa de Gobierno, </w:t>
      </w:r>
      <w:r w:rsidDel="00000000" w:rsidR="00000000" w:rsidRPr="00000000">
        <w:rPr>
          <w:rFonts w:ascii="Verdana" w:cs="Verdana" w:eastAsia="Verdana" w:hAnsi="Verdana"/>
          <w:b w:val="1"/>
          <w:color w:val="2f2f2f"/>
          <w:sz w:val="20"/>
          <w:szCs w:val="20"/>
          <w:rtl w:val="0"/>
        </w:rPr>
        <w:t xml:space="preserve">Claudia Sheinbaum Pardo</w:t>
      </w:r>
      <w:r w:rsidDel="00000000" w:rsidR="00000000" w:rsidRPr="00000000">
        <w:rPr>
          <w:rFonts w:ascii="Verdana" w:cs="Verdana" w:eastAsia="Verdana" w:hAnsi="Verdana"/>
          <w:color w:val="2f2f2f"/>
          <w:sz w:val="20"/>
          <w:szCs w:val="20"/>
          <w:rtl w:val="0"/>
        </w:rPr>
        <w:t xml:space="preserve">.- Rúbrica.- La Secretaria de Gobierno, </w:t>
      </w:r>
      <w:r w:rsidDel="00000000" w:rsidR="00000000" w:rsidRPr="00000000">
        <w:rPr>
          <w:rFonts w:ascii="Verdana" w:cs="Verdana" w:eastAsia="Verdana" w:hAnsi="Verdana"/>
          <w:b w:val="1"/>
          <w:color w:val="2f2f2f"/>
          <w:sz w:val="20"/>
          <w:szCs w:val="20"/>
          <w:rtl w:val="0"/>
        </w:rPr>
        <w:t xml:space="preserve">Rosa Icela Rodríguez Velázquez</w:t>
      </w:r>
      <w:r w:rsidDel="00000000" w:rsidR="00000000" w:rsidRPr="00000000">
        <w:rPr>
          <w:rFonts w:ascii="Verdana" w:cs="Verdana" w:eastAsia="Verdana" w:hAnsi="Verdana"/>
          <w:color w:val="2f2f2f"/>
          <w:sz w:val="20"/>
          <w:szCs w:val="20"/>
          <w:rtl w:val="0"/>
        </w:rPr>
        <w:t xml:space="preserve">.- Rúbrica.- La Secretaria de Administración y Finanzas, </w:t>
      </w:r>
      <w:r w:rsidDel="00000000" w:rsidR="00000000" w:rsidRPr="00000000">
        <w:rPr>
          <w:rFonts w:ascii="Verdana" w:cs="Verdana" w:eastAsia="Verdana" w:hAnsi="Verdana"/>
          <w:b w:val="1"/>
          <w:color w:val="2f2f2f"/>
          <w:sz w:val="20"/>
          <w:szCs w:val="20"/>
          <w:rtl w:val="0"/>
        </w:rPr>
        <w:t xml:space="preserve">Luz Elena González Escobar</w:t>
      </w:r>
      <w:r w:rsidDel="00000000" w:rsidR="00000000" w:rsidRPr="00000000">
        <w:rPr>
          <w:rFonts w:ascii="Verdana" w:cs="Verdana" w:eastAsia="Verdana" w:hAnsi="Verdana"/>
          <w:color w:val="2f2f2f"/>
          <w:sz w:val="20"/>
          <w:szCs w:val="20"/>
          <w:rtl w:val="0"/>
        </w:rPr>
        <w:t xml:space="preserve">.- Rúbrica.- Por la</w:t>
      </w:r>
    </w:p>
    <w:p w:rsidR="00000000" w:rsidDel="00000000" w:rsidP="00000000" w:rsidRDefault="00000000" w:rsidRPr="00000000" w14:paraId="0000002D">
      <w:pPr>
        <w:shd w:fill="ffffff" w:val="clea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