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5A" w:rsidRDefault="0022555A" w:rsidP="0022555A">
      <w:pPr>
        <w:jc w:val="center"/>
        <w:rPr>
          <w:rFonts w:ascii="Verdana" w:hAnsi="Verdana"/>
          <w:b/>
          <w:bCs/>
          <w:color w:val="0070C0"/>
          <w:sz w:val="24"/>
        </w:rPr>
      </w:pPr>
      <w:r w:rsidRPr="0022555A">
        <w:rPr>
          <w:rFonts w:ascii="Verdana" w:hAnsi="Verdana"/>
          <w:b/>
          <w:bCs/>
          <w:color w:val="0070C0"/>
          <w:sz w:val="24"/>
        </w:rPr>
        <w:t>Acuerdo por el que se adscriben orgánicamente las Unidades Administrativas de la Secretaría</w:t>
      </w:r>
      <w:r>
        <w:rPr>
          <w:rFonts w:ascii="Verdana" w:hAnsi="Verdana"/>
          <w:b/>
          <w:bCs/>
          <w:color w:val="0070C0"/>
          <w:sz w:val="24"/>
        </w:rPr>
        <w:t xml:space="preserve"> del Trabajo y Previsión Social</w:t>
      </w:r>
    </w:p>
    <w:p w:rsidR="0022555A" w:rsidRDefault="0022555A" w:rsidP="0022555A">
      <w:pPr>
        <w:jc w:val="center"/>
        <w:rPr>
          <w:rFonts w:ascii="Verdana" w:hAnsi="Verdana"/>
          <w:b/>
          <w:bCs/>
          <w:color w:val="0070C0"/>
          <w:sz w:val="24"/>
        </w:rPr>
      </w:pPr>
      <w:r>
        <w:rPr>
          <w:rFonts w:ascii="Verdana" w:hAnsi="Verdana"/>
          <w:b/>
          <w:bCs/>
          <w:color w:val="0070C0"/>
          <w:sz w:val="24"/>
        </w:rPr>
        <w:t>(DOF del 19 de septiembre de 2019)</w:t>
      </w:r>
    </w:p>
    <w:p w:rsidR="0022555A" w:rsidRPr="0022555A" w:rsidRDefault="0022555A" w:rsidP="0022555A">
      <w:pPr>
        <w:jc w:val="both"/>
        <w:rPr>
          <w:rFonts w:ascii="Verdana" w:hAnsi="Verdana"/>
          <w:b/>
          <w:bCs/>
          <w:sz w:val="20"/>
        </w:rPr>
      </w:pPr>
      <w:r w:rsidRPr="0022555A">
        <w:rPr>
          <w:rFonts w:ascii="Verdana" w:hAnsi="Verdana"/>
          <w:b/>
          <w:bCs/>
          <w:sz w:val="20"/>
        </w:rPr>
        <w:t>Al margen un sello con el Escudo Nacional, que dice: Estados Unidos Mexicanos.- Secretaría del Trabajo y Previsión Social.</w:t>
      </w:r>
    </w:p>
    <w:p w:rsidR="0022555A" w:rsidRPr="0022555A" w:rsidRDefault="0022555A" w:rsidP="0022555A">
      <w:pPr>
        <w:jc w:val="both"/>
        <w:rPr>
          <w:rFonts w:ascii="Verdana" w:hAnsi="Verdana"/>
          <w:bCs/>
          <w:sz w:val="20"/>
        </w:rPr>
      </w:pPr>
      <w:r w:rsidRPr="0022555A">
        <w:rPr>
          <w:rFonts w:ascii="Verdana" w:hAnsi="Verdana"/>
          <w:bCs/>
          <w:sz w:val="20"/>
        </w:rPr>
        <w:t>LUISA MARÍA ALCALDE LUJÁN, Secretaria del Trabajo y Previsión Social, con fundamento en los artículos 16 y 40 de la Ley Orgánica de Administración Pública Federal, y 5 fracción VIII del Reglamento Interior de la Secretaría del Trabajo y Previsión Social, y</w:t>
      </w:r>
    </w:p>
    <w:p w:rsidR="0022555A" w:rsidRPr="0022555A" w:rsidRDefault="0022555A" w:rsidP="0022555A">
      <w:pPr>
        <w:jc w:val="both"/>
        <w:rPr>
          <w:rFonts w:ascii="Verdana" w:hAnsi="Verdana"/>
          <w:b/>
          <w:bCs/>
          <w:sz w:val="20"/>
        </w:rPr>
      </w:pPr>
      <w:r w:rsidRPr="0022555A">
        <w:rPr>
          <w:rFonts w:ascii="Verdana" w:hAnsi="Verdana"/>
          <w:b/>
          <w:bCs/>
          <w:sz w:val="20"/>
        </w:rPr>
        <w:t>CONSIDERANDO</w:t>
      </w:r>
    </w:p>
    <w:p w:rsidR="0022555A" w:rsidRPr="0022555A" w:rsidRDefault="0022555A" w:rsidP="0022555A">
      <w:pPr>
        <w:jc w:val="both"/>
        <w:rPr>
          <w:rFonts w:ascii="Verdana" w:hAnsi="Verdana"/>
          <w:bCs/>
          <w:sz w:val="20"/>
        </w:rPr>
      </w:pPr>
      <w:r w:rsidRPr="0022555A">
        <w:rPr>
          <w:rFonts w:ascii="Verdana" w:hAnsi="Verdana"/>
          <w:bCs/>
          <w:sz w:val="20"/>
        </w:rPr>
        <w:t>Que el Ejecutivo Federal expidió el Reglamento Interior de la Secretaría del Trabajo y Previsión Social, mismo que fue publicado en el Diario Oficial de la Federación el 23 de agosto de 2019, mediante el cual se reestructuró la dependencia;</w:t>
      </w:r>
    </w:p>
    <w:p w:rsidR="0022555A" w:rsidRPr="0022555A" w:rsidRDefault="0022555A" w:rsidP="0022555A">
      <w:pPr>
        <w:jc w:val="both"/>
        <w:rPr>
          <w:rFonts w:ascii="Verdana" w:hAnsi="Verdana"/>
          <w:bCs/>
          <w:sz w:val="20"/>
        </w:rPr>
      </w:pPr>
      <w:r w:rsidRPr="0022555A">
        <w:rPr>
          <w:rFonts w:ascii="Verdana" w:hAnsi="Verdana"/>
          <w:bCs/>
          <w:sz w:val="20"/>
        </w:rPr>
        <w:t>Que la Ley Orgánica de la Administración Pública Federal dispone, en el artículo 16, que los titulares de las Secretarías de Estado podrán adscribir orgánicamente las unidades administrativas establecidas en el Reglamento Interior respectivo, en cuyo caso el acuerdo correspondiente deberá publicarse en el Diario Oficial de la Federación, y</w:t>
      </w:r>
    </w:p>
    <w:p w:rsidR="0022555A" w:rsidRPr="0022555A" w:rsidRDefault="0022555A" w:rsidP="0022555A">
      <w:pPr>
        <w:jc w:val="both"/>
        <w:rPr>
          <w:rFonts w:ascii="Verdana" w:hAnsi="Verdana"/>
          <w:bCs/>
          <w:sz w:val="20"/>
        </w:rPr>
      </w:pPr>
      <w:r w:rsidRPr="0022555A">
        <w:rPr>
          <w:rFonts w:ascii="Verdana" w:hAnsi="Verdana"/>
          <w:bCs/>
          <w:sz w:val="20"/>
        </w:rPr>
        <w:t>Que el Reglamento Interior de esta dependencia, dispone también que el titular de la Secretaría podrá adscribir orgánicamente las unidades administrativas de la Secretaría, por lo que he tenido a bien expedir el siguiente</w:t>
      </w:r>
    </w:p>
    <w:p w:rsidR="0022555A" w:rsidRPr="0022555A" w:rsidRDefault="0022555A" w:rsidP="0022555A">
      <w:pPr>
        <w:jc w:val="both"/>
        <w:rPr>
          <w:rFonts w:ascii="Verdana" w:hAnsi="Verdana"/>
          <w:b/>
          <w:bCs/>
          <w:sz w:val="20"/>
        </w:rPr>
      </w:pPr>
      <w:r w:rsidRPr="0022555A">
        <w:rPr>
          <w:rFonts w:ascii="Verdana" w:hAnsi="Verdana"/>
          <w:b/>
          <w:bCs/>
          <w:sz w:val="20"/>
        </w:rPr>
        <w:t>ACUERDO POR EL QUE SE ADSCRIBEN ORGÁNICAMENTE LAS UNIDADES ADMINISTRATIVAS DE</w:t>
      </w:r>
      <w:r w:rsidRPr="0022555A">
        <w:rPr>
          <w:rFonts w:ascii="Verdana" w:hAnsi="Verdana"/>
          <w:b/>
          <w:bCs/>
          <w:sz w:val="20"/>
        </w:rPr>
        <w:br/>
        <w:t>LA SECRETARÍA DEL TRABAJO Y PREVISIÓN SOCIAL</w:t>
      </w:r>
    </w:p>
    <w:p w:rsidR="0022555A" w:rsidRPr="0022555A" w:rsidRDefault="0022555A" w:rsidP="0022555A">
      <w:pPr>
        <w:jc w:val="both"/>
        <w:rPr>
          <w:rFonts w:ascii="Verdana" w:hAnsi="Verdana"/>
          <w:bCs/>
          <w:sz w:val="20"/>
        </w:rPr>
      </w:pPr>
      <w:r w:rsidRPr="0022555A">
        <w:rPr>
          <w:rFonts w:ascii="Verdana" w:hAnsi="Verdana"/>
          <w:b/>
          <w:bCs/>
          <w:sz w:val="20"/>
        </w:rPr>
        <w:t>Artículo Único. </w:t>
      </w:r>
      <w:r w:rsidRPr="0022555A">
        <w:rPr>
          <w:rFonts w:ascii="Verdana" w:hAnsi="Verdana"/>
          <w:bCs/>
          <w:sz w:val="20"/>
        </w:rPr>
        <w:t>Las Unidades Administrativas de la Secretaría del Trabajo y Previsión Social quedan adscritas en los siguientes términos:</w:t>
      </w:r>
    </w:p>
    <w:p w:rsidR="0022555A" w:rsidRPr="0022555A" w:rsidRDefault="0022555A" w:rsidP="0022555A">
      <w:pPr>
        <w:jc w:val="both"/>
        <w:rPr>
          <w:rFonts w:ascii="Verdana" w:hAnsi="Verdana"/>
          <w:bCs/>
          <w:sz w:val="20"/>
        </w:rPr>
      </w:pPr>
      <w:r w:rsidRPr="0022555A">
        <w:rPr>
          <w:rFonts w:ascii="Verdana" w:hAnsi="Verdana"/>
          <w:b/>
          <w:bCs/>
          <w:sz w:val="20"/>
        </w:rPr>
        <w:t>I.</w:t>
      </w:r>
      <w:r w:rsidRPr="0022555A">
        <w:rPr>
          <w:rFonts w:ascii="Verdana" w:hAnsi="Verdana"/>
          <w:bCs/>
          <w:sz w:val="20"/>
        </w:rPr>
        <w:t>     Al titular de la Secretaría:</w:t>
      </w:r>
    </w:p>
    <w:p w:rsidR="0022555A" w:rsidRPr="0022555A" w:rsidRDefault="0022555A" w:rsidP="0022555A">
      <w:pPr>
        <w:jc w:val="both"/>
        <w:rPr>
          <w:rFonts w:ascii="Verdana" w:hAnsi="Verdana"/>
          <w:bCs/>
          <w:sz w:val="20"/>
        </w:rPr>
      </w:pPr>
      <w:r w:rsidRPr="0022555A">
        <w:rPr>
          <w:rFonts w:ascii="Verdana" w:hAnsi="Verdana"/>
          <w:b/>
          <w:bCs/>
          <w:sz w:val="20"/>
        </w:rPr>
        <w:t>a)</w:t>
      </w:r>
      <w:r w:rsidRPr="0022555A">
        <w:rPr>
          <w:rFonts w:ascii="Verdana" w:hAnsi="Verdana"/>
          <w:bCs/>
          <w:sz w:val="20"/>
        </w:rPr>
        <w:t>   La Subsecretaría del Trabajo;</w:t>
      </w:r>
    </w:p>
    <w:p w:rsidR="0022555A" w:rsidRPr="0022555A" w:rsidRDefault="0022555A" w:rsidP="0022555A">
      <w:pPr>
        <w:jc w:val="both"/>
        <w:rPr>
          <w:rFonts w:ascii="Verdana" w:hAnsi="Verdana"/>
          <w:bCs/>
          <w:sz w:val="20"/>
        </w:rPr>
      </w:pPr>
      <w:r w:rsidRPr="0022555A">
        <w:rPr>
          <w:rFonts w:ascii="Verdana" w:hAnsi="Verdana"/>
          <w:b/>
          <w:bCs/>
          <w:sz w:val="20"/>
        </w:rPr>
        <w:t>b)</w:t>
      </w:r>
      <w:r w:rsidRPr="0022555A">
        <w:rPr>
          <w:rFonts w:ascii="Verdana" w:hAnsi="Verdana"/>
          <w:bCs/>
          <w:sz w:val="20"/>
        </w:rPr>
        <w:t>   La Subsecretaría de Empleo y Productividad Laboral;</w:t>
      </w:r>
    </w:p>
    <w:p w:rsidR="0022555A" w:rsidRPr="0022555A" w:rsidRDefault="0022555A" w:rsidP="0022555A">
      <w:pPr>
        <w:jc w:val="both"/>
        <w:rPr>
          <w:rFonts w:ascii="Verdana" w:hAnsi="Verdana"/>
          <w:bCs/>
          <w:sz w:val="20"/>
        </w:rPr>
      </w:pPr>
      <w:r w:rsidRPr="0022555A">
        <w:rPr>
          <w:rFonts w:ascii="Verdana" w:hAnsi="Verdana"/>
          <w:b/>
          <w:bCs/>
          <w:sz w:val="20"/>
        </w:rPr>
        <w:t>c)</w:t>
      </w:r>
      <w:r w:rsidRPr="0022555A">
        <w:rPr>
          <w:rFonts w:ascii="Verdana" w:hAnsi="Verdana"/>
          <w:bCs/>
          <w:sz w:val="20"/>
        </w:rPr>
        <w:t>   La Unidad de Administración y Finanzas;</w:t>
      </w:r>
    </w:p>
    <w:p w:rsidR="0022555A" w:rsidRPr="0022555A" w:rsidRDefault="0022555A" w:rsidP="0022555A">
      <w:pPr>
        <w:jc w:val="both"/>
        <w:rPr>
          <w:rFonts w:ascii="Verdana" w:hAnsi="Verdana"/>
          <w:bCs/>
          <w:sz w:val="20"/>
        </w:rPr>
      </w:pPr>
      <w:r w:rsidRPr="0022555A">
        <w:rPr>
          <w:rFonts w:ascii="Verdana" w:hAnsi="Verdana"/>
          <w:b/>
          <w:bCs/>
          <w:sz w:val="20"/>
        </w:rPr>
        <w:t>d)</w:t>
      </w:r>
      <w:r w:rsidRPr="0022555A">
        <w:rPr>
          <w:rFonts w:ascii="Verdana" w:hAnsi="Verdana"/>
          <w:bCs/>
          <w:sz w:val="20"/>
        </w:rPr>
        <w:t>   La Unidad de Política Laboral y Relaciones Institucionales;</w:t>
      </w:r>
    </w:p>
    <w:p w:rsidR="0022555A" w:rsidRPr="0022555A" w:rsidRDefault="0022555A" w:rsidP="0022555A">
      <w:pPr>
        <w:jc w:val="both"/>
        <w:rPr>
          <w:rFonts w:ascii="Verdana" w:hAnsi="Verdana"/>
          <w:bCs/>
          <w:sz w:val="20"/>
        </w:rPr>
      </w:pPr>
      <w:r w:rsidRPr="0022555A">
        <w:rPr>
          <w:rFonts w:ascii="Verdana" w:hAnsi="Verdana"/>
          <w:b/>
          <w:bCs/>
          <w:sz w:val="20"/>
        </w:rPr>
        <w:t>d.1)</w:t>
      </w:r>
      <w:r w:rsidRPr="0022555A">
        <w:rPr>
          <w:rFonts w:ascii="Verdana" w:hAnsi="Verdana"/>
          <w:bCs/>
          <w:sz w:val="20"/>
        </w:rPr>
        <w:t>  La Dirección General de Políticas Públicas y Órganos de Gobierno, y</w:t>
      </w:r>
    </w:p>
    <w:p w:rsidR="0022555A" w:rsidRPr="0022555A" w:rsidRDefault="0022555A" w:rsidP="0022555A">
      <w:pPr>
        <w:jc w:val="both"/>
        <w:rPr>
          <w:rFonts w:ascii="Verdana" w:hAnsi="Verdana"/>
          <w:bCs/>
          <w:sz w:val="20"/>
        </w:rPr>
      </w:pPr>
      <w:r w:rsidRPr="0022555A">
        <w:rPr>
          <w:rFonts w:ascii="Verdana" w:hAnsi="Verdana"/>
          <w:b/>
          <w:bCs/>
          <w:sz w:val="20"/>
        </w:rPr>
        <w:t>d.2)</w:t>
      </w:r>
      <w:r w:rsidRPr="0022555A">
        <w:rPr>
          <w:rFonts w:ascii="Verdana" w:hAnsi="Verdana"/>
          <w:bCs/>
          <w:sz w:val="20"/>
        </w:rPr>
        <w:t>  La Dirección General de Relaciones Institucionales;</w:t>
      </w:r>
    </w:p>
    <w:p w:rsidR="0022555A" w:rsidRPr="0022555A" w:rsidRDefault="0022555A" w:rsidP="0022555A">
      <w:pPr>
        <w:jc w:val="both"/>
        <w:rPr>
          <w:rFonts w:ascii="Verdana" w:hAnsi="Verdana"/>
          <w:bCs/>
          <w:sz w:val="20"/>
        </w:rPr>
      </w:pPr>
      <w:r w:rsidRPr="0022555A">
        <w:rPr>
          <w:rFonts w:ascii="Verdana" w:hAnsi="Verdana"/>
          <w:b/>
          <w:bCs/>
          <w:sz w:val="20"/>
        </w:rPr>
        <w:lastRenderedPageBreak/>
        <w:t>e)</w:t>
      </w:r>
      <w:r w:rsidRPr="0022555A">
        <w:rPr>
          <w:rFonts w:ascii="Verdana" w:hAnsi="Verdana"/>
          <w:bCs/>
          <w:sz w:val="20"/>
        </w:rPr>
        <w:t>   La Dirección General de Asuntos Jurídicos, y</w:t>
      </w:r>
    </w:p>
    <w:p w:rsidR="0022555A" w:rsidRPr="0022555A" w:rsidRDefault="0022555A" w:rsidP="0022555A">
      <w:pPr>
        <w:jc w:val="both"/>
        <w:rPr>
          <w:rFonts w:ascii="Verdana" w:hAnsi="Verdana"/>
          <w:bCs/>
          <w:sz w:val="20"/>
        </w:rPr>
      </w:pPr>
      <w:r w:rsidRPr="0022555A">
        <w:rPr>
          <w:rFonts w:ascii="Verdana" w:hAnsi="Verdana"/>
          <w:b/>
          <w:bCs/>
          <w:sz w:val="20"/>
        </w:rPr>
        <w:t>f)</w:t>
      </w:r>
      <w:r w:rsidRPr="0022555A">
        <w:rPr>
          <w:rFonts w:ascii="Verdana" w:hAnsi="Verdana"/>
          <w:bCs/>
          <w:sz w:val="20"/>
        </w:rPr>
        <w:t>    La Dirección General de Investigación y Estadísticas del Trabajo.</w:t>
      </w:r>
    </w:p>
    <w:p w:rsidR="0022555A" w:rsidRPr="0022555A" w:rsidRDefault="0022555A" w:rsidP="0022555A">
      <w:pPr>
        <w:jc w:val="both"/>
        <w:rPr>
          <w:rFonts w:ascii="Verdana" w:hAnsi="Verdana"/>
          <w:bCs/>
          <w:sz w:val="20"/>
        </w:rPr>
      </w:pPr>
      <w:r w:rsidRPr="0022555A">
        <w:rPr>
          <w:rFonts w:ascii="Verdana" w:hAnsi="Verdana"/>
          <w:b/>
          <w:bCs/>
          <w:sz w:val="20"/>
        </w:rPr>
        <w:t>II.</w:t>
      </w:r>
      <w:r w:rsidRPr="0022555A">
        <w:rPr>
          <w:rFonts w:ascii="Verdana" w:hAnsi="Verdana"/>
          <w:bCs/>
          <w:sz w:val="20"/>
        </w:rPr>
        <w:t>    A la Subsecretaría del Trabajo:</w:t>
      </w:r>
    </w:p>
    <w:p w:rsidR="0022555A" w:rsidRPr="0022555A" w:rsidRDefault="0022555A" w:rsidP="0022555A">
      <w:pPr>
        <w:jc w:val="both"/>
        <w:rPr>
          <w:rFonts w:ascii="Verdana" w:hAnsi="Verdana"/>
          <w:bCs/>
          <w:sz w:val="20"/>
        </w:rPr>
      </w:pPr>
      <w:r w:rsidRPr="0022555A">
        <w:rPr>
          <w:rFonts w:ascii="Verdana" w:hAnsi="Verdana"/>
          <w:b/>
          <w:bCs/>
          <w:sz w:val="20"/>
        </w:rPr>
        <w:t>a)</w:t>
      </w:r>
      <w:r w:rsidRPr="0022555A">
        <w:rPr>
          <w:rFonts w:ascii="Verdana" w:hAnsi="Verdana"/>
          <w:bCs/>
          <w:sz w:val="20"/>
        </w:rPr>
        <w:t>   La Unidad de Funcionarios Conciliadores;</w:t>
      </w:r>
    </w:p>
    <w:p w:rsidR="0022555A" w:rsidRPr="0022555A" w:rsidRDefault="0022555A" w:rsidP="0022555A">
      <w:pPr>
        <w:jc w:val="both"/>
        <w:rPr>
          <w:rFonts w:ascii="Verdana" w:hAnsi="Verdana"/>
          <w:bCs/>
          <w:sz w:val="20"/>
        </w:rPr>
      </w:pPr>
      <w:r w:rsidRPr="0022555A">
        <w:rPr>
          <w:rFonts w:ascii="Verdana" w:hAnsi="Verdana"/>
          <w:b/>
          <w:bCs/>
          <w:sz w:val="20"/>
        </w:rPr>
        <w:t>b)</w:t>
      </w:r>
      <w:r w:rsidRPr="0022555A">
        <w:rPr>
          <w:rFonts w:ascii="Verdana" w:hAnsi="Verdana"/>
          <w:bCs/>
          <w:sz w:val="20"/>
        </w:rPr>
        <w:t>   La Unidad de Trabajo Digno;</w:t>
      </w:r>
    </w:p>
    <w:p w:rsidR="0022555A" w:rsidRPr="0022555A" w:rsidRDefault="0022555A" w:rsidP="0022555A">
      <w:pPr>
        <w:jc w:val="both"/>
        <w:rPr>
          <w:rFonts w:ascii="Verdana" w:hAnsi="Verdana"/>
          <w:bCs/>
          <w:sz w:val="20"/>
        </w:rPr>
      </w:pPr>
      <w:r w:rsidRPr="0022555A">
        <w:rPr>
          <w:rFonts w:ascii="Verdana" w:hAnsi="Verdana"/>
          <w:b/>
          <w:bCs/>
          <w:sz w:val="20"/>
        </w:rPr>
        <w:t>b.1)</w:t>
      </w:r>
      <w:r w:rsidRPr="0022555A">
        <w:rPr>
          <w:rFonts w:ascii="Verdana" w:hAnsi="Verdana"/>
          <w:bCs/>
          <w:sz w:val="20"/>
        </w:rPr>
        <w:t>  La Dirección General de Inspección Federal del Trabajo;</w:t>
      </w:r>
    </w:p>
    <w:p w:rsidR="0022555A" w:rsidRPr="0022555A" w:rsidRDefault="0022555A" w:rsidP="0022555A">
      <w:pPr>
        <w:jc w:val="both"/>
        <w:rPr>
          <w:rFonts w:ascii="Verdana" w:hAnsi="Verdana"/>
          <w:bCs/>
          <w:sz w:val="20"/>
        </w:rPr>
      </w:pPr>
      <w:r w:rsidRPr="0022555A">
        <w:rPr>
          <w:rFonts w:ascii="Verdana" w:hAnsi="Verdana"/>
          <w:b/>
          <w:bCs/>
          <w:sz w:val="20"/>
        </w:rPr>
        <w:t>b.2)</w:t>
      </w:r>
      <w:r w:rsidRPr="0022555A">
        <w:rPr>
          <w:rFonts w:ascii="Verdana" w:hAnsi="Verdana"/>
          <w:bCs/>
          <w:sz w:val="20"/>
        </w:rPr>
        <w:t>  La Dirección General de Previsión Social, y</w:t>
      </w:r>
    </w:p>
    <w:p w:rsidR="0022555A" w:rsidRPr="0022555A" w:rsidRDefault="0022555A" w:rsidP="0022555A">
      <w:pPr>
        <w:jc w:val="both"/>
        <w:rPr>
          <w:rFonts w:ascii="Verdana" w:hAnsi="Verdana"/>
          <w:bCs/>
          <w:sz w:val="20"/>
        </w:rPr>
      </w:pPr>
      <w:r w:rsidRPr="0022555A">
        <w:rPr>
          <w:rFonts w:ascii="Verdana" w:hAnsi="Verdana"/>
          <w:b/>
          <w:bCs/>
          <w:sz w:val="20"/>
        </w:rPr>
        <w:t>b.3)</w:t>
      </w:r>
      <w:r w:rsidRPr="0022555A">
        <w:rPr>
          <w:rFonts w:ascii="Verdana" w:hAnsi="Verdana"/>
          <w:bCs/>
          <w:sz w:val="20"/>
        </w:rPr>
        <w:t>  Las Oficinas de Representación Federal del Trabajo y las Direcciones de Coordinación Regional.</w:t>
      </w:r>
    </w:p>
    <w:p w:rsidR="0022555A" w:rsidRPr="0022555A" w:rsidRDefault="0022555A" w:rsidP="0022555A">
      <w:pPr>
        <w:jc w:val="both"/>
        <w:rPr>
          <w:rFonts w:ascii="Verdana" w:hAnsi="Verdana"/>
          <w:bCs/>
          <w:sz w:val="20"/>
        </w:rPr>
      </w:pPr>
      <w:r w:rsidRPr="0022555A">
        <w:rPr>
          <w:rFonts w:ascii="Verdana" w:hAnsi="Verdana"/>
          <w:b/>
          <w:bCs/>
          <w:sz w:val="20"/>
        </w:rPr>
        <w:t>c)</w:t>
      </w:r>
      <w:r w:rsidRPr="0022555A">
        <w:rPr>
          <w:rFonts w:ascii="Verdana" w:hAnsi="Verdana"/>
          <w:bCs/>
          <w:sz w:val="20"/>
        </w:rPr>
        <w:t>   La Dirección General de Concertación y Capacitación Laboral, y</w:t>
      </w:r>
    </w:p>
    <w:p w:rsidR="0022555A" w:rsidRPr="0022555A" w:rsidRDefault="0022555A" w:rsidP="0022555A">
      <w:pPr>
        <w:jc w:val="both"/>
        <w:rPr>
          <w:rFonts w:ascii="Verdana" w:hAnsi="Verdana"/>
          <w:bCs/>
          <w:sz w:val="20"/>
        </w:rPr>
      </w:pPr>
      <w:r w:rsidRPr="0022555A">
        <w:rPr>
          <w:rFonts w:ascii="Verdana" w:hAnsi="Verdana"/>
          <w:b/>
          <w:bCs/>
          <w:sz w:val="20"/>
        </w:rPr>
        <w:t>d)</w:t>
      </w:r>
      <w:r w:rsidRPr="0022555A">
        <w:rPr>
          <w:rFonts w:ascii="Verdana" w:hAnsi="Verdana"/>
          <w:bCs/>
          <w:sz w:val="20"/>
        </w:rPr>
        <w:t>   La Dirección General de Registro de Asociaciones.</w:t>
      </w:r>
    </w:p>
    <w:p w:rsidR="0022555A" w:rsidRPr="0022555A" w:rsidRDefault="0022555A" w:rsidP="0022555A">
      <w:pPr>
        <w:jc w:val="both"/>
        <w:rPr>
          <w:rFonts w:ascii="Verdana" w:hAnsi="Verdana"/>
          <w:bCs/>
          <w:sz w:val="20"/>
        </w:rPr>
      </w:pPr>
      <w:r w:rsidRPr="0022555A">
        <w:rPr>
          <w:rFonts w:ascii="Verdana" w:hAnsi="Verdana"/>
          <w:b/>
          <w:bCs/>
          <w:sz w:val="20"/>
        </w:rPr>
        <w:t>III.</w:t>
      </w:r>
      <w:r w:rsidRPr="0022555A">
        <w:rPr>
          <w:rFonts w:ascii="Verdana" w:hAnsi="Verdana"/>
          <w:bCs/>
          <w:sz w:val="20"/>
        </w:rPr>
        <w:t>    A la Subsecretaría de Empleo y Productividad Laboral:</w:t>
      </w:r>
    </w:p>
    <w:p w:rsidR="0022555A" w:rsidRPr="0022555A" w:rsidRDefault="0022555A" w:rsidP="0022555A">
      <w:pPr>
        <w:jc w:val="both"/>
        <w:rPr>
          <w:rFonts w:ascii="Verdana" w:hAnsi="Verdana"/>
          <w:bCs/>
          <w:sz w:val="20"/>
        </w:rPr>
      </w:pPr>
      <w:r w:rsidRPr="0022555A">
        <w:rPr>
          <w:rFonts w:ascii="Verdana" w:hAnsi="Verdana"/>
          <w:b/>
          <w:bCs/>
          <w:sz w:val="20"/>
        </w:rPr>
        <w:t>a)</w:t>
      </w:r>
      <w:r w:rsidRPr="0022555A">
        <w:rPr>
          <w:rFonts w:ascii="Verdana" w:hAnsi="Verdana"/>
          <w:bCs/>
          <w:sz w:val="20"/>
        </w:rPr>
        <w:t>   La Unidad del Servicio Nacional de Empleo, y</w:t>
      </w:r>
    </w:p>
    <w:p w:rsidR="0022555A" w:rsidRPr="0022555A" w:rsidRDefault="0022555A" w:rsidP="0022555A">
      <w:pPr>
        <w:jc w:val="both"/>
        <w:rPr>
          <w:rFonts w:ascii="Verdana" w:hAnsi="Verdana"/>
          <w:bCs/>
          <w:sz w:val="20"/>
        </w:rPr>
      </w:pPr>
      <w:r w:rsidRPr="0022555A">
        <w:rPr>
          <w:rFonts w:ascii="Verdana" w:hAnsi="Verdana"/>
          <w:b/>
          <w:bCs/>
          <w:sz w:val="20"/>
        </w:rPr>
        <w:t>b)</w:t>
      </w:r>
      <w:r w:rsidRPr="0022555A">
        <w:rPr>
          <w:rFonts w:ascii="Verdana" w:hAnsi="Verdana"/>
          <w:bCs/>
          <w:sz w:val="20"/>
        </w:rPr>
        <w:t>   La Unidad del Programa Jóvenes Construyendo el Futuro.</w:t>
      </w:r>
    </w:p>
    <w:p w:rsidR="0022555A" w:rsidRPr="0022555A" w:rsidRDefault="0022555A" w:rsidP="0022555A">
      <w:pPr>
        <w:jc w:val="both"/>
        <w:rPr>
          <w:rFonts w:ascii="Verdana" w:hAnsi="Verdana"/>
          <w:bCs/>
          <w:sz w:val="20"/>
        </w:rPr>
      </w:pPr>
      <w:r w:rsidRPr="0022555A">
        <w:rPr>
          <w:rFonts w:ascii="Verdana" w:hAnsi="Verdana"/>
          <w:b/>
          <w:bCs/>
          <w:sz w:val="20"/>
        </w:rPr>
        <w:t>IV.</w:t>
      </w:r>
      <w:r w:rsidRPr="0022555A">
        <w:rPr>
          <w:rFonts w:ascii="Verdana" w:hAnsi="Verdana"/>
          <w:bCs/>
          <w:sz w:val="20"/>
        </w:rPr>
        <w:t>   A la Unidad de Administración y Finanzas:</w:t>
      </w:r>
    </w:p>
    <w:p w:rsidR="0022555A" w:rsidRPr="0022555A" w:rsidRDefault="0022555A" w:rsidP="0022555A">
      <w:pPr>
        <w:jc w:val="both"/>
        <w:rPr>
          <w:rFonts w:ascii="Verdana" w:hAnsi="Verdana"/>
          <w:bCs/>
          <w:sz w:val="20"/>
        </w:rPr>
      </w:pPr>
      <w:r w:rsidRPr="0022555A">
        <w:rPr>
          <w:rFonts w:ascii="Verdana" w:hAnsi="Verdana"/>
          <w:b/>
          <w:bCs/>
          <w:sz w:val="20"/>
        </w:rPr>
        <w:t>a)</w:t>
      </w:r>
      <w:r w:rsidRPr="0022555A">
        <w:rPr>
          <w:rFonts w:ascii="Verdana" w:hAnsi="Verdana"/>
          <w:bCs/>
          <w:sz w:val="20"/>
        </w:rPr>
        <w:t>   La Dirección General de Programación y Presupuesto;</w:t>
      </w:r>
    </w:p>
    <w:p w:rsidR="0022555A" w:rsidRPr="0022555A" w:rsidRDefault="0022555A" w:rsidP="0022555A">
      <w:pPr>
        <w:jc w:val="both"/>
        <w:rPr>
          <w:rFonts w:ascii="Verdana" w:hAnsi="Verdana"/>
          <w:bCs/>
          <w:sz w:val="20"/>
        </w:rPr>
      </w:pPr>
      <w:r w:rsidRPr="0022555A">
        <w:rPr>
          <w:rFonts w:ascii="Verdana" w:hAnsi="Verdana"/>
          <w:b/>
          <w:bCs/>
          <w:sz w:val="20"/>
        </w:rPr>
        <w:t>b)</w:t>
      </w:r>
      <w:r w:rsidRPr="0022555A">
        <w:rPr>
          <w:rFonts w:ascii="Verdana" w:hAnsi="Verdana"/>
          <w:bCs/>
          <w:sz w:val="20"/>
        </w:rPr>
        <w:t>   La Dirección General de Recursos Humanos;</w:t>
      </w:r>
    </w:p>
    <w:p w:rsidR="0022555A" w:rsidRPr="0022555A" w:rsidRDefault="0022555A" w:rsidP="0022555A">
      <w:pPr>
        <w:jc w:val="both"/>
        <w:rPr>
          <w:rFonts w:ascii="Verdana" w:hAnsi="Verdana"/>
          <w:bCs/>
          <w:sz w:val="20"/>
        </w:rPr>
      </w:pPr>
      <w:r w:rsidRPr="0022555A">
        <w:rPr>
          <w:rFonts w:ascii="Verdana" w:hAnsi="Verdana"/>
          <w:b/>
          <w:bCs/>
          <w:sz w:val="20"/>
        </w:rPr>
        <w:t>c)</w:t>
      </w:r>
      <w:r w:rsidRPr="0022555A">
        <w:rPr>
          <w:rFonts w:ascii="Verdana" w:hAnsi="Verdana"/>
          <w:bCs/>
          <w:sz w:val="20"/>
        </w:rPr>
        <w:t>   La Dirección General de Recursos Materiales y Servicios Generales, y</w:t>
      </w:r>
    </w:p>
    <w:p w:rsidR="0022555A" w:rsidRPr="0022555A" w:rsidRDefault="0022555A" w:rsidP="0022555A">
      <w:pPr>
        <w:jc w:val="both"/>
        <w:rPr>
          <w:rFonts w:ascii="Verdana" w:hAnsi="Verdana"/>
          <w:bCs/>
          <w:sz w:val="20"/>
        </w:rPr>
      </w:pPr>
      <w:r w:rsidRPr="0022555A">
        <w:rPr>
          <w:rFonts w:ascii="Verdana" w:hAnsi="Verdana"/>
          <w:b/>
          <w:bCs/>
          <w:sz w:val="20"/>
        </w:rPr>
        <w:t>d)</w:t>
      </w:r>
      <w:r w:rsidRPr="0022555A">
        <w:rPr>
          <w:rFonts w:ascii="Verdana" w:hAnsi="Verdana"/>
          <w:bCs/>
          <w:sz w:val="20"/>
        </w:rPr>
        <w:t>   La Dirección General de Tecnologías de la Información.</w:t>
      </w:r>
    </w:p>
    <w:p w:rsidR="0022555A" w:rsidRPr="0022555A" w:rsidRDefault="0022555A" w:rsidP="0022555A">
      <w:pPr>
        <w:jc w:val="both"/>
        <w:rPr>
          <w:rFonts w:ascii="Verdana" w:hAnsi="Verdana"/>
          <w:b/>
          <w:bCs/>
          <w:sz w:val="20"/>
        </w:rPr>
      </w:pPr>
      <w:r w:rsidRPr="0022555A">
        <w:rPr>
          <w:rFonts w:ascii="Verdana" w:hAnsi="Verdana"/>
          <w:b/>
          <w:bCs/>
          <w:sz w:val="20"/>
        </w:rPr>
        <w:t>TRANSITORIOS</w:t>
      </w:r>
    </w:p>
    <w:p w:rsidR="0022555A" w:rsidRPr="0022555A" w:rsidRDefault="0022555A" w:rsidP="0022555A">
      <w:pPr>
        <w:jc w:val="both"/>
        <w:rPr>
          <w:rFonts w:ascii="Verdana" w:hAnsi="Verdana"/>
          <w:bCs/>
          <w:sz w:val="20"/>
        </w:rPr>
      </w:pPr>
      <w:r w:rsidRPr="0022555A">
        <w:rPr>
          <w:rFonts w:ascii="Verdana" w:hAnsi="Verdana"/>
          <w:b/>
          <w:bCs/>
          <w:sz w:val="20"/>
        </w:rPr>
        <w:t>PRIMERO.</w:t>
      </w:r>
      <w:r w:rsidRPr="0022555A">
        <w:rPr>
          <w:rFonts w:ascii="Verdana" w:hAnsi="Verdana"/>
          <w:bCs/>
          <w:sz w:val="20"/>
        </w:rPr>
        <w:t> El presente Acuerdo entrará en vigor al día siguiente de su publicación en el Diario Oficial de la Federación.</w:t>
      </w:r>
    </w:p>
    <w:p w:rsidR="0022555A" w:rsidRPr="0022555A" w:rsidRDefault="0022555A" w:rsidP="0022555A">
      <w:pPr>
        <w:jc w:val="both"/>
        <w:rPr>
          <w:rFonts w:ascii="Verdana" w:hAnsi="Verdana"/>
          <w:bCs/>
          <w:sz w:val="20"/>
        </w:rPr>
      </w:pPr>
      <w:r w:rsidRPr="0022555A">
        <w:rPr>
          <w:rFonts w:ascii="Verdana" w:hAnsi="Verdana"/>
          <w:b/>
          <w:bCs/>
          <w:sz w:val="20"/>
        </w:rPr>
        <w:t>SEGUNDO.</w:t>
      </w:r>
      <w:r w:rsidRPr="0022555A">
        <w:rPr>
          <w:rFonts w:ascii="Verdana" w:hAnsi="Verdana"/>
          <w:bCs/>
          <w:sz w:val="20"/>
        </w:rPr>
        <w:t> Se dejan sin efectos el Acuerdo por el que se adscriben orgánicamente las unidades administrativas de la Secretaría del Trabajo y Previsión Social, publicado en el Diario Oficial de la Federación el 26 de agosto de 2014.</w:t>
      </w:r>
    </w:p>
    <w:p w:rsidR="0022555A" w:rsidRPr="0022555A" w:rsidRDefault="0022555A" w:rsidP="0022555A">
      <w:pPr>
        <w:jc w:val="both"/>
        <w:rPr>
          <w:rFonts w:ascii="Verdana" w:hAnsi="Verdana"/>
          <w:bCs/>
          <w:sz w:val="20"/>
        </w:rPr>
      </w:pPr>
      <w:r w:rsidRPr="0022555A">
        <w:rPr>
          <w:rFonts w:ascii="Verdana" w:hAnsi="Verdana"/>
          <w:bCs/>
          <w:sz w:val="20"/>
        </w:rPr>
        <w:t>Publíquese en el Diario Oficial de la Federación.</w:t>
      </w:r>
    </w:p>
    <w:p w:rsidR="0022555A" w:rsidRPr="0022555A" w:rsidRDefault="0022555A" w:rsidP="0022555A">
      <w:pPr>
        <w:jc w:val="both"/>
        <w:rPr>
          <w:rFonts w:ascii="Verdana" w:hAnsi="Verdana"/>
          <w:bCs/>
          <w:sz w:val="20"/>
        </w:rPr>
      </w:pPr>
      <w:r w:rsidRPr="0022555A">
        <w:rPr>
          <w:rFonts w:ascii="Verdana" w:hAnsi="Verdana"/>
          <w:bCs/>
          <w:sz w:val="20"/>
        </w:rPr>
        <w:t>Ciudad de México, a 12 de septiembre de 2019.- La Secretaria del Trabajo y Previsión Social, </w:t>
      </w:r>
      <w:r w:rsidRPr="0022555A">
        <w:rPr>
          <w:rFonts w:ascii="Verdana" w:hAnsi="Verdana"/>
          <w:b/>
          <w:bCs/>
          <w:sz w:val="20"/>
        </w:rPr>
        <w:t>Luisa María Alcalde Luján</w:t>
      </w:r>
      <w:r w:rsidRPr="0022555A">
        <w:rPr>
          <w:rFonts w:ascii="Verdana" w:hAnsi="Verdana"/>
          <w:bCs/>
          <w:sz w:val="20"/>
        </w:rPr>
        <w:t>.- Rúbrica.</w:t>
      </w:r>
      <w:bookmarkStart w:id="0" w:name="_GoBack"/>
      <w:bookmarkEnd w:id="0"/>
    </w:p>
    <w:sectPr w:rsidR="0022555A" w:rsidRPr="002255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5A"/>
    <w:rsid w:val="002228FA"/>
    <w:rsid w:val="0022555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30080">
      <w:bodyDiv w:val="1"/>
      <w:marLeft w:val="0"/>
      <w:marRight w:val="0"/>
      <w:marTop w:val="0"/>
      <w:marBottom w:val="0"/>
      <w:divBdr>
        <w:top w:val="none" w:sz="0" w:space="0" w:color="auto"/>
        <w:left w:val="none" w:sz="0" w:space="0" w:color="auto"/>
        <w:bottom w:val="none" w:sz="0" w:space="0" w:color="auto"/>
        <w:right w:val="none" w:sz="0" w:space="0" w:color="auto"/>
      </w:divBdr>
    </w:div>
    <w:div w:id="1149127081">
      <w:bodyDiv w:val="1"/>
      <w:marLeft w:val="0"/>
      <w:marRight w:val="0"/>
      <w:marTop w:val="0"/>
      <w:marBottom w:val="0"/>
      <w:divBdr>
        <w:top w:val="none" w:sz="0" w:space="0" w:color="auto"/>
        <w:left w:val="none" w:sz="0" w:space="0" w:color="auto"/>
        <w:bottom w:val="none" w:sz="0" w:space="0" w:color="auto"/>
        <w:right w:val="none" w:sz="0" w:space="0" w:color="auto"/>
      </w:divBdr>
    </w:div>
    <w:div w:id="1656952277">
      <w:bodyDiv w:val="1"/>
      <w:marLeft w:val="0"/>
      <w:marRight w:val="0"/>
      <w:marTop w:val="0"/>
      <w:marBottom w:val="0"/>
      <w:divBdr>
        <w:top w:val="none" w:sz="0" w:space="0" w:color="auto"/>
        <w:left w:val="none" w:sz="0" w:space="0" w:color="auto"/>
        <w:bottom w:val="none" w:sz="0" w:space="0" w:color="auto"/>
        <w:right w:val="none" w:sz="0" w:space="0" w:color="auto"/>
      </w:divBdr>
      <w:divsChild>
        <w:div w:id="716049271">
          <w:marLeft w:val="0"/>
          <w:marRight w:val="0"/>
          <w:marTop w:val="0"/>
          <w:marBottom w:val="40"/>
          <w:divBdr>
            <w:top w:val="none" w:sz="0" w:space="0" w:color="auto"/>
            <w:left w:val="none" w:sz="0" w:space="0" w:color="auto"/>
            <w:bottom w:val="none" w:sz="0" w:space="0" w:color="auto"/>
            <w:right w:val="none" w:sz="0" w:space="0" w:color="auto"/>
          </w:divBdr>
        </w:div>
        <w:div w:id="1854421014">
          <w:marLeft w:val="0"/>
          <w:marRight w:val="0"/>
          <w:marTop w:val="101"/>
          <w:marBottom w:val="40"/>
          <w:divBdr>
            <w:top w:val="none" w:sz="0" w:space="0" w:color="auto"/>
            <w:left w:val="none" w:sz="0" w:space="0" w:color="auto"/>
            <w:bottom w:val="none" w:sz="0" w:space="0" w:color="auto"/>
            <w:right w:val="none" w:sz="0" w:space="0" w:color="auto"/>
          </w:divBdr>
        </w:div>
        <w:div w:id="733544779">
          <w:marLeft w:val="0"/>
          <w:marRight w:val="0"/>
          <w:marTop w:val="0"/>
          <w:marBottom w:val="40"/>
          <w:divBdr>
            <w:top w:val="none" w:sz="0" w:space="0" w:color="auto"/>
            <w:left w:val="none" w:sz="0" w:space="0" w:color="auto"/>
            <w:bottom w:val="none" w:sz="0" w:space="0" w:color="auto"/>
            <w:right w:val="none" w:sz="0" w:space="0" w:color="auto"/>
          </w:divBdr>
        </w:div>
        <w:div w:id="896862753">
          <w:marLeft w:val="0"/>
          <w:marRight w:val="0"/>
          <w:marTop w:val="0"/>
          <w:marBottom w:val="40"/>
          <w:divBdr>
            <w:top w:val="none" w:sz="0" w:space="0" w:color="auto"/>
            <w:left w:val="none" w:sz="0" w:space="0" w:color="auto"/>
            <w:bottom w:val="none" w:sz="0" w:space="0" w:color="auto"/>
            <w:right w:val="none" w:sz="0" w:space="0" w:color="auto"/>
          </w:divBdr>
        </w:div>
        <w:div w:id="246423532">
          <w:marLeft w:val="0"/>
          <w:marRight w:val="0"/>
          <w:marTop w:val="0"/>
          <w:marBottom w:val="40"/>
          <w:divBdr>
            <w:top w:val="none" w:sz="0" w:space="0" w:color="auto"/>
            <w:left w:val="none" w:sz="0" w:space="0" w:color="auto"/>
            <w:bottom w:val="none" w:sz="0" w:space="0" w:color="auto"/>
            <w:right w:val="none" w:sz="0" w:space="0" w:color="auto"/>
          </w:divBdr>
        </w:div>
        <w:div w:id="526262463">
          <w:marLeft w:val="0"/>
          <w:marRight w:val="0"/>
          <w:marTop w:val="101"/>
          <w:marBottom w:val="40"/>
          <w:divBdr>
            <w:top w:val="none" w:sz="0" w:space="0" w:color="auto"/>
            <w:left w:val="none" w:sz="0" w:space="0" w:color="auto"/>
            <w:bottom w:val="none" w:sz="0" w:space="0" w:color="auto"/>
            <w:right w:val="none" w:sz="0" w:space="0" w:color="auto"/>
          </w:divBdr>
        </w:div>
        <w:div w:id="1259564682">
          <w:marLeft w:val="0"/>
          <w:marRight w:val="0"/>
          <w:marTop w:val="0"/>
          <w:marBottom w:val="40"/>
          <w:divBdr>
            <w:top w:val="none" w:sz="0" w:space="0" w:color="auto"/>
            <w:left w:val="none" w:sz="0" w:space="0" w:color="auto"/>
            <w:bottom w:val="none" w:sz="0" w:space="0" w:color="auto"/>
            <w:right w:val="none" w:sz="0" w:space="0" w:color="auto"/>
          </w:divBdr>
        </w:div>
        <w:div w:id="1315255345">
          <w:marLeft w:val="0"/>
          <w:marRight w:val="0"/>
          <w:marTop w:val="0"/>
          <w:marBottom w:val="40"/>
          <w:divBdr>
            <w:top w:val="none" w:sz="0" w:space="0" w:color="auto"/>
            <w:left w:val="none" w:sz="0" w:space="0" w:color="auto"/>
            <w:bottom w:val="none" w:sz="0" w:space="0" w:color="auto"/>
            <w:right w:val="none" w:sz="0" w:space="0" w:color="auto"/>
          </w:divBdr>
        </w:div>
        <w:div w:id="1458521923">
          <w:marLeft w:val="1080"/>
          <w:marRight w:val="0"/>
          <w:marTop w:val="0"/>
          <w:marBottom w:val="40"/>
          <w:divBdr>
            <w:top w:val="none" w:sz="0" w:space="0" w:color="auto"/>
            <w:left w:val="none" w:sz="0" w:space="0" w:color="auto"/>
            <w:bottom w:val="none" w:sz="0" w:space="0" w:color="auto"/>
            <w:right w:val="none" w:sz="0" w:space="0" w:color="auto"/>
          </w:divBdr>
        </w:div>
        <w:div w:id="1673100281">
          <w:marLeft w:val="1080"/>
          <w:marRight w:val="0"/>
          <w:marTop w:val="0"/>
          <w:marBottom w:val="40"/>
          <w:divBdr>
            <w:top w:val="none" w:sz="0" w:space="0" w:color="auto"/>
            <w:left w:val="none" w:sz="0" w:space="0" w:color="auto"/>
            <w:bottom w:val="none" w:sz="0" w:space="0" w:color="auto"/>
            <w:right w:val="none" w:sz="0" w:space="0" w:color="auto"/>
          </w:divBdr>
        </w:div>
        <w:div w:id="572741017">
          <w:marLeft w:val="1080"/>
          <w:marRight w:val="0"/>
          <w:marTop w:val="0"/>
          <w:marBottom w:val="40"/>
          <w:divBdr>
            <w:top w:val="none" w:sz="0" w:space="0" w:color="auto"/>
            <w:left w:val="none" w:sz="0" w:space="0" w:color="auto"/>
            <w:bottom w:val="none" w:sz="0" w:space="0" w:color="auto"/>
            <w:right w:val="none" w:sz="0" w:space="0" w:color="auto"/>
          </w:divBdr>
        </w:div>
        <w:div w:id="1995791579">
          <w:marLeft w:val="1080"/>
          <w:marRight w:val="0"/>
          <w:marTop w:val="0"/>
          <w:marBottom w:val="40"/>
          <w:divBdr>
            <w:top w:val="none" w:sz="0" w:space="0" w:color="auto"/>
            <w:left w:val="none" w:sz="0" w:space="0" w:color="auto"/>
            <w:bottom w:val="none" w:sz="0" w:space="0" w:color="auto"/>
            <w:right w:val="none" w:sz="0" w:space="0" w:color="auto"/>
          </w:divBdr>
        </w:div>
        <w:div w:id="1391462765">
          <w:marLeft w:val="1530"/>
          <w:marRight w:val="0"/>
          <w:marTop w:val="0"/>
          <w:marBottom w:val="40"/>
          <w:divBdr>
            <w:top w:val="none" w:sz="0" w:space="0" w:color="auto"/>
            <w:left w:val="none" w:sz="0" w:space="0" w:color="auto"/>
            <w:bottom w:val="none" w:sz="0" w:space="0" w:color="auto"/>
            <w:right w:val="none" w:sz="0" w:space="0" w:color="auto"/>
          </w:divBdr>
        </w:div>
        <w:div w:id="883953071">
          <w:marLeft w:val="1530"/>
          <w:marRight w:val="0"/>
          <w:marTop w:val="0"/>
          <w:marBottom w:val="40"/>
          <w:divBdr>
            <w:top w:val="none" w:sz="0" w:space="0" w:color="auto"/>
            <w:left w:val="none" w:sz="0" w:space="0" w:color="auto"/>
            <w:bottom w:val="none" w:sz="0" w:space="0" w:color="auto"/>
            <w:right w:val="none" w:sz="0" w:space="0" w:color="auto"/>
          </w:divBdr>
        </w:div>
        <w:div w:id="1801263377">
          <w:marLeft w:val="1080"/>
          <w:marRight w:val="0"/>
          <w:marTop w:val="0"/>
          <w:marBottom w:val="40"/>
          <w:divBdr>
            <w:top w:val="none" w:sz="0" w:space="0" w:color="auto"/>
            <w:left w:val="none" w:sz="0" w:space="0" w:color="auto"/>
            <w:bottom w:val="none" w:sz="0" w:space="0" w:color="auto"/>
            <w:right w:val="none" w:sz="0" w:space="0" w:color="auto"/>
          </w:divBdr>
        </w:div>
        <w:div w:id="973605192">
          <w:marLeft w:val="1080"/>
          <w:marRight w:val="0"/>
          <w:marTop w:val="0"/>
          <w:marBottom w:val="40"/>
          <w:divBdr>
            <w:top w:val="none" w:sz="0" w:space="0" w:color="auto"/>
            <w:left w:val="none" w:sz="0" w:space="0" w:color="auto"/>
            <w:bottom w:val="none" w:sz="0" w:space="0" w:color="auto"/>
            <w:right w:val="none" w:sz="0" w:space="0" w:color="auto"/>
          </w:divBdr>
        </w:div>
        <w:div w:id="233858634">
          <w:marLeft w:val="0"/>
          <w:marRight w:val="0"/>
          <w:marTop w:val="0"/>
          <w:marBottom w:val="40"/>
          <w:divBdr>
            <w:top w:val="none" w:sz="0" w:space="0" w:color="auto"/>
            <w:left w:val="none" w:sz="0" w:space="0" w:color="auto"/>
            <w:bottom w:val="none" w:sz="0" w:space="0" w:color="auto"/>
            <w:right w:val="none" w:sz="0" w:space="0" w:color="auto"/>
          </w:divBdr>
        </w:div>
        <w:div w:id="1506281390">
          <w:marLeft w:val="1080"/>
          <w:marRight w:val="0"/>
          <w:marTop w:val="0"/>
          <w:marBottom w:val="40"/>
          <w:divBdr>
            <w:top w:val="none" w:sz="0" w:space="0" w:color="auto"/>
            <w:left w:val="none" w:sz="0" w:space="0" w:color="auto"/>
            <w:bottom w:val="none" w:sz="0" w:space="0" w:color="auto"/>
            <w:right w:val="none" w:sz="0" w:space="0" w:color="auto"/>
          </w:divBdr>
        </w:div>
        <w:div w:id="515583464">
          <w:marLeft w:val="1080"/>
          <w:marRight w:val="0"/>
          <w:marTop w:val="0"/>
          <w:marBottom w:val="40"/>
          <w:divBdr>
            <w:top w:val="none" w:sz="0" w:space="0" w:color="auto"/>
            <w:left w:val="none" w:sz="0" w:space="0" w:color="auto"/>
            <w:bottom w:val="none" w:sz="0" w:space="0" w:color="auto"/>
            <w:right w:val="none" w:sz="0" w:space="0" w:color="auto"/>
          </w:divBdr>
        </w:div>
        <w:div w:id="669602707">
          <w:marLeft w:val="1530"/>
          <w:marRight w:val="0"/>
          <w:marTop w:val="0"/>
          <w:marBottom w:val="40"/>
          <w:divBdr>
            <w:top w:val="none" w:sz="0" w:space="0" w:color="auto"/>
            <w:left w:val="none" w:sz="0" w:space="0" w:color="auto"/>
            <w:bottom w:val="none" w:sz="0" w:space="0" w:color="auto"/>
            <w:right w:val="none" w:sz="0" w:space="0" w:color="auto"/>
          </w:divBdr>
        </w:div>
        <w:div w:id="1636372344">
          <w:marLeft w:val="1530"/>
          <w:marRight w:val="0"/>
          <w:marTop w:val="0"/>
          <w:marBottom w:val="40"/>
          <w:divBdr>
            <w:top w:val="none" w:sz="0" w:space="0" w:color="auto"/>
            <w:left w:val="none" w:sz="0" w:space="0" w:color="auto"/>
            <w:bottom w:val="none" w:sz="0" w:space="0" w:color="auto"/>
            <w:right w:val="none" w:sz="0" w:space="0" w:color="auto"/>
          </w:divBdr>
        </w:div>
        <w:div w:id="134764368">
          <w:marLeft w:val="1530"/>
          <w:marRight w:val="0"/>
          <w:marTop w:val="0"/>
          <w:marBottom w:val="40"/>
          <w:divBdr>
            <w:top w:val="none" w:sz="0" w:space="0" w:color="auto"/>
            <w:left w:val="none" w:sz="0" w:space="0" w:color="auto"/>
            <w:bottom w:val="none" w:sz="0" w:space="0" w:color="auto"/>
            <w:right w:val="none" w:sz="0" w:space="0" w:color="auto"/>
          </w:divBdr>
        </w:div>
        <w:div w:id="824204308">
          <w:marLeft w:val="1080"/>
          <w:marRight w:val="0"/>
          <w:marTop w:val="0"/>
          <w:marBottom w:val="40"/>
          <w:divBdr>
            <w:top w:val="none" w:sz="0" w:space="0" w:color="auto"/>
            <w:left w:val="none" w:sz="0" w:space="0" w:color="auto"/>
            <w:bottom w:val="none" w:sz="0" w:space="0" w:color="auto"/>
            <w:right w:val="none" w:sz="0" w:space="0" w:color="auto"/>
          </w:divBdr>
        </w:div>
        <w:div w:id="155346435">
          <w:marLeft w:val="1080"/>
          <w:marRight w:val="0"/>
          <w:marTop w:val="0"/>
          <w:marBottom w:val="40"/>
          <w:divBdr>
            <w:top w:val="none" w:sz="0" w:space="0" w:color="auto"/>
            <w:left w:val="none" w:sz="0" w:space="0" w:color="auto"/>
            <w:bottom w:val="none" w:sz="0" w:space="0" w:color="auto"/>
            <w:right w:val="none" w:sz="0" w:space="0" w:color="auto"/>
          </w:divBdr>
        </w:div>
        <w:div w:id="413821184">
          <w:marLeft w:val="0"/>
          <w:marRight w:val="0"/>
          <w:marTop w:val="0"/>
          <w:marBottom w:val="40"/>
          <w:divBdr>
            <w:top w:val="none" w:sz="0" w:space="0" w:color="auto"/>
            <w:left w:val="none" w:sz="0" w:space="0" w:color="auto"/>
            <w:bottom w:val="none" w:sz="0" w:space="0" w:color="auto"/>
            <w:right w:val="none" w:sz="0" w:space="0" w:color="auto"/>
          </w:divBdr>
        </w:div>
        <w:div w:id="1544554614">
          <w:marLeft w:val="1080"/>
          <w:marRight w:val="0"/>
          <w:marTop w:val="0"/>
          <w:marBottom w:val="40"/>
          <w:divBdr>
            <w:top w:val="none" w:sz="0" w:space="0" w:color="auto"/>
            <w:left w:val="none" w:sz="0" w:space="0" w:color="auto"/>
            <w:bottom w:val="none" w:sz="0" w:space="0" w:color="auto"/>
            <w:right w:val="none" w:sz="0" w:space="0" w:color="auto"/>
          </w:divBdr>
        </w:div>
        <w:div w:id="360514886">
          <w:marLeft w:val="1080"/>
          <w:marRight w:val="0"/>
          <w:marTop w:val="0"/>
          <w:marBottom w:val="40"/>
          <w:divBdr>
            <w:top w:val="none" w:sz="0" w:space="0" w:color="auto"/>
            <w:left w:val="none" w:sz="0" w:space="0" w:color="auto"/>
            <w:bottom w:val="none" w:sz="0" w:space="0" w:color="auto"/>
            <w:right w:val="none" w:sz="0" w:space="0" w:color="auto"/>
          </w:divBdr>
        </w:div>
        <w:div w:id="1470594251">
          <w:marLeft w:val="0"/>
          <w:marRight w:val="0"/>
          <w:marTop w:val="0"/>
          <w:marBottom w:val="40"/>
          <w:divBdr>
            <w:top w:val="none" w:sz="0" w:space="0" w:color="auto"/>
            <w:left w:val="none" w:sz="0" w:space="0" w:color="auto"/>
            <w:bottom w:val="none" w:sz="0" w:space="0" w:color="auto"/>
            <w:right w:val="none" w:sz="0" w:space="0" w:color="auto"/>
          </w:divBdr>
        </w:div>
        <w:div w:id="748236263">
          <w:marLeft w:val="1080"/>
          <w:marRight w:val="0"/>
          <w:marTop w:val="0"/>
          <w:marBottom w:val="40"/>
          <w:divBdr>
            <w:top w:val="none" w:sz="0" w:space="0" w:color="auto"/>
            <w:left w:val="none" w:sz="0" w:space="0" w:color="auto"/>
            <w:bottom w:val="none" w:sz="0" w:space="0" w:color="auto"/>
            <w:right w:val="none" w:sz="0" w:space="0" w:color="auto"/>
          </w:divBdr>
        </w:div>
        <w:div w:id="177471514">
          <w:marLeft w:val="1080"/>
          <w:marRight w:val="0"/>
          <w:marTop w:val="0"/>
          <w:marBottom w:val="40"/>
          <w:divBdr>
            <w:top w:val="none" w:sz="0" w:space="0" w:color="auto"/>
            <w:left w:val="none" w:sz="0" w:space="0" w:color="auto"/>
            <w:bottom w:val="none" w:sz="0" w:space="0" w:color="auto"/>
            <w:right w:val="none" w:sz="0" w:space="0" w:color="auto"/>
          </w:divBdr>
        </w:div>
        <w:div w:id="1906917814">
          <w:marLeft w:val="1080"/>
          <w:marRight w:val="0"/>
          <w:marTop w:val="0"/>
          <w:marBottom w:val="40"/>
          <w:divBdr>
            <w:top w:val="none" w:sz="0" w:space="0" w:color="auto"/>
            <w:left w:val="none" w:sz="0" w:space="0" w:color="auto"/>
            <w:bottom w:val="none" w:sz="0" w:space="0" w:color="auto"/>
            <w:right w:val="none" w:sz="0" w:space="0" w:color="auto"/>
          </w:divBdr>
        </w:div>
        <w:div w:id="2056662891">
          <w:marLeft w:val="1080"/>
          <w:marRight w:val="0"/>
          <w:marTop w:val="0"/>
          <w:marBottom w:val="40"/>
          <w:divBdr>
            <w:top w:val="none" w:sz="0" w:space="0" w:color="auto"/>
            <w:left w:val="none" w:sz="0" w:space="0" w:color="auto"/>
            <w:bottom w:val="none" w:sz="0" w:space="0" w:color="auto"/>
            <w:right w:val="none" w:sz="0" w:space="0" w:color="auto"/>
          </w:divBdr>
        </w:div>
        <w:div w:id="996611380">
          <w:marLeft w:val="0"/>
          <w:marRight w:val="0"/>
          <w:marTop w:val="101"/>
          <w:marBottom w:val="40"/>
          <w:divBdr>
            <w:top w:val="none" w:sz="0" w:space="0" w:color="auto"/>
            <w:left w:val="none" w:sz="0" w:space="0" w:color="auto"/>
            <w:bottom w:val="none" w:sz="0" w:space="0" w:color="auto"/>
            <w:right w:val="none" w:sz="0" w:space="0" w:color="auto"/>
          </w:divBdr>
        </w:div>
        <w:div w:id="211968256">
          <w:marLeft w:val="0"/>
          <w:marRight w:val="0"/>
          <w:marTop w:val="0"/>
          <w:marBottom w:val="40"/>
          <w:divBdr>
            <w:top w:val="none" w:sz="0" w:space="0" w:color="auto"/>
            <w:left w:val="none" w:sz="0" w:space="0" w:color="auto"/>
            <w:bottom w:val="none" w:sz="0" w:space="0" w:color="auto"/>
            <w:right w:val="none" w:sz="0" w:space="0" w:color="auto"/>
          </w:divBdr>
        </w:div>
        <w:div w:id="1804500173">
          <w:marLeft w:val="0"/>
          <w:marRight w:val="0"/>
          <w:marTop w:val="0"/>
          <w:marBottom w:val="40"/>
          <w:divBdr>
            <w:top w:val="none" w:sz="0" w:space="0" w:color="auto"/>
            <w:left w:val="none" w:sz="0" w:space="0" w:color="auto"/>
            <w:bottom w:val="none" w:sz="0" w:space="0" w:color="auto"/>
            <w:right w:val="none" w:sz="0" w:space="0" w:color="auto"/>
          </w:divBdr>
        </w:div>
        <w:div w:id="1638875207">
          <w:marLeft w:val="0"/>
          <w:marRight w:val="0"/>
          <w:marTop w:val="0"/>
          <w:marBottom w:val="40"/>
          <w:divBdr>
            <w:top w:val="none" w:sz="0" w:space="0" w:color="auto"/>
            <w:left w:val="none" w:sz="0" w:space="0" w:color="auto"/>
            <w:bottom w:val="none" w:sz="0" w:space="0" w:color="auto"/>
            <w:right w:val="none" w:sz="0" w:space="0" w:color="auto"/>
          </w:divBdr>
        </w:div>
        <w:div w:id="1831218355">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2019-09-19T13:28:00Z</dcterms:created>
  <dcterms:modified xsi:type="dcterms:W3CDTF">2019-09-19T13:33:00Z</dcterms:modified>
</cp:coreProperties>
</file>