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6C" w:rsidRDefault="0055096C" w:rsidP="0055096C">
      <w:pPr>
        <w:jc w:val="center"/>
        <w:rPr>
          <w:rFonts w:ascii="Verdana" w:hAnsi="Verdana"/>
          <w:b/>
          <w:bCs/>
          <w:color w:val="0070C0"/>
          <w:sz w:val="24"/>
        </w:rPr>
      </w:pPr>
      <w:r w:rsidRPr="0055096C">
        <w:rPr>
          <w:rFonts w:ascii="Verdana" w:hAnsi="Verdana"/>
          <w:b/>
          <w:bCs/>
          <w:color w:val="0070C0"/>
          <w:sz w:val="24"/>
        </w:rPr>
        <w:t>Resolución por la que se declara el inicio del examen de vigencia de la cuota compensatoria impuesta a las importaciones de conexiones de acero al carbón para soldar a tope originarias de la República Popular China, independientemente del país de procedencia</w:t>
      </w:r>
    </w:p>
    <w:p w:rsidR="0055096C" w:rsidRDefault="0055096C" w:rsidP="0055096C">
      <w:pPr>
        <w:jc w:val="center"/>
        <w:rPr>
          <w:rFonts w:ascii="Verdana" w:hAnsi="Verdana"/>
          <w:b/>
          <w:bCs/>
          <w:color w:val="0070C0"/>
          <w:sz w:val="24"/>
        </w:rPr>
      </w:pPr>
      <w:r>
        <w:rPr>
          <w:rFonts w:ascii="Verdana" w:hAnsi="Verdana"/>
          <w:b/>
          <w:bCs/>
          <w:color w:val="0070C0"/>
          <w:sz w:val="24"/>
        </w:rPr>
        <w:t>(DOF del 17 de julio de 2019)</w:t>
      </w:r>
    </w:p>
    <w:p w:rsidR="0055096C" w:rsidRPr="0055096C" w:rsidRDefault="0055096C" w:rsidP="0055096C">
      <w:pPr>
        <w:jc w:val="both"/>
        <w:rPr>
          <w:rFonts w:ascii="Verdana" w:hAnsi="Verdana"/>
          <w:b/>
          <w:bCs/>
          <w:sz w:val="20"/>
        </w:rPr>
      </w:pPr>
      <w:r w:rsidRPr="0055096C">
        <w:rPr>
          <w:rFonts w:ascii="Verdana" w:hAnsi="Verdana"/>
          <w:b/>
          <w:bCs/>
          <w:sz w:val="20"/>
        </w:rPr>
        <w:t>Al margen un sello con el Escudo Nacional, que dice: Estados Unidos Mexicanos.- Secretaría de Economía.</w:t>
      </w:r>
    </w:p>
    <w:p w:rsidR="0055096C" w:rsidRPr="0055096C" w:rsidRDefault="0055096C" w:rsidP="0055096C">
      <w:pPr>
        <w:jc w:val="both"/>
        <w:rPr>
          <w:rFonts w:ascii="Verdana" w:hAnsi="Verdana"/>
          <w:bCs/>
          <w:sz w:val="20"/>
        </w:rPr>
      </w:pPr>
      <w:r w:rsidRPr="0055096C">
        <w:rPr>
          <w:rFonts w:ascii="Verdana" w:hAnsi="Verdana"/>
          <w:bCs/>
          <w:sz w:val="20"/>
        </w:rPr>
        <w:t>RESOLUCIÓN POR LA QUE SE DECLARA EL INICIO DEL EXAMEN DE VIGENCIA DE LA CUOTA COMPENSATORIA IMPUESTA A LAS IMPORTACIONES DE CONEXIONES DE ACERO AL CARBÓN PARA SOLDAR A TOPE ORIGINARIAS DE LA REPÚBLICA POPULAR CHINA, INDEPENDIENTEMENTE DEL PAÍS DE PROCEDENCIA.</w:t>
      </w:r>
    </w:p>
    <w:p w:rsidR="0055096C" w:rsidRPr="0055096C" w:rsidRDefault="0055096C" w:rsidP="0055096C">
      <w:pPr>
        <w:jc w:val="both"/>
        <w:rPr>
          <w:rFonts w:ascii="Verdana" w:hAnsi="Verdana"/>
          <w:bCs/>
          <w:sz w:val="20"/>
        </w:rPr>
      </w:pPr>
      <w:r w:rsidRPr="0055096C">
        <w:rPr>
          <w:rFonts w:ascii="Verdana" w:hAnsi="Verdana"/>
          <w:bCs/>
          <w:sz w:val="20"/>
        </w:rPr>
        <w:t>Visto para resolver en la etapa de inicio el expediente administrativo E.C. 13/19 radicado en la Unidad de Prácticas Comerciales Internacionales (UPCI) de la Secretaría de Economía (la "Secretaría"), se emite la presente Resolución de conformidad con los siguientes</w:t>
      </w:r>
    </w:p>
    <w:p w:rsidR="0055096C" w:rsidRPr="0055096C" w:rsidRDefault="0055096C" w:rsidP="0055096C">
      <w:pPr>
        <w:jc w:val="both"/>
        <w:rPr>
          <w:rFonts w:ascii="Verdana" w:hAnsi="Verdana"/>
          <w:b/>
          <w:bCs/>
          <w:sz w:val="20"/>
        </w:rPr>
      </w:pPr>
      <w:r w:rsidRPr="0055096C">
        <w:rPr>
          <w:rFonts w:ascii="Verdana" w:hAnsi="Verdana"/>
          <w:b/>
          <w:bCs/>
          <w:sz w:val="20"/>
        </w:rPr>
        <w:t>RESULTANDOS</w:t>
      </w:r>
    </w:p>
    <w:p w:rsidR="0055096C" w:rsidRPr="0055096C" w:rsidRDefault="0055096C" w:rsidP="0055096C">
      <w:pPr>
        <w:jc w:val="both"/>
        <w:rPr>
          <w:rFonts w:ascii="Verdana" w:hAnsi="Verdana"/>
          <w:bCs/>
          <w:sz w:val="20"/>
        </w:rPr>
      </w:pPr>
      <w:r w:rsidRPr="0055096C">
        <w:rPr>
          <w:rFonts w:ascii="Verdana" w:hAnsi="Verdana"/>
          <w:b/>
          <w:bCs/>
          <w:sz w:val="20"/>
        </w:rPr>
        <w:t>A. Resolución final de la investigación antidumping</w:t>
      </w:r>
    </w:p>
    <w:p w:rsidR="0055096C" w:rsidRPr="0055096C" w:rsidRDefault="0055096C" w:rsidP="0055096C">
      <w:pPr>
        <w:jc w:val="both"/>
        <w:rPr>
          <w:rFonts w:ascii="Verdana" w:hAnsi="Verdana"/>
          <w:bCs/>
          <w:sz w:val="20"/>
        </w:rPr>
      </w:pPr>
      <w:r w:rsidRPr="0055096C">
        <w:rPr>
          <w:rFonts w:ascii="Verdana" w:hAnsi="Verdana"/>
          <w:b/>
          <w:bCs/>
          <w:sz w:val="20"/>
        </w:rPr>
        <w:t>1.</w:t>
      </w:r>
      <w:r w:rsidRPr="0055096C">
        <w:rPr>
          <w:rFonts w:ascii="Verdana" w:hAnsi="Verdana"/>
          <w:bCs/>
          <w:sz w:val="20"/>
        </w:rPr>
        <w:t> El 4 de agosto de 2004 se publicó en el Diario Oficial de la Federación (DOF) la Resolución final de la investigación antidumping sobre las importaciones de conexiones de acero al carbón para soldar a tope originarias de la República Popular China ("China"), independientemente del país de procedencia. Mediante dicha Resolución, se determinó una cuota compensatoria definitiva de 81.04%.</w:t>
      </w:r>
    </w:p>
    <w:p w:rsidR="0055096C" w:rsidRPr="0055096C" w:rsidRDefault="0055096C" w:rsidP="0055096C">
      <w:pPr>
        <w:jc w:val="both"/>
        <w:rPr>
          <w:rFonts w:ascii="Verdana" w:hAnsi="Verdana"/>
          <w:bCs/>
          <w:sz w:val="20"/>
        </w:rPr>
      </w:pPr>
      <w:r w:rsidRPr="0055096C">
        <w:rPr>
          <w:rFonts w:ascii="Verdana" w:hAnsi="Verdana"/>
          <w:b/>
          <w:bCs/>
          <w:sz w:val="20"/>
        </w:rPr>
        <w:t>B. Revisión de la cuota compensatoria</w:t>
      </w:r>
    </w:p>
    <w:p w:rsidR="0055096C" w:rsidRPr="0055096C" w:rsidRDefault="0055096C" w:rsidP="0055096C">
      <w:pPr>
        <w:jc w:val="both"/>
        <w:rPr>
          <w:rFonts w:ascii="Verdana" w:hAnsi="Verdana"/>
          <w:bCs/>
          <w:sz w:val="20"/>
        </w:rPr>
      </w:pPr>
      <w:r w:rsidRPr="0055096C">
        <w:rPr>
          <w:rFonts w:ascii="Verdana" w:hAnsi="Verdana"/>
          <w:b/>
          <w:bCs/>
          <w:sz w:val="20"/>
        </w:rPr>
        <w:t>2.</w:t>
      </w:r>
      <w:r w:rsidRPr="0055096C">
        <w:rPr>
          <w:rFonts w:ascii="Verdana" w:hAnsi="Verdana"/>
          <w:bCs/>
          <w:sz w:val="20"/>
        </w:rPr>
        <w:t> El 7 de noviembre de 2006 se publicó en el DOF la Resolución final de la revisión de la cuota compensatoria referida en el punto anterior. Se determinó modificar la cuota compensatoria de 81.04% a 2.07 dólares de los Estados Unidos de América ("dólares") por kilogramo.</w:t>
      </w:r>
    </w:p>
    <w:p w:rsidR="0055096C" w:rsidRPr="0055096C" w:rsidRDefault="0055096C" w:rsidP="0055096C">
      <w:pPr>
        <w:jc w:val="both"/>
        <w:rPr>
          <w:rFonts w:ascii="Verdana" w:hAnsi="Verdana"/>
          <w:bCs/>
          <w:sz w:val="20"/>
        </w:rPr>
      </w:pPr>
      <w:r w:rsidRPr="0055096C">
        <w:rPr>
          <w:rFonts w:ascii="Verdana" w:hAnsi="Verdana"/>
          <w:b/>
          <w:bCs/>
          <w:sz w:val="20"/>
        </w:rPr>
        <w:t>C. Exámenes de vigencia previos</w:t>
      </w:r>
    </w:p>
    <w:p w:rsidR="0055096C" w:rsidRPr="0055096C" w:rsidRDefault="0055096C" w:rsidP="0055096C">
      <w:pPr>
        <w:jc w:val="both"/>
        <w:rPr>
          <w:rFonts w:ascii="Verdana" w:hAnsi="Verdana"/>
          <w:bCs/>
          <w:sz w:val="20"/>
        </w:rPr>
      </w:pPr>
      <w:r w:rsidRPr="0055096C">
        <w:rPr>
          <w:rFonts w:ascii="Verdana" w:hAnsi="Verdana"/>
          <w:b/>
          <w:bCs/>
          <w:sz w:val="20"/>
        </w:rPr>
        <w:t>3.</w:t>
      </w:r>
      <w:r w:rsidRPr="0055096C">
        <w:rPr>
          <w:rFonts w:ascii="Verdana" w:hAnsi="Verdana"/>
          <w:bCs/>
          <w:sz w:val="20"/>
        </w:rPr>
        <w:t> El 2 de febrero de 2011 se publicó en el DOF la Resolución final del primer examen de vigencia de la cuota compensatoria. Se determinó modificar la cuota compensatoria de 2.07 a 1.05 dólares por kilogramo y prorrogarla por cinco años más.</w:t>
      </w:r>
    </w:p>
    <w:p w:rsidR="0055096C" w:rsidRPr="0055096C" w:rsidRDefault="0055096C" w:rsidP="0055096C">
      <w:pPr>
        <w:jc w:val="both"/>
        <w:rPr>
          <w:rFonts w:ascii="Verdana" w:hAnsi="Verdana"/>
          <w:bCs/>
          <w:sz w:val="20"/>
        </w:rPr>
      </w:pPr>
      <w:r w:rsidRPr="0055096C">
        <w:rPr>
          <w:rFonts w:ascii="Verdana" w:hAnsi="Verdana"/>
          <w:b/>
          <w:bCs/>
          <w:sz w:val="20"/>
        </w:rPr>
        <w:t>4.</w:t>
      </w:r>
      <w:r w:rsidRPr="0055096C">
        <w:rPr>
          <w:rFonts w:ascii="Verdana" w:hAnsi="Verdana"/>
          <w:bCs/>
          <w:sz w:val="20"/>
        </w:rPr>
        <w:t> El 2 de julio de 2015 se publicó en el DOF la Resolución final del segundo examen de vigencia de la cuota compensatoria. Se determinó prorrogarla por cinco años más.</w:t>
      </w:r>
    </w:p>
    <w:p w:rsidR="0055096C" w:rsidRPr="0055096C" w:rsidRDefault="0055096C" w:rsidP="0055096C">
      <w:pPr>
        <w:jc w:val="both"/>
        <w:rPr>
          <w:rFonts w:ascii="Verdana" w:hAnsi="Verdana"/>
          <w:bCs/>
          <w:sz w:val="20"/>
        </w:rPr>
      </w:pPr>
      <w:r w:rsidRPr="0055096C">
        <w:rPr>
          <w:rFonts w:ascii="Verdana" w:hAnsi="Verdana"/>
          <w:b/>
          <w:bCs/>
          <w:sz w:val="20"/>
        </w:rPr>
        <w:t>D. Aviso sobre la vigencia de cuotas compensatorias</w:t>
      </w:r>
    </w:p>
    <w:p w:rsidR="0055096C" w:rsidRPr="0055096C" w:rsidRDefault="0055096C" w:rsidP="0055096C">
      <w:pPr>
        <w:jc w:val="both"/>
        <w:rPr>
          <w:rFonts w:ascii="Verdana" w:hAnsi="Verdana"/>
          <w:bCs/>
          <w:sz w:val="20"/>
        </w:rPr>
      </w:pPr>
      <w:r w:rsidRPr="0055096C">
        <w:rPr>
          <w:rFonts w:ascii="Verdana" w:hAnsi="Verdana"/>
          <w:b/>
          <w:bCs/>
          <w:sz w:val="20"/>
        </w:rPr>
        <w:lastRenderedPageBreak/>
        <w:t>5.</w:t>
      </w:r>
      <w:r w:rsidRPr="0055096C">
        <w:rPr>
          <w:rFonts w:ascii="Verdana" w:hAnsi="Verdana"/>
          <w:bCs/>
          <w:sz w:val="20"/>
        </w:rPr>
        <w:t>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las conexiones de acero al carbón para soldar a tope, objeto de este examen.</w:t>
      </w:r>
    </w:p>
    <w:p w:rsidR="0055096C" w:rsidRPr="0055096C" w:rsidRDefault="0055096C" w:rsidP="0055096C">
      <w:pPr>
        <w:jc w:val="both"/>
        <w:rPr>
          <w:rFonts w:ascii="Verdana" w:hAnsi="Verdana"/>
          <w:bCs/>
          <w:sz w:val="20"/>
        </w:rPr>
      </w:pPr>
      <w:r w:rsidRPr="0055096C">
        <w:rPr>
          <w:rFonts w:ascii="Verdana" w:hAnsi="Verdana"/>
          <w:b/>
          <w:bCs/>
          <w:sz w:val="20"/>
        </w:rPr>
        <w:t>E. Manifestación de interés</w:t>
      </w:r>
    </w:p>
    <w:p w:rsidR="0055096C" w:rsidRPr="0055096C" w:rsidRDefault="0055096C" w:rsidP="0055096C">
      <w:pPr>
        <w:jc w:val="both"/>
        <w:rPr>
          <w:rFonts w:ascii="Verdana" w:hAnsi="Verdana"/>
          <w:bCs/>
          <w:sz w:val="20"/>
        </w:rPr>
      </w:pPr>
      <w:r w:rsidRPr="0055096C">
        <w:rPr>
          <w:rFonts w:ascii="Verdana" w:hAnsi="Verdana"/>
          <w:b/>
          <w:bCs/>
          <w:sz w:val="20"/>
        </w:rPr>
        <w:t>6.</w:t>
      </w:r>
      <w:r w:rsidRPr="0055096C">
        <w:rPr>
          <w:rFonts w:ascii="Verdana" w:hAnsi="Verdana"/>
          <w:bCs/>
          <w:sz w:val="20"/>
        </w:rPr>
        <w:t> El 24 de junio de 2019 Tubos de Acero de México, S.A. (TAMSA), manifestó su interés en que la Secretaría inicie el examen de vigencia de la cuota compensatoria definitiva impuesta a las importaciones de conexiones de acero al carbón para soldar a tope originarias de China. Propuso como periodo de examen el comprendido de 1 de julio de 2018 al 30 de junio de 2019.</w:t>
      </w:r>
    </w:p>
    <w:p w:rsidR="0055096C" w:rsidRPr="0055096C" w:rsidRDefault="0055096C" w:rsidP="0055096C">
      <w:pPr>
        <w:jc w:val="both"/>
        <w:rPr>
          <w:rFonts w:ascii="Verdana" w:hAnsi="Verdana"/>
          <w:bCs/>
          <w:sz w:val="20"/>
        </w:rPr>
      </w:pPr>
      <w:r w:rsidRPr="0055096C">
        <w:rPr>
          <w:rFonts w:ascii="Verdana" w:hAnsi="Verdana"/>
          <w:b/>
          <w:bCs/>
          <w:sz w:val="20"/>
        </w:rPr>
        <w:t>7.</w:t>
      </w:r>
      <w:r w:rsidRPr="0055096C">
        <w:rPr>
          <w:rFonts w:ascii="Verdana" w:hAnsi="Verdana"/>
          <w:bCs/>
          <w:sz w:val="20"/>
        </w:rPr>
        <w:t> TAMSA es una empresa constituida conforme a las leyes mexicanas. Entre sus principales actividades se encuentran la fabricación de tubos de hierro, acero y de cualquier otro metal, la producción industrial y la transformación de todo tipo de metales, y la fabricación de accesorios tales como protectores, juntas y cualesquiera otros que se requieran en la fabricación, transformación y comercialización de los productos tubulares antes mencionados. Para acreditar su calidad de productor nacional de conexiones de acero al carbón para soldar a tope, presentó una carta de la Cámara Nacional de la Industria del Hierro y del Acero del 12 de junio de 2019, en la que se le señala como el único productor en México de dicho producto.</w:t>
      </w:r>
    </w:p>
    <w:p w:rsidR="0055096C" w:rsidRPr="0055096C" w:rsidRDefault="0055096C" w:rsidP="0055096C">
      <w:pPr>
        <w:jc w:val="both"/>
        <w:rPr>
          <w:rFonts w:ascii="Verdana" w:hAnsi="Verdana"/>
          <w:bCs/>
          <w:sz w:val="20"/>
        </w:rPr>
      </w:pPr>
      <w:r w:rsidRPr="0055096C">
        <w:rPr>
          <w:rFonts w:ascii="Verdana" w:hAnsi="Verdana"/>
          <w:b/>
          <w:bCs/>
          <w:sz w:val="20"/>
        </w:rPr>
        <w:t>F. Producto objeto de examen</w:t>
      </w:r>
    </w:p>
    <w:p w:rsidR="0055096C" w:rsidRPr="0055096C" w:rsidRDefault="0055096C" w:rsidP="0055096C">
      <w:pPr>
        <w:jc w:val="both"/>
        <w:rPr>
          <w:rFonts w:ascii="Verdana" w:hAnsi="Verdana"/>
          <w:bCs/>
          <w:sz w:val="20"/>
        </w:rPr>
      </w:pPr>
      <w:r w:rsidRPr="0055096C">
        <w:rPr>
          <w:rFonts w:ascii="Verdana" w:hAnsi="Verdana"/>
          <w:bCs/>
          <w:sz w:val="20"/>
        </w:rPr>
        <w:t> </w:t>
      </w:r>
    </w:p>
    <w:p w:rsidR="0055096C" w:rsidRPr="0055096C" w:rsidRDefault="0055096C" w:rsidP="0055096C">
      <w:pPr>
        <w:jc w:val="both"/>
        <w:rPr>
          <w:rFonts w:ascii="Verdana" w:hAnsi="Verdana"/>
          <w:bCs/>
          <w:sz w:val="20"/>
        </w:rPr>
      </w:pPr>
      <w:r w:rsidRPr="0055096C">
        <w:rPr>
          <w:rFonts w:ascii="Verdana" w:hAnsi="Verdana"/>
          <w:b/>
          <w:bCs/>
          <w:sz w:val="20"/>
        </w:rPr>
        <w:t>1. Descripción del producto</w:t>
      </w:r>
    </w:p>
    <w:p w:rsidR="0055096C" w:rsidRPr="0055096C" w:rsidRDefault="0055096C" w:rsidP="0055096C">
      <w:pPr>
        <w:jc w:val="both"/>
        <w:rPr>
          <w:rFonts w:ascii="Verdana" w:hAnsi="Verdana"/>
          <w:bCs/>
          <w:sz w:val="20"/>
        </w:rPr>
      </w:pPr>
      <w:r w:rsidRPr="0055096C">
        <w:rPr>
          <w:rFonts w:ascii="Verdana" w:hAnsi="Verdana"/>
          <w:b/>
          <w:bCs/>
          <w:sz w:val="20"/>
        </w:rPr>
        <w:t>8.</w:t>
      </w:r>
      <w:r w:rsidRPr="0055096C">
        <w:rPr>
          <w:rFonts w:ascii="Verdana" w:hAnsi="Verdana"/>
          <w:bCs/>
          <w:sz w:val="20"/>
        </w:rPr>
        <w:t> El producto objeto de examen son las conexiones de acero al carbón para soldar a tope con diámetros exteriores en el rango de ½ a 16 pulgadas, incluidas ambas, y comprende codos, "</w:t>
      </w:r>
      <w:proofErr w:type="spellStart"/>
      <w:r w:rsidRPr="0055096C">
        <w:rPr>
          <w:rFonts w:ascii="Verdana" w:hAnsi="Verdana"/>
          <w:bCs/>
          <w:sz w:val="20"/>
        </w:rPr>
        <w:t>tees</w:t>
      </w:r>
      <w:proofErr w:type="spellEnd"/>
      <w:r w:rsidRPr="0055096C">
        <w:rPr>
          <w:rFonts w:ascii="Verdana" w:hAnsi="Verdana"/>
          <w:bCs/>
          <w:sz w:val="20"/>
        </w:rPr>
        <w:t>", reducciones y tapas (</w:t>
      </w:r>
      <w:proofErr w:type="spellStart"/>
      <w:r w:rsidRPr="0055096C">
        <w:rPr>
          <w:rFonts w:ascii="Verdana" w:hAnsi="Verdana"/>
          <w:bCs/>
          <w:sz w:val="20"/>
        </w:rPr>
        <w:t>elbows</w:t>
      </w:r>
      <w:proofErr w:type="spellEnd"/>
      <w:r w:rsidRPr="0055096C">
        <w:rPr>
          <w:rFonts w:ascii="Verdana" w:hAnsi="Verdana"/>
          <w:bCs/>
          <w:sz w:val="20"/>
        </w:rPr>
        <w:t xml:space="preserve">, </w:t>
      </w:r>
      <w:proofErr w:type="spellStart"/>
      <w:r w:rsidRPr="0055096C">
        <w:rPr>
          <w:rFonts w:ascii="Verdana" w:hAnsi="Verdana"/>
          <w:bCs/>
          <w:sz w:val="20"/>
        </w:rPr>
        <w:t>tees</w:t>
      </w:r>
      <w:proofErr w:type="spellEnd"/>
      <w:r w:rsidRPr="0055096C">
        <w:rPr>
          <w:rFonts w:ascii="Verdana" w:hAnsi="Verdana"/>
          <w:bCs/>
          <w:sz w:val="20"/>
        </w:rPr>
        <w:t xml:space="preserve">, </w:t>
      </w:r>
      <w:proofErr w:type="spellStart"/>
      <w:r w:rsidRPr="0055096C">
        <w:rPr>
          <w:rFonts w:ascii="Verdana" w:hAnsi="Verdana"/>
          <w:bCs/>
          <w:sz w:val="20"/>
        </w:rPr>
        <w:t>reducers</w:t>
      </w:r>
      <w:proofErr w:type="spellEnd"/>
      <w:r w:rsidRPr="0055096C">
        <w:rPr>
          <w:rFonts w:ascii="Verdana" w:hAnsi="Verdana"/>
          <w:bCs/>
          <w:sz w:val="20"/>
        </w:rPr>
        <w:t xml:space="preserve"> y </w:t>
      </w:r>
      <w:proofErr w:type="spellStart"/>
      <w:r w:rsidRPr="0055096C">
        <w:rPr>
          <w:rFonts w:ascii="Verdana" w:hAnsi="Verdana"/>
          <w:bCs/>
          <w:sz w:val="20"/>
        </w:rPr>
        <w:t>caps</w:t>
      </w:r>
      <w:proofErr w:type="spellEnd"/>
      <w:r w:rsidRPr="0055096C">
        <w:rPr>
          <w:rFonts w:ascii="Verdana" w:hAnsi="Verdana"/>
          <w:bCs/>
          <w:sz w:val="20"/>
        </w:rPr>
        <w:t>, en inglés). Se conocen también como accesorios de acero al carbón para soldar a tope, o por su nombre en inglés "</w:t>
      </w:r>
      <w:proofErr w:type="spellStart"/>
      <w:r w:rsidRPr="0055096C">
        <w:rPr>
          <w:rFonts w:ascii="Verdana" w:hAnsi="Verdana"/>
          <w:bCs/>
          <w:sz w:val="20"/>
        </w:rPr>
        <w:t>fittings</w:t>
      </w:r>
      <w:proofErr w:type="spellEnd"/>
      <w:r w:rsidRPr="0055096C">
        <w:rPr>
          <w:rFonts w:ascii="Verdana" w:hAnsi="Verdana"/>
          <w:bCs/>
          <w:sz w:val="20"/>
        </w:rPr>
        <w:t>".</w:t>
      </w:r>
    </w:p>
    <w:p w:rsidR="0055096C" w:rsidRPr="0055096C" w:rsidRDefault="0055096C" w:rsidP="0055096C">
      <w:pPr>
        <w:jc w:val="both"/>
        <w:rPr>
          <w:rFonts w:ascii="Verdana" w:hAnsi="Verdana"/>
          <w:bCs/>
          <w:sz w:val="20"/>
        </w:rPr>
      </w:pPr>
      <w:r w:rsidRPr="0055096C">
        <w:rPr>
          <w:rFonts w:ascii="Verdana" w:hAnsi="Verdana"/>
          <w:b/>
          <w:bCs/>
          <w:sz w:val="20"/>
        </w:rPr>
        <w:t>9.</w:t>
      </w:r>
      <w:r w:rsidRPr="0055096C">
        <w:rPr>
          <w:rFonts w:ascii="Verdana" w:hAnsi="Verdana"/>
          <w:bCs/>
          <w:sz w:val="20"/>
        </w:rPr>
        <w:t> Además de las dimensiones del producto, otras propiedades físicas y químicas que también describen al producto objeto de examen son la ductilidad, resistencia al impacto y a cargas estáticas o dinámicas, así como la durabilidad, las cuales están en función de su uso final.</w:t>
      </w:r>
    </w:p>
    <w:p w:rsidR="0055096C" w:rsidRPr="0055096C" w:rsidRDefault="0055096C" w:rsidP="0055096C">
      <w:pPr>
        <w:jc w:val="both"/>
        <w:rPr>
          <w:rFonts w:ascii="Verdana" w:hAnsi="Verdana"/>
          <w:bCs/>
          <w:sz w:val="20"/>
        </w:rPr>
      </w:pPr>
      <w:r w:rsidRPr="0055096C">
        <w:rPr>
          <w:rFonts w:ascii="Verdana" w:hAnsi="Verdana"/>
          <w:b/>
          <w:bCs/>
          <w:sz w:val="20"/>
        </w:rPr>
        <w:t>2. Tratamiento arancelario</w:t>
      </w:r>
    </w:p>
    <w:p w:rsidR="0055096C" w:rsidRPr="0055096C" w:rsidRDefault="0055096C" w:rsidP="0055096C">
      <w:pPr>
        <w:jc w:val="both"/>
        <w:rPr>
          <w:rFonts w:ascii="Verdana" w:hAnsi="Verdana"/>
          <w:bCs/>
          <w:sz w:val="20"/>
        </w:rPr>
      </w:pPr>
      <w:r w:rsidRPr="0055096C">
        <w:rPr>
          <w:rFonts w:ascii="Verdana" w:hAnsi="Verdana"/>
          <w:b/>
          <w:bCs/>
          <w:sz w:val="20"/>
        </w:rPr>
        <w:t>10.</w:t>
      </w:r>
      <w:r w:rsidRPr="0055096C">
        <w:rPr>
          <w:rFonts w:ascii="Verdana" w:hAnsi="Verdana"/>
          <w:bCs/>
          <w:sz w:val="20"/>
        </w:rPr>
        <w:t> El producto objeto de examen ingresa al mercado nacional por la fracción arancelaria 7307.93.01 de la Tarifa de la Ley de los Impuestos Generales de Importación y de Exportación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76"/>
        <w:gridCol w:w="6736"/>
      </w:tblGrid>
      <w:tr w:rsidR="0055096C" w:rsidRPr="0055096C" w:rsidTr="0055096C">
        <w:trPr>
          <w:trHeight w:val="571"/>
        </w:trPr>
        <w:tc>
          <w:tcPr>
            <w:tcW w:w="19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
                <w:bCs/>
                <w:sz w:val="20"/>
              </w:rPr>
              <w:lastRenderedPageBreak/>
              <w:t>Codificación</w:t>
            </w:r>
            <w:r w:rsidRPr="0055096C">
              <w:rPr>
                <w:rFonts w:ascii="Verdana" w:hAnsi="Verdana"/>
                <w:bCs/>
                <w:sz w:val="20"/>
              </w:rPr>
              <w:br/>
            </w:r>
            <w:r w:rsidRPr="0055096C">
              <w:rPr>
                <w:rFonts w:ascii="Verdana" w:hAnsi="Verdana"/>
                <w:b/>
                <w:bCs/>
                <w:sz w:val="20"/>
              </w:rPr>
              <w:t>arancelaria</w:t>
            </w:r>
          </w:p>
        </w:tc>
        <w:tc>
          <w:tcPr>
            <w:tcW w:w="67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
                <w:bCs/>
                <w:sz w:val="20"/>
              </w:rPr>
              <w:t>Descripción</w:t>
            </w:r>
          </w:p>
        </w:tc>
      </w:tr>
      <w:tr w:rsidR="0055096C" w:rsidRPr="0055096C" w:rsidTr="0055096C">
        <w:trPr>
          <w:trHeight w:val="318"/>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Capítulo 73</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Manufacturas de fundición, hierro o acero</w:t>
            </w:r>
          </w:p>
        </w:tc>
      </w:tr>
      <w:tr w:rsidR="0055096C" w:rsidRPr="0055096C" w:rsidTr="0055096C">
        <w:trPr>
          <w:trHeight w:val="556"/>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Partida 7307</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 xml:space="preserve">Accesorios de tubería (por ejemplo: empalmes (racores), codos, manguitos), </w:t>
            </w:r>
            <w:proofErr w:type="spellStart"/>
            <w:r w:rsidRPr="0055096C">
              <w:rPr>
                <w:rFonts w:ascii="Verdana" w:hAnsi="Verdana"/>
                <w:bCs/>
                <w:sz w:val="20"/>
              </w:rPr>
              <w:t>defundición</w:t>
            </w:r>
            <w:proofErr w:type="spellEnd"/>
            <w:r w:rsidRPr="0055096C">
              <w:rPr>
                <w:rFonts w:ascii="Verdana" w:hAnsi="Verdana"/>
                <w:bCs/>
                <w:sz w:val="20"/>
              </w:rPr>
              <w:t>, hierro o acero.</w:t>
            </w:r>
          </w:p>
        </w:tc>
      </w:tr>
      <w:tr w:rsidR="0055096C" w:rsidRPr="0055096C" w:rsidTr="0055096C">
        <w:trPr>
          <w:trHeight w:val="318"/>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 </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 Los demás:</w:t>
            </w:r>
          </w:p>
        </w:tc>
      </w:tr>
      <w:tr w:rsidR="0055096C" w:rsidRPr="0055096C" w:rsidTr="0055096C">
        <w:trPr>
          <w:trHeight w:val="318"/>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proofErr w:type="spellStart"/>
            <w:r w:rsidRPr="0055096C">
              <w:rPr>
                <w:rFonts w:ascii="Verdana" w:hAnsi="Verdana"/>
                <w:bCs/>
                <w:sz w:val="20"/>
              </w:rPr>
              <w:t>Subpartida</w:t>
            </w:r>
            <w:proofErr w:type="spellEnd"/>
            <w:r w:rsidRPr="0055096C">
              <w:rPr>
                <w:rFonts w:ascii="Verdana" w:hAnsi="Verdana"/>
                <w:bCs/>
                <w:sz w:val="20"/>
              </w:rPr>
              <w:t xml:space="preserve"> 7307.93</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 Accesorios para soldar a tope.</w:t>
            </w:r>
          </w:p>
        </w:tc>
      </w:tr>
      <w:tr w:rsidR="0055096C" w:rsidRPr="0055096C" w:rsidTr="0055096C">
        <w:trPr>
          <w:trHeight w:val="333"/>
        </w:trPr>
        <w:tc>
          <w:tcPr>
            <w:tcW w:w="19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Fracción 7307.93.01</w:t>
            </w:r>
          </w:p>
        </w:tc>
        <w:tc>
          <w:tcPr>
            <w:tcW w:w="67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5096C" w:rsidRPr="0055096C" w:rsidRDefault="0055096C" w:rsidP="0055096C">
            <w:pPr>
              <w:jc w:val="both"/>
              <w:rPr>
                <w:rFonts w:ascii="Verdana" w:hAnsi="Verdana"/>
                <w:bCs/>
                <w:sz w:val="20"/>
              </w:rPr>
            </w:pPr>
            <w:r w:rsidRPr="0055096C">
              <w:rPr>
                <w:rFonts w:ascii="Verdana" w:hAnsi="Verdana"/>
                <w:bCs/>
                <w:sz w:val="20"/>
              </w:rPr>
              <w:t>Accesorios para soldar a tope.</w:t>
            </w:r>
          </w:p>
        </w:tc>
      </w:tr>
    </w:tbl>
    <w:p w:rsidR="0055096C" w:rsidRPr="0055096C" w:rsidRDefault="0055096C" w:rsidP="0055096C">
      <w:pPr>
        <w:jc w:val="both"/>
        <w:rPr>
          <w:rFonts w:ascii="Verdana" w:hAnsi="Verdana"/>
          <w:bCs/>
          <w:sz w:val="20"/>
        </w:rPr>
      </w:pPr>
      <w:r w:rsidRPr="0055096C">
        <w:rPr>
          <w:rFonts w:ascii="Verdana" w:hAnsi="Verdana"/>
          <w:bCs/>
          <w:sz w:val="20"/>
        </w:rPr>
        <w:t>Fuente: Sistema de Información Arancelaria Vía Internet (SIAVI).</w:t>
      </w:r>
    </w:p>
    <w:p w:rsidR="0055096C" w:rsidRPr="0055096C" w:rsidRDefault="0055096C" w:rsidP="0055096C">
      <w:pPr>
        <w:jc w:val="both"/>
        <w:rPr>
          <w:rFonts w:ascii="Verdana" w:hAnsi="Verdana"/>
          <w:bCs/>
          <w:sz w:val="20"/>
        </w:rPr>
      </w:pPr>
      <w:r w:rsidRPr="0055096C">
        <w:rPr>
          <w:rFonts w:ascii="Verdana" w:hAnsi="Verdana"/>
          <w:b/>
          <w:bCs/>
          <w:sz w:val="20"/>
        </w:rPr>
        <w:t>11.</w:t>
      </w:r>
      <w:r w:rsidRPr="0055096C">
        <w:rPr>
          <w:rFonts w:ascii="Verdana" w:hAnsi="Verdana"/>
          <w:bCs/>
          <w:sz w:val="20"/>
        </w:rPr>
        <w:t> Con base en la información del SIAVI, las importaciones de conexiones de acero al carbón para soldar a tope están exentas de arancel. La unidad de medida utilizada en la TIGIE es el kilogramo, aunque las operaciones comerciales normalmente se realizan por piezas.</w:t>
      </w:r>
    </w:p>
    <w:p w:rsidR="0055096C" w:rsidRPr="0055096C" w:rsidRDefault="0055096C" w:rsidP="0055096C">
      <w:pPr>
        <w:jc w:val="both"/>
        <w:rPr>
          <w:rFonts w:ascii="Verdana" w:hAnsi="Verdana"/>
          <w:bCs/>
          <w:sz w:val="20"/>
        </w:rPr>
      </w:pPr>
      <w:r w:rsidRPr="0055096C">
        <w:rPr>
          <w:rFonts w:ascii="Verdana" w:hAnsi="Verdana"/>
          <w:b/>
          <w:bCs/>
          <w:sz w:val="20"/>
        </w:rPr>
        <w:t>3. Proceso productivo</w:t>
      </w:r>
    </w:p>
    <w:p w:rsidR="0055096C" w:rsidRPr="0055096C" w:rsidRDefault="0055096C" w:rsidP="0055096C">
      <w:pPr>
        <w:jc w:val="both"/>
        <w:rPr>
          <w:rFonts w:ascii="Verdana" w:hAnsi="Verdana"/>
          <w:bCs/>
          <w:sz w:val="20"/>
        </w:rPr>
      </w:pPr>
      <w:r w:rsidRPr="0055096C">
        <w:rPr>
          <w:rFonts w:ascii="Verdana" w:hAnsi="Verdana"/>
          <w:b/>
          <w:bCs/>
          <w:sz w:val="20"/>
        </w:rPr>
        <w:t>12.</w:t>
      </w:r>
      <w:r w:rsidRPr="0055096C">
        <w:rPr>
          <w:rFonts w:ascii="Verdana" w:hAnsi="Verdana"/>
          <w:bCs/>
          <w:sz w:val="20"/>
        </w:rPr>
        <w:t> Los insumos principales para fabricar el producto objeto de examen son la tubería de acero al carbón sin costura con la que se producen los codos, "</w:t>
      </w:r>
      <w:proofErr w:type="spellStart"/>
      <w:r w:rsidRPr="0055096C">
        <w:rPr>
          <w:rFonts w:ascii="Verdana" w:hAnsi="Verdana"/>
          <w:bCs/>
          <w:sz w:val="20"/>
        </w:rPr>
        <w:t>tees</w:t>
      </w:r>
      <w:proofErr w:type="spellEnd"/>
      <w:r w:rsidRPr="0055096C">
        <w:rPr>
          <w:rFonts w:ascii="Verdana" w:hAnsi="Verdana"/>
          <w:bCs/>
          <w:sz w:val="20"/>
        </w:rPr>
        <w:t>" y las reducciones, y la placa en hoja con la que se fabrican las tapas. Otras materias primas son la energía eléctrica, gas natural, pinturas y barnices.</w:t>
      </w:r>
    </w:p>
    <w:p w:rsidR="0055096C" w:rsidRPr="0055096C" w:rsidRDefault="0055096C" w:rsidP="0055096C">
      <w:pPr>
        <w:jc w:val="both"/>
        <w:rPr>
          <w:rFonts w:ascii="Verdana" w:hAnsi="Verdana"/>
          <w:bCs/>
          <w:sz w:val="20"/>
        </w:rPr>
      </w:pPr>
      <w:r w:rsidRPr="0055096C">
        <w:rPr>
          <w:rFonts w:ascii="Verdana" w:hAnsi="Verdana"/>
          <w:b/>
          <w:bCs/>
          <w:sz w:val="20"/>
        </w:rPr>
        <w:t>13.</w:t>
      </w:r>
      <w:r w:rsidRPr="0055096C">
        <w:rPr>
          <w:rFonts w:ascii="Verdana" w:hAnsi="Verdana"/>
          <w:bCs/>
          <w:sz w:val="20"/>
        </w:rPr>
        <w:t> El proceso para fabricar las conexiones de acero al carbón para soldar a tope básicamente es el mismo en todo el mundo. Inicia con el corte de la tubería de acero y de la placa en hoja, en tramos y círculos, respectivamente, en tamaños apropiados, de acuerdo con el tipo de conexión a fabricar y su dimensión. Puede estar terminado mediante tratamiento térmico, biselado, granallado, estampado o pintura, o no tener terminado.</w:t>
      </w:r>
    </w:p>
    <w:p w:rsidR="0055096C" w:rsidRPr="0055096C" w:rsidRDefault="0055096C" w:rsidP="0055096C">
      <w:pPr>
        <w:jc w:val="both"/>
        <w:rPr>
          <w:rFonts w:ascii="Verdana" w:hAnsi="Verdana"/>
          <w:bCs/>
          <w:sz w:val="20"/>
        </w:rPr>
      </w:pPr>
      <w:r w:rsidRPr="0055096C">
        <w:rPr>
          <w:rFonts w:ascii="Verdana" w:hAnsi="Verdana"/>
          <w:b/>
          <w:bCs/>
          <w:sz w:val="20"/>
        </w:rPr>
        <w:t>14.</w:t>
      </w:r>
      <w:r w:rsidRPr="0055096C">
        <w:rPr>
          <w:rFonts w:ascii="Verdana" w:hAnsi="Verdana"/>
          <w:bCs/>
          <w:sz w:val="20"/>
        </w:rPr>
        <w:t> El proceso para producir cada conexión es el siguiente:</w:t>
      </w:r>
    </w:p>
    <w:p w:rsidR="0055096C" w:rsidRPr="0055096C" w:rsidRDefault="0055096C" w:rsidP="0055096C">
      <w:pPr>
        <w:jc w:val="both"/>
        <w:rPr>
          <w:rFonts w:ascii="Verdana" w:hAnsi="Verdana"/>
          <w:bCs/>
          <w:sz w:val="20"/>
        </w:rPr>
      </w:pPr>
      <w:r w:rsidRPr="0055096C">
        <w:rPr>
          <w:rFonts w:ascii="Verdana" w:hAnsi="Verdana"/>
          <w:b/>
          <w:bCs/>
          <w:sz w:val="20"/>
        </w:rPr>
        <w:t>a.</w:t>
      </w:r>
      <w:r w:rsidRPr="0055096C">
        <w:rPr>
          <w:rFonts w:ascii="Verdana" w:hAnsi="Verdana"/>
          <w:bCs/>
          <w:sz w:val="20"/>
        </w:rPr>
        <w:t>     Codos: los tramos de tubería se pasan sobre un mandril que proporciona la forma de codo por medio de fuerza y calor. Para ello, se utilizan prensas hidráulicas automáticas y hornos de gas natural a temperatura controlada con una precisión de +/- 3 grados centígrados.</w:t>
      </w:r>
    </w:p>
    <w:p w:rsidR="0055096C" w:rsidRPr="0055096C" w:rsidRDefault="0055096C" w:rsidP="0055096C">
      <w:pPr>
        <w:jc w:val="both"/>
        <w:rPr>
          <w:rFonts w:ascii="Verdana" w:hAnsi="Verdana"/>
          <w:bCs/>
          <w:sz w:val="20"/>
        </w:rPr>
      </w:pPr>
      <w:r w:rsidRPr="0055096C">
        <w:rPr>
          <w:rFonts w:ascii="Verdana" w:hAnsi="Verdana"/>
          <w:b/>
          <w:bCs/>
          <w:sz w:val="20"/>
        </w:rPr>
        <w:t>b.</w:t>
      </w:r>
      <w:r w:rsidRPr="0055096C">
        <w:rPr>
          <w:rFonts w:ascii="Verdana" w:hAnsi="Verdana"/>
          <w:bCs/>
          <w:sz w:val="20"/>
        </w:rPr>
        <w:t>    "</w:t>
      </w:r>
      <w:proofErr w:type="spellStart"/>
      <w:r w:rsidRPr="0055096C">
        <w:rPr>
          <w:rFonts w:ascii="Verdana" w:hAnsi="Verdana"/>
          <w:bCs/>
          <w:sz w:val="20"/>
        </w:rPr>
        <w:t>Tees</w:t>
      </w:r>
      <w:proofErr w:type="spellEnd"/>
      <w:r w:rsidRPr="0055096C">
        <w:rPr>
          <w:rFonts w:ascii="Verdana" w:hAnsi="Verdana"/>
          <w:bCs/>
          <w:sz w:val="20"/>
        </w:rPr>
        <w:t>": del tramo del tubo se forma el tercer ramal mediante extrusión. Se requiere calor y fuerza en prensas automáticas de doble acción para efectuar este proceso.</w:t>
      </w:r>
    </w:p>
    <w:p w:rsidR="0055096C" w:rsidRPr="0055096C" w:rsidRDefault="0055096C" w:rsidP="0055096C">
      <w:pPr>
        <w:jc w:val="both"/>
        <w:rPr>
          <w:rFonts w:ascii="Verdana" w:hAnsi="Verdana"/>
          <w:bCs/>
          <w:sz w:val="20"/>
        </w:rPr>
      </w:pPr>
      <w:r w:rsidRPr="0055096C">
        <w:rPr>
          <w:rFonts w:ascii="Verdana" w:hAnsi="Verdana"/>
          <w:b/>
          <w:bCs/>
          <w:sz w:val="20"/>
        </w:rPr>
        <w:lastRenderedPageBreak/>
        <w:t>c.</w:t>
      </w:r>
      <w:r w:rsidRPr="0055096C">
        <w:rPr>
          <w:rFonts w:ascii="Verdana" w:hAnsi="Verdana"/>
          <w:bCs/>
          <w:sz w:val="20"/>
        </w:rPr>
        <w:t>     Reducciones: los tramos de tubería se precalientan, luego se introducen en un molde donde, mediante una prensa automática, se forma la parte reducida. Al producto obtenido se le aplica un tratamiento térmico para eliminarle los esfuerzos de la forja.</w:t>
      </w:r>
    </w:p>
    <w:p w:rsidR="0055096C" w:rsidRPr="0055096C" w:rsidRDefault="0055096C" w:rsidP="0055096C">
      <w:pPr>
        <w:jc w:val="both"/>
        <w:rPr>
          <w:rFonts w:ascii="Verdana" w:hAnsi="Verdana"/>
          <w:bCs/>
          <w:sz w:val="20"/>
        </w:rPr>
      </w:pPr>
      <w:r w:rsidRPr="0055096C">
        <w:rPr>
          <w:rFonts w:ascii="Verdana" w:hAnsi="Verdana"/>
          <w:b/>
          <w:bCs/>
          <w:sz w:val="20"/>
        </w:rPr>
        <w:t>d.</w:t>
      </w:r>
      <w:r w:rsidRPr="0055096C">
        <w:rPr>
          <w:rFonts w:ascii="Verdana" w:hAnsi="Verdana"/>
          <w:bCs/>
          <w:sz w:val="20"/>
        </w:rPr>
        <w:t>    Tapas: mediante dados y balas se proporciona la forma de tapa al círculo de placa en hoja. El proceso se realiza en frío o caliente. Las piezas se someten a tratamiento térmico para su normalización.</w:t>
      </w:r>
    </w:p>
    <w:p w:rsidR="0055096C" w:rsidRPr="0055096C" w:rsidRDefault="0055096C" w:rsidP="0055096C">
      <w:pPr>
        <w:jc w:val="both"/>
        <w:rPr>
          <w:rFonts w:ascii="Verdana" w:hAnsi="Verdana"/>
          <w:bCs/>
          <w:sz w:val="20"/>
        </w:rPr>
      </w:pPr>
      <w:r w:rsidRPr="0055096C">
        <w:rPr>
          <w:rFonts w:ascii="Verdana" w:hAnsi="Verdana"/>
          <w:b/>
          <w:bCs/>
          <w:sz w:val="20"/>
        </w:rPr>
        <w:t>15.</w:t>
      </w:r>
      <w:r w:rsidRPr="0055096C">
        <w:rPr>
          <w:rFonts w:ascii="Verdana" w:hAnsi="Verdana"/>
          <w:bCs/>
          <w:sz w:val="20"/>
        </w:rPr>
        <w:t xml:space="preserve"> Mediante máquinas </w:t>
      </w:r>
      <w:proofErr w:type="spellStart"/>
      <w:r w:rsidRPr="0055096C">
        <w:rPr>
          <w:rFonts w:ascii="Verdana" w:hAnsi="Verdana"/>
          <w:bCs/>
          <w:sz w:val="20"/>
        </w:rPr>
        <w:t>granalladoras</w:t>
      </w:r>
      <w:proofErr w:type="spellEnd"/>
      <w:r w:rsidRPr="0055096C">
        <w:rPr>
          <w:rFonts w:ascii="Verdana" w:hAnsi="Verdana"/>
          <w:bCs/>
          <w:sz w:val="20"/>
        </w:rPr>
        <w:t xml:space="preserve"> y de terminado automáticas, los codos, "</w:t>
      </w:r>
      <w:proofErr w:type="spellStart"/>
      <w:r w:rsidRPr="0055096C">
        <w:rPr>
          <w:rFonts w:ascii="Verdana" w:hAnsi="Verdana"/>
          <w:bCs/>
          <w:sz w:val="20"/>
        </w:rPr>
        <w:t>tees</w:t>
      </w:r>
      <w:proofErr w:type="spellEnd"/>
      <w:r w:rsidRPr="0055096C">
        <w:rPr>
          <w:rFonts w:ascii="Verdana" w:hAnsi="Verdana"/>
          <w:bCs/>
          <w:sz w:val="20"/>
        </w:rPr>
        <w:t>" y las reducciones se limpian y sus extremos se biselan. Las tapas se biselan en tornos.</w:t>
      </w:r>
    </w:p>
    <w:p w:rsidR="0055096C" w:rsidRPr="0055096C" w:rsidRDefault="0055096C" w:rsidP="0055096C">
      <w:pPr>
        <w:jc w:val="both"/>
        <w:rPr>
          <w:rFonts w:ascii="Verdana" w:hAnsi="Verdana"/>
          <w:bCs/>
          <w:sz w:val="20"/>
        </w:rPr>
      </w:pPr>
      <w:r w:rsidRPr="0055096C">
        <w:rPr>
          <w:rFonts w:ascii="Verdana" w:hAnsi="Verdana"/>
          <w:bCs/>
          <w:sz w:val="20"/>
        </w:rPr>
        <w:t> </w:t>
      </w:r>
    </w:p>
    <w:p w:rsidR="0055096C" w:rsidRPr="0055096C" w:rsidRDefault="0055096C" w:rsidP="0055096C">
      <w:pPr>
        <w:jc w:val="both"/>
        <w:rPr>
          <w:rFonts w:ascii="Verdana" w:hAnsi="Verdana"/>
          <w:bCs/>
          <w:sz w:val="20"/>
        </w:rPr>
      </w:pPr>
      <w:r w:rsidRPr="0055096C">
        <w:rPr>
          <w:rFonts w:ascii="Verdana" w:hAnsi="Verdana"/>
          <w:b/>
          <w:bCs/>
          <w:sz w:val="20"/>
        </w:rPr>
        <w:t>4. Normas</w:t>
      </w:r>
    </w:p>
    <w:p w:rsidR="0055096C" w:rsidRPr="0055096C" w:rsidRDefault="0055096C" w:rsidP="0055096C">
      <w:pPr>
        <w:jc w:val="both"/>
        <w:rPr>
          <w:rFonts w:ascii="Verdana" w:hAnsi="Verdana"/>
          <w:bCs/>
          <w:sz w:val="20"/>
        </w:rPr>
      </w:pPr>
      <w:r w:rsidRPr="0055096C">
        <w:rPr>
          <w:rFonts w:ascii="Verdana" w:hAnsi="Verdana"/>
          <w:b/>
          <w:bCs/>
          <w:sz w:val="20"/>
        </w:rPr>
        <w:t>16.</w:t>
      </w:r>
      <w:r w:rsidRPr="0055096C">
        <w:rPr>
          <w:rFonts w:ascii="Verdana" w:hAnsi="Verdana"/>
          <w:bCs/>
          <w:sz w:val="20"/>
        </w:rPr>
        <w:t xml:space="preserve"> Las conexiones de acero al carbón para soldar a tope se fabrican normalmente conforme a las normas ASTM A 234 / A 234 M-00 (por las siglas en inglés de "American </w:t>
      </w:r>
      <w:proofErr w:type="spellStart"/>
      <w:r w:rsidRPr="0055096C">
        <w:rPr>
          <w:rFonts w:ascii="Verdana" w:hAnsi="Verdana"/>
          <w:bCs/>
          <w:sz w:val="20"/>
        </w:rPr>
        <w:t>Society</w:t>
      </w:r>
      <w:proofErr w:type="spellEnd"/>
      <w:r w:rsidRPr="0055096C">
        <w:rPr>
          <w:rFonts w:ascii="Verdana" w:hAnsi="Verdana"/>
          <w:bCs/>
          <w:sz w:val="20"/>
        </w:rPr>
        <w:t xml:space="preserve"> </w:t>
      </w:r>
      <w:proofErr w:type="spellStart"/>
      <w:r w:rsidRPr="0055096C">
        <w:rPr>
          <w:rFonts w:ascii="Verdana" w:hAnsi="Verdana"/>
          <w:bCs/>
          <w:sz w:val="20"/>
        </w:rPr>
        <w:t>for</w:t>
      </w:r>
      <w:proofErr w:type="spellEnd"/>
      <w:r w:rsidRPr="0055096C">
        <w:rPr>
          <w:rFonts w:ascii="Verdana" w:hAnsi="Verdana"/>
          <w:bCs/>
          <w:sz w:val="20"/>
        </w:rPr>
        <w:t xml:space="preserve"> </w:t>
      </w:r>
      <w:proofErr w:type="spellStart"/>
      <w:r w:rsidRPr="0055096C">
        <w:rPr>
          <w:rFonts w:ascii="Verdana" w:hAnsi="Verdana"/>
          <w:bCs/>
          <w:sz w:val="20"/>
        </w:rPr>
        <w:t>Testing</w:t>
      </w:r>
      <w:proofErr w:type="spellEnd"/>
      <w:r w:rsidRPr="0055096C">
        <w:rPr>
          <w:rFonts w:ascii="Verdana" w:hAnsi="Verdana"/>
          <w:bCs/>
          <w:sz w:val="20"/>
        </w:rPr>
        <w:t xml:space="preserve"> and </w:t>
      </w:r>
      <w:proofErr w:type="spellStart"/>
      <w:r w:rsidRPr="0055096C">
        <w:rPr>
          <w:rFonts w:ascii="Verdana" w:hAnsi="Verdana"/>
          <w:bCs/>
          <w:sz w:val="20"/>
        </w:rPr>
        <w:t>Materials</w:t>
      </w:r>
      <w:proofErr w:type="spellEnd"/>
      <w:r w:rsidRPr="0055096C">
        <w:rPr>
          <w:rFonts w:ascii="Verdana" w:hAnsi="Verdana"/>
          <w:bCs/>
          <w:sz w:val="20"/>
        </w:rPr>
        <w:t xml:space="preserve">") y ANSI / ASME (B16.9-2001 y B16.28-1994) (por las siglas en inglés de "American </w:t>
      </w:r>
      <w:proofErr w:type="spellStart"/>
      <w:r w:rsidRPr="0055096C">
        <w:rPr>
          <w:rFonts w:ascii="Verdana" w:hAnsi="Verdana"/>
          <w:bCs/>
          <w:sz w:val="20"/>
        </w:rPr>
        <w:t>National</w:t>
      </w:r>
      <w:proofErr w:type="spellEnd"/>
      <w:r w:rsidRPr="0055096C">
        <w:rPr>
          <w:rFonts w:ascii="Verdana" w:hAnsi="Verdana"/>
          <w:bCs/>
          <w:sz w:val="20"/>
        </w:rPr>
        <w:t xml:space="preserve"> </w:t>
      </w:r>
      <w:proofErr w:type="spellStart"/>
      <w:r w:rsidRPr="0055096C">
        <w:rPr>
          <w:rFonts w:ascii="Verdana" w:hAnsi="Verdana"/>
          <w:bCs/>
          <w:sz w:val="20"/>
        </w:rPr>
        <w:t>Standards</w:t>
      </w:r>
      <w:proofErr w:type="spellEnd"/>
      <w:r w:rsidRPr="0055096C">
        <w:rPr>
          <w:rFonts w:ascii="Verdana" w:hAnsi="Verdana"/>
          <w:bCs/>
          <w:sz w:val="20"/>
        </w:rPr>
        <w:t xml:space="preserve"> </w:t>
      </w:r>
      <w:proofErr w:type="spellStart"/>
      <w:r w:rsidRPr="0055096C">
        <w:rPr>
          <w:rFonts w:ascii="Verdana" w:hAnsi="Verdana"/>
          <w:bCs/>
          <w:sz w:val="20"/>
        </w:rPr>
        <w:t>Institute</w:t>
      </w:r>
      <w:proofErr w:type="spellEnd"/>
      <w:r w:rsidRPr="0055096C">
        <w:rPr>
          <w:rFonts w:ascii="Verdana" w:hAnsi="Verdana"/>
          <w:bCs/>
          <w:sz w:val="20"/>
        </w:rPr>
        <w:t xml:space="preserve">" y "American </w:t>
      </w:r>
      <w:proofErr w:type="spellStart"/>
      <w:r w:rsidRPr="0055096C">
        <w:rPr>
          <w:rFonts w:ascii="Verdana" w:hAnsi="Verdana"/>
          <w:bCs/>
          <w:sz w:val="20"/>
        </w:rPr>
        <w:t>Society</w:t>
      </w:r>
      <w:proofErr w:type="spellEnd"/>
      <w:r w:rsidRPr="0055096C">
        <w:rPr>
          <w:rFonts w:ascii="Verdana" w:hAnsi="Verdana"/>
          <w:bCs/>
          <w:sz w:val="20"/>
        </w:rPr>
        <w:t xml:space="preserve"> of </w:t>
      </w:r>
      <w:proofErr w:type="spellStart"/>
      <w:r w:rsidRPr="0055096C">
        <w:rPr>
          <w:rFonts w:ascii="Verdana" w:hAnsi="Verdana"/>
          <w:bCs/>
          <w:sz w:val="20"/>
        </w:rPr>
        <w:t>Mechanical</w:t>
      </w:r>
      <w:proofErr w:type="spellEnd"/>
      <w:r w:rsidRPr="0055096C">
        <w:rPr>
          <w:rFonts w:ascii="Verdana" w:hAnsi="Verdana"/>
          <w:bCs/>
          <w:sz w:val="20"/>
        </w:rPr>
        <w:t xml:space="preserve"> </w:t>
      </w:r>
      <w:proofErr w:type="spellStart"/>
      <w:r w:rsidRPr="0055096C">
        <w:rPr>
          <w:rFonts w:ascii="Verdana" w:hAnsi="Verdana"/>
          <w:bCs/>
          <w:sz w:val="20"/>
        </w:rPr>
        <w:t>Engineers</w:t>
      </w:r>
      <w:proofErr w:type="spellEnd"/>
      <w:r w:rsidRPr="0055096C">
        <w:rPr>
          <w:rFonts w:ascii="Verdana" w:hAnsi="Verdana"/>
          <w:bCs/>
          <w:sz w:val="20"/>
        </w:rPr>
        <w:t>", respectivamente), aunque, de acuerdo con lo manifestado por TAMSA en los procedimientos previos, suelen fabricarse sin cumplir con norma específica alguna.</w:t>
      </w:r>
    </w:p>
    <w:p w:rsidR="0055096C" w:rsidRPr="0055096C" w:rsidRDefault="0055096C" w:rsidP="0055096C">
      <w:pPr>
        <w:jc w:val="both"/>
        <w:rPr>
          <w:rFonts w:ascii="Verdana" w:hAnsi="Verdana"/>
          <w:bCs/>
          <w:sz w:val="20"/>
        </w:rPr>
      </w:pPr>
      <w:r w:rsidRPr="0055096C">
        <w:rPr>
          <w:rFonts w:ascii="Verdana" w:hAnsi="Verdana"/>
          <w:b/>
          <w:bCs/>
          <w:sz w:val="20"/>
        </w:rPr>
        <w:t>17.</w:t>
      </w:r>
      <w:r w:rsidRPr="0055096C">
        <w:rPr>
          <w:rFonts w:ascii="Verdana" w:hAnsi="Verdana"/>
          <w:bCs/>
          <w:sz w:val="20"/>
        </w:rPr>
        <w:t> Diversas normas internacionales establecen el máximo de carbono, fósforo, azufre, manganeso, silicio y cromo que deben contener las conexiones de acero al carbón para soldar a tope. Por ejemplo, la norma B16.9-2001 establece que una conexión de acero al carbón tipo codo que se fabrica con acero grado B y en diámetros desde 21.3 hasta 1,219 milímetros debe tener un contenido máximo de carbono, manganeso, fósforo, azufre, silicio y cromo de 0.30, 1.06, 0.05, 0.058, 0.10 y 0.40%, respectivamente.</w:t>
      </w:r>
    </w:p>
    <w:p w:rsidR="0055096C" w:rsidRPr="0055096C" w:rsidRDefault="0055096C" w:rsidP="0055096C">
      <w:pPr>
        <w:jc w:val="both"/>
        <w:rPr>
          <w:rFonts w:ascii="Verdana" w:hAnsi="Verdana"/>
          <w:bCs/>
          <w:sz w:val="20"/>
        </w:rPr>
      </w:pPr>
      <w:r w:rsidRPr="0055096C">
        <w:rPr>
          <w:rFonts w:ascii="Verdana" w:hAnsi="Verdana"/>
          <w:b/>
          <w:bCs/>
          <w:sz w:val="20"/>
        </w:rPr>
        <w:t>5. Usos y funciones</w:t>
      </w:r>
    </w:p>
    <w:p w:rsidR="0055096C" w:rsidRPr="0055096C" w:rsidRDefault="0055096C" w:rsidP="0055096C">
      <w:pPr>
        <w:jc w:val="both"/>
        <w:rPr>
          <w:rFonts w:ascii="Verdana" w:hAnsi="Verdana"/>
          <w:bCs/>
          <w:sz w:val="20"/>
        </w:rPr>
      </w:pPr>
      <w:r w:rsidRPr="0055096C">
        <w:rPr>
          <w:rFonts w:ascii="Verdana" w:hAnsi="Verdana"/>
          <w:b/>
          <w:bCs/>
          <w:sz w:val="20"/>
        </w:rPr>
        <w:t>18.</w:t>
      </w:r>
      <w:r w:rsidRPr="0055096C">
        <w:rPr>
          <w:rFonts w:ascii="Verdana" w:hAnsi="Verdana"/>
          <w:bCs/>
          <w:sz w:val="20"/>
        </w:rPr>
        <w:t> La función principal de los codos, "</w:t>
      </w:r>
      <w:proofErr w:type="spellStart"/>
      <w:r w:rsidRPr="0055096C">
        <w:rPr>
          <w:rFonts w:ascii="Verdana" w:hAnsi="Verdana"/>
          <w:bCs/>
          <w:sz w:val="20"/>
        </w:rPr>
        <w:t>tees</w:t>
      </w:r>
      <w:proofErr w:type="spellEnd"/>
      <w:r w:rsidRPr="0055096C">
        <w:rPr>
          <w:rFonts w:ascii="Verdana" w:hAnsi="Verdana"/>
          <w:bCs/>
          <w:sz w:val="20"/>
        </w:rPr>
        <w:t>" y las reducciones es conectar los extremos de dos o más tubos para cambiar la dirección, hacer una ramificación y reducir o aumentar el diámetro de la línea de tubería, respectivamente. La función de las tapas es cerrar la línea de tubería o el final de un recipiente mecánico o hidráulico.</w:t>
      </w:r>
    </w:p>
    <w:p w:rsidR="0055096C" w:rsidRPr="0055096C" w:rsidRDefault="0055096C" w:rsidP="0055096C">
      <w:pPr>
        <w:jc w:val="both"/>
        <w:rPr>
          <w:rFonts w:ascii="Verdana" w:hAnsi="Verdana"/>
          <w:bCs/>
          <w:sz w:val="20"/>
        </w:rPr>
      </w:pPr>
      <w:r w:rsidRPr="0055096C">
        <w:rPr>
          <w:rFonts w:ascii="Verdana" w:hAnsi="Verdana"/>
          <w:b/>
          <w:bCs/>
          <w:sz w:val="20"/>
        </w:rPr>
        <w:t>19.</w:t>
      </w:r>
      <w:r w:rsidRPr="0055096C">
        <w:rPr>
          <w:rFonts w:ascii="Verdana" w:hAnsi="Verdana"/>
          <w:bCs/>
          <w:sz w:val="20"/>
        </w:rPr>
        <w:t> Estas mercancías se utilizan principalmente en líneas de tubería para la conducción de diversos fluidos (agua, vapor, petroquímicos y gas, principalmente) en diversos sistemas, por ejemplo, industriales, de calefacción, plomería, aire acondicionado e irrigación. Suelen utilizarse también como insumos para fabricar calderas o equipos de intercambio de calor, o bien, para conectar las líneas de tubería a algún aparato o maquinaria.</w:t>
      </w:r>
    </w:p>
    <w:p w:rsidR="0055096C" w:rsidRPr="0055096C" w:rsidRDefault="0055096C" w:rsidP="0055096C">
      <w:pPr>
        <w:jc w:val="both"/>
        <w:rPr>
          <w:rFonts w:ascii="Verdana" w:hAnsi="Verdana"/>
          <w:bCs/>
          <w:sz w:val="20"/>
        </w:rPr>
      </w:pPr>
      <w:r w:rsidRPr="0055096C">
        <w:rPr>
          <w:rFonts w:ascii="Verdana" w:hAnsi="Verdana"/>
          <w:b/>
          <w:bCs/>
          <w:sz w:val="20"/>
        </w:rPr>
        <w:t>G. Posibles partes interesadas</w:t>
      </w:r>
    </w:p>
    <w:p w:rsidR="0055096C" w:rsidRPr="0055096C" w:rsidRDefault="0055096C" w:rsidP="0055096C">
      <w:pPr>
        <w:jc w:val="both"/>
        <w:rPr>
          <w:rFonts w:ascii="Verdana" w:hAnsi="Verdana"/>
          <w:bCs/>
          <w:sz w:val="20"/>
        </w:rPr>
      </w:pPr>
      <w:r w:rsidRPr="0055096C">
        <w:rPr>
          <w:rFonts w:ascii="Verdana" w:hAnsi="Verdana"/>
          <w:b/>
          <w:bCs/>
          <w:sz w:val="20"/>
        </w:rPr>
        <w:t>20.</w:t>
      </w:r>
      <w:r w:rsidRPr="0055096C">
        <w:rPr>
          <w:rFonts w:ascii="Verdana" w:hAnsi="Verdana"/>
          <w:bCs/>
          <w:sz w:val="20"/>
        </w:rPr>
        <w:t> Las partes de que la Secretaría tiene conocimiento y que podrían tener interés en comparecer al presente procedimiento, son las siguientes:</w:t>
      </w:r>
    </w:p>
    <w:p w:rsidR="0055096C" w:rsidRPr="0055096C" w:rsidRDefault="0055096C" w:rsidP="0055096C">
      <w:pPr>
        <w:jc w:val="both"/>
        <w:rPr>
          <w:rFonts w:ascii="Verdana" w:hAnsi="Verdana"/>
          <w:bCs/>
          <w:sz w:val="20"/>
        </w:rPr>
      </w:pPr>
      <w:r w:rsidRPr="0055096C">
        <w:rPr>
          <w:rFonts w:ascii="Verdana" w:hAnsi="Verdana"/>
          <w:b/>
          <w:bCs/>
          <w:sz w:val="20"/>
        </w:rPr>
        <w:lastRenderedPageBreak/>
        <w:t>1. Productor nacional</w:t>
      </w:r>
    </w:p>
    <w:p w:rsidR="0055096C" w:rsidRPr="0055096C" w:rsidRDefault="0055096C" w:rsidP="0055096C">
      <w:pPr>
        <w:jc w:val="both"/>
        <w:rPr>
          <w:rFonts w:ascii="Verdana" w:hAnsi="Verdana"/>
          <w:bCs/>
          <w:sz w:val="20"/>
        </w:rPr>
      </w:pPr>
      <w:r w:rsidRPr="0055096C">
        <w:rPr>
          <w:rFonts w:ascii="Verdana" w:hAnsi="Verdana"/>
          <w:bCs/>
          <w:sz w:val="20"/>
        </w:rPr>
        <w:t>Tubos de Acero de México, S.A.</w:t>
      </w:r>
    </w:p>
    <w:p w:rsidR="0055096C" w:rsidRPr="0055096C" w:rsidRDefault="0055096C" w:rsidP="0055096C">
      <w:pPr>
        <w:jc w:val="both"/>
        <w:rPr>
          <w:rFonts w:ascii="Verdana" w:hAnsi="Verdana"/>
          <w:bCs/>
          <w:sz w:val="20"/>
        </w:rPr>
      </w:pPr>
      <w:r w:rsidRPr="0055096C">
        <w:rPr>
          <w:rFonts w:ascii="Verdana" w:hAnsi="Verdana"/>
          <w:bCs/>
          <w:sz w:val="20"/>
        </w:rPr>
        <w:t>Campos Elíseos No. 400, piso 17</w:t>
      </w:r>
    </w:p>
    <w:p w:rsidR="0055096C" w:rsidRPr="0055096C" w:rsidRDefault="0055096C" w:rsidP="0055096C">
      <w:pPr>
        <w:jc w:val="both"/>
        <w:rPr>
          <w:rFonts w:ascii="Verdana" w:hAnsi="Verdana"/>
          <w:bCs/>
          <w:sz w:val="20"/>
        </w:rPr>
      </w:pPr>
      <w:r w:rsidRPr="0055096C">
        <w:rPr>
          <w:rFonts w:ascii="Verdana" w:hAnsi="Verdana"/>
          <w:bCs/>
          <w:sz w:val="20"/>
        </w:rPr>
        <w:t>Col. Chapultepec Polanco</w:t>
      </w:r>
    </w:p>
    <w:p w:rsidR="0055096C" w:rsidRPr="0055096C" w:rsidRDefault="0055096C" w:rsidP="0055096C">
      <w:pPr>
        <w:jc w:val="both"/>
        <w:rPr>
          <w:rFonts w:ascii="Verdana" w:hAnsi="Verdana"/>
          <w:bCs/>
          <w:sz w:val="20"/>
        </w:rPr>
      </w:pPr>
      <w:r w:rsidRPr="0055096C">
        <w:rPr>
          <w:rFonts w:ascii="Verdana" w:hAnsi="Verdana"/>
          <w:bCs/>
          <w:sz w:val="20"/>
        </w:rPr>
        <w:t>C.P. 11560, Ciudad de México</w:t>
      </w:r>
    </w:p>
    <w:p w:rsidR="0055096C" w:rsidRPr="0055096C" w:rsidRDefault="0055096C" w:rsidP="0055096C">
      <w:pPr>
        <w:jc w:val="both"/>
        <w:rPr>
          <w:rFonts w:ascii="Verdana" w:hAnsi="Verdana"/>
          <w:bCs/>
          <w:sz w:val="20"/>
        </w:rPr>
      </w:pPr>
      <w:r w:rsidRPr="0055096C">
        <w:rPr>
          <w:rFonts w:ascii="Verdana" w:hAnsi="Verdana"/>
          <w:b/>
          <w:bCs/>
          <w:sz w:val="20"/>
        </w:rPr>
        <w:t>2. Gobierno</w:t>
      </w:r>
    </w:p>
    <w:p w:rsidR="0055096C" w:rsidRPr="0055096C" w:rsidRDefault="0055096C" w:rsidP="0055096C">
      <w:pPr>
        <w:jc w:val="both"/>
        <w:rPr>
          <w:rFonts w:ascii="Verdana" w:hAnsi="Verdana"/>
          <w:bCs/>
          <w:sz w:val="20"/>
        </w:rPr>
      </w:pPr>
      <w:r w:rsidRPr="0055096C">
        <w:rPr>
          <w:rFonts w:ascii="Verdana" w:hAnsi="Verdana"/>
          <w:bCs/>
          <w:sz w:val="20"/>
        </w:rPr>
        <w:t>Embajada de China en México</w:t>
      </w:r>
    </w:p>
    <w:p w:rsidR="0055096C" w:rsidRPr="0055096C" w:rsidRDefault="0055096C" w:rsidP="0055096C">
      <w:pPr>
        <w:jc w:val="both"/>
        <w:rPr>
          <w:rFonts w:ascii="Verdana" w:hAnsi="Verdana"/>
          <w:bCs/>
          <w:sz w:val="20"/>
        </w:rPr>
      </w:pPr>
      <w:r w:rsidRPr="0055096C">
        <w:rPr>
          <w:rFonts w:ascii="Verdana" w:hAnsi="Verdana"/>
          <w:bCs/>
          <w:sz w:val="20"/>
        </w:rPr>
        <w:t>Platón No. 317</w:t>
      </w:r>
    </w:p>
    <w:p w:rsidR="0055096C" w:rsidRPr="0055096C" w:rsidRDefault="0055096C" w:rsidP="0055096C">
      <w:pPr>
        <w:jc w:val="both"/>
        <w:rPr>
          <w:rFonts w:ascii="Verdana" w:hAnsi="Verdana"/>
          <w:bCs/>
          <w:sz w:val="20"/>
        </w:rPr>
      </w:pPr>
      <w:r w:rsidRPr="0055096C">
        <w:rPr>
          <w:rFonts w:ascii="Verdana" w:hAnsi="Verdana"/>
          <w:bCs/>
          <w:sz w:val="20"/>
        </w:rPr>
        <w:t>Col. Polanco</w:t>
      </w:r>
    </w:p>
    <w:p w:rsidR="0055096C" w:rsidRPr="0055096C" w:rsidRDefault="0055096C" w:rsidP="0055096C">
      <w:pPr>
        <w:jc w:val="both"/>
        <w:rPr>
          <w:rFonts w:ascii="Verdana" w:hAnsi="Verdana"/>
          <w:bCs/>
          <w:sz w:val="20"/>
        </w:rPr>
      </w:pPr>
      <w:r w:rsidRPr="0055096C">
        <w:rPr>
          <w:rFonts w:ascii="Verdana" w:hAnsi="Verdana"/>
          <w:bCs/>
          <w:sz w:val="20"/>
        </w:rPr>
        <w:t>C.P. 11560, Ciudad de México</w:t>
      </w:r>
    </w:p>
    <w:p w:rsidR="0055096C" w:rsidRPr="0055096C" w:rsidRDefault="0055096C" w:rsidP="0055096C">
      <w:pPr>
        <w:jc w:val="both"/>
        <w:rPr>
          <w:rFonts w:ascii="Verdana" w:hAnsi="Verdana"/>
          <w:b/>
          <w:bCs/>
          <w:sz w:val="20"/>
        </w:rPr>
      </w:pPr>
      <w:r w:rsidRPr="0055096C">
        <w:rPr>
          <w:rFonts w:ascii="Verdana" w:hAnsi="Verdana"/>
          <w:b/>
          <w:bCs/>
          <w:sz w:val="20"/>
        </w:rPr>
        <w:t>CONSIDERANDOS</w:t>
      </w:r>
    </w:p>
    <w:p w:rsidR="0055096C" w:rsidRPr="0055096C" w:rsidRDefault="0055096C" w:rsidP="0055096C">
      <w:pPr>
        <w:jc w:val="both"/>
        <w:rPr>
          <w:rFonts w:ascii="Verdana" w:hAnsi="Verdana"/>
          <w:bCs/>
          <w:sz w:val="20"/>
        </w:rPr>
      </w:pPr>
      <w:r w:rsidRPr="0055096C">
        <w:rPr>
          <w:rFonts w:ascii="Verdana" w:hAnsi="Verdana"/>
          <w:b/>
          <w:bCs/>
          <w:sz w:val="20"/>
        </w:rPr>
        <w:t>A. Competencia</w:t>
      </w:r>
    </w:p>
    <w:p w:rsidR="0055096C" w:rsidRPr="0055096C" w:rsidRDefault="0055096C" w:rsidP="0055096C">
      <w:pPr>
        <w:jc w:val="both"/>
        <w:rPr>
          <w:rFonts w:ascii="Verdana" w:hAnsi="Verdana"/>
          <w:bCs/>
          <w:sz w:val="20"/>
        </w:rPr>
      </w:pPr>
      <w:r w:rsidRPr="0055096C">
        <w:rPr>
          <w:rFonts w:ascii="Verdana" w:hAnsi="Verdana"/>
          <w:b/>
          <w:bCs/>
          <w:sz w:val="20"/>
        </w:rPr>
        <w:t>21.</w:t>
      </w:r>
      <w:r w:rsidRPr="0055096C">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55096C" w:rsidRPr="0055096C" w:rsidRDefault="0055096C" w:rsidP="0055096C">
      <w:pPr>
        <w:jc w:val="both"/>
        <w:rPr>
          <w:rFonts w:ascii="Verdana" w:hAnsi="Verdana"/>
          <w:bCs/>
          <w:sz w:val="20"/>
        </w:rPr>
      </w:pPr>
      <w:r w:rsidRPr="0055096C">
        <w:rPr>
          <w:rFonts w:ascii="Verdana" w:hAnsi="Verdana"/>
          <w:b/>
          <w:bCs/>
          <w:sz w:val="20"/>
        </w:rPr>
        <w:t>B. Legislación aplicable</w:t>
      </w:r>
    </w:p>
    <w:p w:rsidR="0055096C" w:rsidRPr="0055096C" w:rsidRDefault="0055096C" w:rsidP="0055096C">
      <w:pPr>
        <w:jc w:val="both"/>
        <w:rPr>
          <w:rFonts w:ascii="Verdana" w:hAnsi="Verdana"/>
          <w:bCs/>
          <w:sz w:val="20"/>
        </w:rPr>
      </w:pPr>
      <w:r w:rsidRPr="0055096C">
        <w:rPr>
          <w:rFonts w:ascii="Verdana" w:hAnsi="Verdana"/>
          <w:b/>
          <w:bCs/>
          <w:sz w:val="20"/>
        </w:rPr>
        <w:t>22.</w:t>
      </w:r>
      <w:r w:rsidRPr="0055096C">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55096C" w:rsidRPr="0055096C" w:rsidRDefault="0055096C" w:rsidP="0055096C">
      <w:pPr>
        <w:jc w:val="both"/>
        <w:rPr>
          <w:rFonts w:ascii="Verdana" w:hAnsi="Verdana"/>
          <w:bCs/>
          <w:sz w:val="20"/>
        </w:rPr>
      </w:pPr>
      <w:r w:rsidRPr="0055096C">
        <w:rPr>
          <w:rFonts w:ascii="Verdana" w:hAnsi="Verdana"/>
          <w:b/>
          <w:bCs/>
          <w:sz w:val="20"/>
        </w:rPr>
        <w:t>C. Protección de la información confidencial</w:t>
      </w:r>
    </w:p>
    <w:p w:rsidR="0055096C" w:rsidRPr="0055096C" w:rsidRDefault="0055096C" w:rsidP="0055096C">
      <w:pPr>
        <w:jc w:val="both"/>
        <w:rPr>
          <w:rFonts w:ascii="Verdana" w:hAnsi="Verdana"/>
          <w:bCs/>
          <w:sz w:val="20"/>
        </w:rPr>
      </w:pPr>
      <w:r w:rsidRPr="0055096C">
        <w:rPr>
          <w:rFonts w:ascii="Verdana" w:hAnsi="Verdana"/>
          <w:bCs/>
          <w:sz w:val="20"/>
        </w:rPr>
        <w:t> </w:t>
      </w:r>
    </w:p>
    <w:p w:rsidR="0055096C" w:rsidRPr="0055096C" w:rsidRDefault="0055096C" w:rsidP="0055096C">
      <w:pPr>
        <w:jc w:val="both"/>
        <w:rPr>
          <w:rFonts w:ascii="Verdana" w:hAnsi="Verdana"/>
          <w:bCs/>
          <w:sz w:val="20"/>
        </w:rPr>
      </w:pPr>
      <w:r w:rsidRPr="0055096C">
        <w:rPr>
          <w:rFonts w:ascii="Verdana" w:hAnsi="Verdana"/>
          <w:b/>
          <w:bCs/>
          <w:sz w:val="20"/>
        </w:rPr>
        <w:t>23.</w:t>
      </w:r>
      <w:r w:rsidRPr="0055096C">
        <w:rPr>
          <w:rFonts w:ascii="Verdana" w:hAnsi="Verdana"/>
          <w:bCs/>
          <w:sz w:val="20"/>
        </w:rPr>
        <w:t>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55096C" w:rsidRPr="0055096C" w:rsidRDefault="0055096C" w:rsidP="0055096C">
      <w:pPr>
        <w:jc w:val="both"/>
        <w:rPr>
          <w:rFonts w:ascii="Verdana" w:hAnsi="Verdana"/>
          <w:bCs/>
          <w:sz w:val="20"/>
        </w:rPr>
      </w:pPr>
      <w:r w:rsidRPr="0055096C">
        <w:rPr>
          <w:rFonts w:ascii="Verdana" w:hAnsi="Verdana"/>
          <w:b/>
          <w:bCs/>
          <w:sz w:val="20"/>
        </w:rPr>
        <w:lastRenderedPageBreak/>
        <w:t>D. Legitimación para el inicio del examen de vigencia de cuota</w:t>
      </w:r>
    </w:p>
    <w:p w:rsidR="0055096C" w:rsidRPr="0055096C" w:rsidRDefault="0055096C" w:rsidP="0055096C">
      <w:pPr>
        <w:jc w:val="both"/>
        <w:rPr>
          <w:rFonts w:ascii="Verdana" w:hAnsi="Verdana"/>
          <w:bCs/>
          <w:sz w:val="20"/>
        </w:rPr>
      </w:pPr>
      <w:r w:rsidRPr="0055096C">
        <w:rPr>
          <w:rFonts w:ascii="Verdana" w:hAnsi="Verdana"/>
          <w:b/>
          <w:bCs/>
          <w:sz w:val="20"/>
        </w:rPr>
        <w:t>24.</w:t>
      </w:r>
      <w:r w:rsidRPr="0055096C">
        <w:rPr>
          <w:rFonts w:ascii="Verdana" w:hAnsi="Verdana"/>
          <w:bCs/>
          <w:sz w:val="20"/>
        </w:rPr>
        <w:t> Conforme a lo dispuesto en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55096C" w:rsidRPr="0055096C" w:rsidRDefault="0055096C" w:rsidP="0055096C">
      <w:pPr>
        <w:jc w:val="both"/>
        <w:rPr>
          <w:rFonts w:ascii="Verdana" w:hAnsi="Verdana"/>
          <w:bCs/>
          <w:sz w:val="20"/>
        </w:rPr>
      </w:pPr>
      <w:r w:rsidRPr="0055096C">
        <w:rPr>
          <w:rFonts w:ascii="Verdana" w:hAnsi="Verdana"/>
          <w:b/>
          <w:bCs/>
          <w:sz w:val="20"/>
        </w:rPr>
        <w:t>25.</w:t>
      </w:r>
      <w:r w:rsidRPr="0055096C">
        <w:rPr>
          <w:rFonts w:ascii="Verdana" w:hAnsi="Verdana"/>
          <w:bCs/>
          <w:sz w:val="20"/>
        </w:rPr>
        <w:t> En el presente caso, TAMSA en su calidad de productor nacional del producto objeto de examen manifestó en tiempo y forma su interés en que se inicie el examen de vigencia de la cuota compensatoria definitiva impuesta a las importaciones de conexiones de acero al carbón para soldar a tope originarias de China, por lo que se actualizan los supuestos previstos en la legislación de la materia y, en consecuencia, procede iniciarlo.</w:t>
      </w:r>
    </w:p>
    <w:p w:rsidR="0055096C" w:rsidRPr="0055096C" w:rsidRDefault="0055096C" w:rsidP="0055096C">
      <w:pPr>
        <w:jc w:val="both"/>
        <w:rPr>
          <w:rFonts w:ascii="Verdana" w:hAnsi="Verdana"/>
          <w:bCs/>
          <w:sz w:val="20"/>
        </w:rPr>
      </w:pPr>
      <w:r w:rsidRPr="0055096C">
        <w:rPr>
          <w:rFonts w:ascii="Verdana" w:hAnsi="Verdana"/>
          <w:b/>
          <w:bCs/>
          <w:sz w:val="20"/>
        </w:rPr>
        <w:t>E. Periodo de examen y de análisis</w:t>
      </w:r>
    </w:p>
    <w:p w:rsidR="0055096C" w:rsidRPr="0055096C" w:rsidRDefault="0055096C" w:rsidP="0055096C">
      <w:pPr>
        <w:jc w:val="both"/>
        <w:rPr>
          <w:rFonts w:ascii="Verdana" w:hAnsi="Verdana"/>
          <w:bCs/>
          <w:sz w:val="20"/>
        </w:rPr>
      </w:pPr>
      <w:r w:rsidRPr="0055096C">
        <w:rPr>
          <w:rFonts w:ascii="Verdana" w:hAnsi="Verdana"/>
          <w:b/>
          <w:bCs/>
          <w:sz w:val="20"/>
        </w:rPr>
        <w:t>26.</w:t>
      </w:r>
      <w:r w:rsidRPr="0055096C">
        <w:rPr>
          <w:rFonts w:ascii="Verdana" w:hAnsi="Verdana"/>
          <w:bCs/>
          <w:sz w:val="20"/>
        </w:rPr>
        <w:t> La Secretaría determina fijar como periodo de examen el propuesto por TAMSA, comprendido del 1 de julio de 2018 al 30 de junio de 2019 y como periodo de análisis el comprendido del 1 de julio de 2014 al 30 de junio de 2019, toda vez que éstos se apegan a lo previsto en el artículo 76 del RLCE y a la recomendación del Comité de Prácticas Antidumping de la Organización Mundial del Comercio (documento G/ADP/6 adoptado el 5 de mayo de 2000).</w:t>
      </w:r>
    </w:p>
    <w:p w:rsidR="0055096C" w:rsidRPr="0055096C" w:rsidRDefault="0055096C" w:rsidP="0055096C">
      <w:pPr>
        <w:jc w:val="both"/>
        <w:rPr>
          <w:rFonts w:ascii="Verdana" w:hAnsi="Verdana"/>
          <w:bCs/>
          <w:sz w:val="20"/>
        </w:rPr>
      </w:pPr>
      <w:r w:rsidRPr="0055096C">
        <w:rPr>
          <w:rFonts w:ascii="Verdana" w:hAnsi="Verdana"/>
          <w:b/>
          <w:bCs/>
          <w:sz w:val="20"/>
        </w:rPr>
        <w:t>27.</w:t>
      </w:r>
      <w:r w:rsidRPr="0055096C">
        <w:rPr>
          <w:rFonts w:ascii="Verdana" w:hAnsi="Verdana"/>
          <w:bCs/>
          <w:sz w:val="20"/>
        </w:rPr>
        <w:t> Por lo expuesto, con fundamento en los artículos 11.1 y 11.3 del Acuerdo Antidumping, y 67, 70 </w:t>
      </w:r>
      <w:proofErr w:type="gramStart"/>
      <w:r w:rsidRPr="0055096C">
        <w:rPr>
          <w:rFonts w:ascii="Verdana" w:hAnsi="Verdana"/>
          <w:bCs/>
          <w:sz w:val="20"/>
        </w:rPr>
        <w:t>fracción</w:t>
      </w:r>
      <w:proofErr w:type="gramEnd"/>
      <w:r w:rsidRPr="0055096C">
        <w:rPr>
          <w:rFonts w:ascii="Verdana" w:hAnsi="Verdana"/>
          <w:bCs/>
          <w:sz w:val="20"/>
        </w:rPr>
        <w:t xml:space="preserve"> II, 70 B y 89 F de la LCE, se emite la siguiente</w:t>
      </w:r>
    </w:p>
    <w:p w:rsidR="0055096C" w:rsidRPr="0055096C" w:rsidRDefault="0055096C" w:rsidP="0055096C">
      <w:pPr>
        <w:jc w:val="both"/>
        <w:rPr>
          <w:rFonts w:ascii="Verdana" w:hAnsi="Verdana"/>
          <w:b/>
          <w:bCs/>
          <w:sz w:val="20"/>
        </w:rPr>
      </w:pPr>
      <w:r w:rsidRPr="0055096C">
        <w:rPr>
          <w:rFonts w:ascii="Verdana" w:hAnsi="Verdana"/>
          <w:b/>
          <w:bCs/>
          <w:sz w:val="20"/>
        </w:rPr>
        <w:t>RESOLUCIÓN</w:t>
      </w:r>
    </w:p>
    <w:p w:rsidR="0055096C" w:rsidRPr="0055096C" w:rsidRDefault="0055096C" w:rsidP="0055096C">
      <w:pPr>
        <w:jc w:val="both"/>
        <w:rPr>
          <w:rFonts w:ascii="Verdana" w:hAnsi="Verdana"/>
          <w:bCs/>
          <w:sz w:val="20"/>
        </w:rPr>
      </w:pPr>
      <w:r w:rsidRPr="0055096C">
        <w:rPr>
          <w:rFonts w:ascii="Verdana" w:hAnsi="Verdana"/>
          <w:b/>
          <w:bCs/>
          <w:sz w:val="20"/>
        </w:rPr>
        <w:t>28.</w:t>
      </w:r>
      <w:r w:rsidRPr="0055096C">
        <w:rPr>
          <w:rFonts w:ascii="Verdana" w:hAnsi="Verdana"/>
          <w:bCs/>
          <w:sz w:val="20"/>
        </w:rPr>
        <w:t> Se declara el inicio del examen de vigencia de la cuota compensatoria definitiva impuesta a las importaciones de conexiones de acero al carbón para soldar a tope originarias de China, independientemente del país de procedencia, que ingresan a través de la fracción arancelaria 7307.93.01 de la TIGIE, o por cualquier otra.</w:t>
      </w:r>
    </w:p>
    <w:p w:rsidR="0055096C" w:rsidRPr="0055096C" w:rsidRDefault="0055096C" w:rsidP="0055096C">
      <w:pPr>
        <w:jc w:val="both"/>
        <w:rPr>
          <w:rFonts w:ascii="Verdana" w:hAnsi="Verdana"/>
          <w:bCs/>
          <w:sz w:val="20"/>
        </w:rPr>
      </w:pPr>
      <w:r w:rsidRPr="0055096C">
        <w:rPr>
          <w:rFonts w:ascii="Verdana" w:hAnsi="Verdana"/>
          <w:b/>
          <w:bCs/>
          <w:sz w:val="20"/>
        </w:rPr>
        <w:t>29.</w:t>
      </w:r>
      <w:r w:rsidRPr="0055096C">
        <w:rPr>
          <w:rFonts w:ascii="Verdana" w:hAnsi="Verdana"/>
          <w:bCs/>
          <w:sz w:val="20"/>
        </w:rPr>
        <w:t> Se fija como periodo de examen el comprendido del 1 de julio de 2018 al 30 de junio de 2019 y como periodo de análisis el comprendido del 1 de julio de 2014 al 30 de junio de 2019.</w:t>
      </w:r>
    </w:p>
    <w:p w:rsidR="0055096C" w:rsidRPr="0055096C" w:rsidRDefault="0055096C" w:rsidP="0055096C">
      <w:pPr>
        <w:jc w:val="both"/>
        <w:rPr>
          <w:rFonts w:ascii="Verdana" w:hAnsi="Verdana"/>
          <w:bCs/>
          <w:sz w:val="20"/>
        </w:rPr>
      </w:pPr>
      <w:r w:rsidRPr="0055096C">
        <w:rPr>
          <w:rFonts w:ascii="Verdana" w:hAnsi="Verdana"/>
          <w:b/>
          <w:bCs/>
          <w:sz w:val="20"/>
        </w:rPr>
        <w:t>30.</w:t>
      </w:r>
      <w:r w:rsidRPr="0055096C">
        <w:rPr>
          <w:rFonts w:ascii="Verdana" w:hAnsi="Verdana"/>
          <w:bCs/>
          <w:sz w:val="20"/>
        </w:rPr>
        <w:t> Conforme a lo establecido en los artículos 11.3 del Acuerdo Antidumping, 70 fracción II y 89 F de la LCE, y 94 del RLCE, la cuota compensatoria definitiva a que se refieren los puntos 3 y 4 de la presente Resolución, continuará vigente mientras se tramita el presente procedimiento de examen de vigencia.</w:t>
      </w:r>
    </w:p>
    <w:p w:rsidR="0055096C" w:rsidRPr="0055096C" w:rsidRDefault="0055096C" w:rsidP="0055096C">
      <w:pPr>
        <w:jc w:val="both"/>
        <w:rPr>
          <w:rFonts w:ascii="Verdana" w:hAnsi="Verdana"/>
          <w:bCs/>
          <w:sz w:val="20"/>
        </w:rPr>
      </w:pPr>
      <w:r w:rsidRPr="0055096C">
        <w:rPr>
          <w:rFonts w:ascii="Verdana" w:hAnsi="Verdana"/>
          <w:b/>
          <w:bCs/>
          <w:sz w:val="20"/>
        </w:rPr>
        <w:t>31.</w:t>
      </w:r>
      <w:r w:rsidRPr="0055096C">
        <w:rPr>
          <w:rFonts w:ascii="Verdana" w:hAnsi="Verdana"/>
          <w:bCs/>
          <w:sz w:val="2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así como los argumentos y las pruebas que </w:t>
      </w:r>
      <w:r w:rsidRPr="0055096C">
        <w:rPr>
          <w:rFonts w:ascii="Verdana" w:hAnsi="Verdana"/>
          <w:bCs/>
          <w:sz w:val="20"/>
        </w:rPr>
        <w:lastRenderedPageBreak/>
        <w:t>consideren convenientes. El plazo de 28 días hábiles se contará a partir del día siguiente de la publicación en el DOF de la presente Resolución y concluirá a las 14:00 horas del día de su vencimiento.</w:t>
      </w:r>
    </w:p>
    <w:p w:rsidR="0055096C" w:rsidRPr="0055096C" w:rsidRDefault="0055096C" w:rsidP="0055096C">
      <w:pPr>
        <w:jc w:val="both"/>
        <w:rPr>
          <w:rFonts w:ascii="Verdana" w:hAnsi="Verdana"/>
          <w:bCs/>
          <w:sz w:val="20"/>
        </w:rPr>
      </w:pPr>
      <w:r w:rsidRPr="0055096C">
        <w:rPr>
          <w:rFonts w:ascii="Verdana" w:hAnsi="Verdana"/>
          <w:b/>
          <w:bCs/>
          <w:sz w:val="20"/>
        </w:rPr>
        <w:t>32.</w:t>
      </w:r>
      <w:r w:rsidRPr="0055096C">
        <w:rPr>
          <w:rFonts w:ascii="Verdana" w:hAnsi="Verdana"/>
          <w:bCs/>
          <w:sz w:val="20"/>
        </w:rPr>
        <w:t> 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55096C" w:rsidRPr="0055096C" w:rsidRDefault="0055096C" w:rsidP="0055096C">
      <w:pPr>
        <w:jc w:val="both"/>
        <w:rPr>
          <w:rFonts w:ascii="Verdana" w:hAnsi="Verdana"/>
          <w:bCs/>
          <w:sz w:val="20"/>
        </w:rPr>
      </w:pPr>
      <w:r w:rsidRPr="0055096C">
        <w:rPr>
          <w:rFonts w:ascii="Verdana" w:hAnsi="Verdana"/>
          <w:b/>
          <w:bCs/>
          <w:sz w:val="20"/>
        </w:rPr>
        <w:t>33.</w:t>
      </w:r>
      <w:r w:rsidRPr="0055096C">
        <w:rPr>
          <w:rFonts w:ascii="Verdana" w:hAnsi="Verdana"/>
          <w:bCs/>
          <w:sz w:val="20"/>
        </w:rPr>
        <w:t> Notifíquese la presente Resolución a las partes de que se tenga conocimiento.</w:t>
      </w:r>
    </w:p>
    <w:p w:rsidR="0055096C" w:rsidRPr="0055096C" w:rsidRDefault="0055096C" w:rsidP="0055096C">
      <w:pPr>
        <w:jc w:val="both"/>
        <w:rPr>
          <w:rFonts w:ascii="Verdana" w:hAnsi="Verdana"/>
          <w:bCs/>
          <w:sz w:val="20"/>
        </w:rPr>
      </w:pPr>
      <w:r w:rsidRPr="0055096C">
        <w:rPr>
          <w:rFonts w:ascii="Verdana" w:hAnsi="Verdana"/>
          <w:b/>
          <w:bCs/>
          <w:sz w:val="20"/>
        </w:rPr>
        <w:t>34.</w:t>
      </w:r>
      <w:r w:rsidRPr="0055096C">
        <w:rPr>
          <w:rFonts w:ascii="Verdana" w:hAnsi="Verdana"/>
          <w:bCs/>
          <w:sz w:val="20"/>
        </w:rPr>
        <w:t> Comuníquese esta Resolución al Servicio de Administración Tributaria, para los efectos legales correspondientes.</w:t>
      </w:r>
    </w:p>
    <w:p w:rsidR="0055096C" w:rsidRPr="0055096C" w:rsidRDefault="0055096C" w:rsidP="0055096C">
      <w:pPr>
        <w:jc w:val="both"/>
        <w:rPr>
          <w:rFonts w:ascii="Verdana" w:hAnsi="Verdana"/>
          <w:bCs/>
          <w:sz w:val="20"/>
        </w:rPr>
      </w:pPr>
      <w:r w:rsidRPr="0055096C">
        <w:rPr>
          <w:rFonts w:ascii="Verdana" w:hAnsi="Verdana"/>
          <w:b/>
          <w:bCs/>
          <w:sz w:val="20"/>
        </w:rPr>
        <w:t>35.</w:t>
      </w:r>
      <w:r w:rsidRPr="0055096C">
        <w:rPr>
          <w:rFonts w:ascii="Verdana" w:hAnsi="Verdana"/>
          <w:bCs/>
          <w:sz w:val="20"/>
        </w:rPr>
        <w:t> La presente Resolución entrará en vigor al día siguiente de su publicación en el DOF.</w:t>
      </w:r>
    </w:p>
    <w:p w:rsidR="0055096C" w:rsidRPr="0055096C" w:rsidRDefault="0055096C" w:rsidP="0055096C">
      <w:pPr>
        <w:jc w:val="both"/>
        <w:rPr>
          <w:rFonts w:ascii="Verdana" w:hAnsi="Verdana"/>
          <w:bCs/>
          <w:sz w:val="20"/>
        </w:rPr>
      </w:pPr>
      <w:r w:rsidRPr="0055096C">
        <w:rPr>
          <w:rFonts w:ascii="Verdana" w:hAnsi="Verdana"/>
          <w:bCs/>
          <w:sz w:val="20"/>
        </w:rPr>
        <w:t>Ciudad de México, a 8 de julio de 2019.- La Secretaria de Economía, </w:t>
      </w:r>
      <w:r w:rsidRPr="0055096C">
        <w:rPr>
          <w:rFonts w:ascii="Verdana" w:hAnsi="Verdana"/>
          <w:b/>
          <w:bCs/>
          <w:sz w:val="20"/>
        </w:rPr>
        <w:t>Graciela Márquez Colín</w:t>
      </w:r>
      <w:r w:rsidRPr="0055096C">
        <w:rPr>
          <w:rFonts w:ascii="Verdana" w:hAnsi="Verdana"/>
          <w:bCs/>
          <w:sz w:val="20"/>
        </w:rPr>
        <w:t>.- Rúbrica.</w:t>
      </w:r>
    </w:p>
    <w:p w:rsidR="0055096C" w:rsidRPr="0055096C" w:rsidRDefault="0055096C" w:rsidP="0055096C">
      <w:pPr>
        <w:jc w:val="both"/>
        <w:rPr>
          <w:rFonts w:ascii="Verdana" w:hAnsi="Verdana"/>
          <w:bCs/>
          <w:sz w:val="20"/>
        </w:rPr>
      </w:pPr>
      <w:bookmarkStart w:id="0" w:name="_GoBack"/>
      <w:bookmarkEnd w:id="0"/>
    </w:p>
    <w:p w:rsidR="00BF3AEB" w:rsidRDefault="0055096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6C"/>
    <w:rsid w:val="002228FA"/>
    <w:rsid w:val="0055096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462573">
      <w:bodyDiv w:val="1"/>
      <w:marLeft w:val="0"/>
      <w:marRight w:val="0"/>
      <w:marTop w:val="0"/>
      <w:marBottom w:val="0"/>
      <w:divBdr>
        <w:top w:val="none" w:sz="0" w:space="0" w:color="auto"/>
        <w:left w:val="none" w:sz="0" w:space="0" w:color="auto"/>
        <w:bottom w:val="none" w:sz="0" w:space="0" w:color="auto"/>
        <w:right w:val="none" w:sz="0" w:space="0" w:color="auto"/>
      </w:divBdr>
      <w:divsChild>
        <w:div w:id="1773864857">
          <w:marLeft w:val="0"/>
          <w:marRight w:val="0"/>
          <w:marTop w:val="0"/>
          <w:marBottom w:val="101"/>
          <w:divBdr>
            <w:top w:val="none" w:sz="0" w:space="0" w:color="auto"/>
            <w:left w:val="none" w:sz="0" w:space="0" w:color="auto"/>
            <w:bottom w:val="none" w:sz="0" w:space="0" w:color="auto"/>
            <w:right w:val="none" w:sz="0" w:space="0" w:color="auto"/>
          </w:divBdr>
        </w:div>
        <w:div w:id="195001934">
          <w:marLeft w:val="0"/>
          <w:marRight w:val="0"/>
          <w:marTop w:val="0"/>
          <w:marBottom w:val="101"/>
          <w:divBdr>
            <w:top w:val="none" w:sz="0" w:space="0" w:color="auto"/>
            <w:left w:val="none" w:sz="0" w:space="0" w:color="auto"/>
            <w:bottom w:val="none" w:sz="0" w:space="0" w:color="auto"/>
            <w:right w:val="none" w:sz="0" w:space="0" w:color="auto"/>
          </w:divBdr>
        </w:div>
        <w:div w:id="621375961">
          <w:marLeft w:val="0"/>
          <w:marRight w:val="0"/>
          <w:marTop w:val="101"/>
          <w:marBottom w:val="101"/>
          <w:divBdr>
            <w:top w:val="none" w:sz="0" w:space="0" w:color="auto"/>
            <w:left w:val="none" w:sz="0" w:space="0" w:color="auto"/>
            <w:bottom w:val="none" w:sz="0" w:space="0" w:color="auto"/>
            <w:right w:val="none" w:sz="0" w:space="0" w:color="auto"/>
          </w:divBdr>
        </w:div>
        <w:div w:id="1182739402">
          <w:marLeft w:val="0"/>
          <w:marRight w:val="0"/>
          <w:marTop w:val="0"/>
          <w:marBottom w:val="101"/>
          <w:divBdr>
            <w:top w:val="none" w:sz="0" w:space="0" w:color="auto"/>
            <w:left w:val="none" w:sz="0" w:space="0" w:color="auto"/>
            <w:bottom w:val="none" w:sz="0" w:space="0" w:color="auto"/>
            <w:right w:val="none" w:sz="0" w:space="0" w:color="auto"/>
          </w:divBdr>
        </w:div>
        <w:div w:id="113016621">
          <w:marLeft w:val="0"/>
          <w:marRight w:val="0"/>
          <w:marTop w:val="0"/>
          <w:marBottom w:val="101"/>
          <w:divBdr>
            <w:top w:val="none" w:sz="0" w:space="0" w:color="auto"/>
            <w:left w:val="none" w:sz="0" w:space="0" w:color="auto"/>
            <w:bottom w:val="none" w:sz="0" w:space="0" w:color="auto"/>
            <w:right w:val="none" w:sz="0" w:space="0" w:color="auto"/>
          </w:divBdr>
        </w:div>
        <w:div w:id="525414152">
          <w:marLeft w:val="0"/>
          <w:marRight w:val="0"/>
          <w:marTop w:val="0"/>
          <w:marBottom w:val="101"/>
          <w:divBdr>
            <w:top w:val="none" w:sz="0" w:space="0" w:color="auto"/>
            <w:left w:val="none" w:sz="0" w:space="0" w:color="auto"/>
            <w:bottom w:val="none" w:sz="0" w:space="0" w:color="auto"/>
            <w:right w:val="none" w:sz="0" w:space="0" w:color="auto"/>
          </w:divBdr>
        </w:div>
        <w:div w:id="1797943131">
          <w:marLeft w:val="0"/>
          <w:marRight w:val="0"/>
          <w:marTop w:val="0"/>
          <w:marBottom w:val="101"/>
          <w:divBdr>
            <w:top w:val="none" w:sz="0" w:space="0" w:color="auto"/>
            <w:left w:val="none" w:sz="0" w:space="0" w:color="auto"/>
            <w:bottom w:val="none" w:sz="0" w:space="0" w:color="auto"/>
            <w:right w:val="none" w:sz="0" w:space="0" w:color="auto"/>
          </w:divBdr>
        </w:div>
        <w:div w:id="814953073">
          <w:marLeft w:val="0"/>
          <w:marRight w:val="0"/>
          <w:marTop w:val="0"/>
          <w:marBottom w:val="101"/>
          <w:divBdr>
            <w:top w:val="none" w:sz="0" w:space="0" w:color="auto"/>
            <w:left w:val="none" w:sz="0" w:space="0" w:color="auto"/>
            <w:bottom w:val="none" w:sz="0" w:space="0" w:color="auto"/>
            <w:right w:val="none" w:sz="0" w:space="0" w:color="auto"/>
          </w:divBdr>
        </w:div>
        <w:div w:id="894506942">
          <w:marLeft w:val="0"/>
          <w:marRight w:val="0"/>
          <w:marTop w:val="0"/>
          <w:marBottom w:val="101"/>
          <w:divBdr>
            <w:top w:val="none" w:sz="0" w:space="0" w:color="auto"/>
            <w:left w:val="none" w:sz="0" w:space="0" w:color="auto"/>
            <w:bottom w:val="none" w:sz="0" w:space="0" w:color="auto"/>
            <w:right w:val="none" w:sz="0" w:space="0" w:color="auto"/>
          </w:divBdr>
        </w:div>
        <w:div w:id="1613514944">
          <w:marLeft w:val="0"/>
          <w:marRight w:val="0"/>
          <w:marTop w:val="0"/>
          <w:marBottom w:val="101"/>
          <w:divBdr>
            <w:top w:val="none" w:sz="0" w:space="0" w:color="auto"/>
            <w:left w:val="none" w:sz="0" w:space="0" w:color="auto"/>
            <w:bottom w:val="none" w:sz="0" w:space="0" w:color="auto"/>
            <w:right w:val="none" w:sz="0" w:space="0" w:color="auto"/>
          </w:divBdr>
        </w:div>
        <w:div w:id="465121455">
          <w:marLeft w:val="0"/>
          <w:marRight w:val="0"/>
          <w:marTop w:val="0"/>
          <w:marBottom w:val="101"/>
          <w:divBdr>
            <w:top w:val="none" w:sz="0" w:space="0" w:color="auto"/>
            <w:left w:val="none" w:sz="0" w:space="0" w:color="auto"/>
            <w:bottom w:val="none" w:sz="0" w:space="0" w:color="auto"/>
            <w:right w:val="none" w:sz="0" w:space="0" w:color="auto"/>
          </w:divBdr>
        </w:div>
        <w:div w:id="934165120">
          <w:marLeft w:val="0"/>
          <w:marRight w:val="0"/>
          <w:marTop w:val="0"/>
          <w:marBottom w:val="101"/>
          <w:divBdr>
            <w:top w:val="none" w:sz="0" w:space="0" w:color="auto"/>
            <w:left w:val="none" w:sz="0" w:space="0" w:color="auto"/>
            <w:bottom w:val="none" w:sz="0" w:space="0" w:color="auto"/>
            <w:right w:val="none" w:sz="0" w:space="0" w:color="auto"/>
          </w:divBdr>
        </w:div>
        <w:div w:id="1478495410">
          <w:marLeft w:val="0"/>
          <w:marRight w:val="0"/>
          <w:marTop w:val="0"/>
          <w:marBottom w:val="101"/>
          <w:divBdr>
            <w:top w:val="none" w:sz="0" w:space="0" w:color="auto"/>
            <w:left w:val="none" w:sz="0" w:space="0" w:color="auto"/>
            <w:bottom w:val="none" w:sz="0" w:space="0" w:color="auto"/>
            <w:right w:val="none" w:sz="0" w:space="0" w:color="auto"/>
          </w:divBdr>
        </w:div>
        <w:div w:id="29915122">
          <w:marLeft w:val="0"/>
          <w:marRight w:val="0"/>
          <w:marTop w:val="0"/>
          <w:marBottom w:val="101"/>
          <w:divBdr>
            <w:top w:val="none" w:sz="0" w:space="0" w:color="auto"/>
            <w:left w:val="none" w:sz="0" w:space="0" w:color="auto"/>
            <w:bottom w:val="none" w:sz="0" w:space="0" w:color="auto"/>
            <w:right w:val="none" w:sz="0" w:space="0" w:color="auto"/>
          </w:divBdr>
        </w:div>
        <w:div w:id="843281859">
          <w:marLeft w:val="0"/>
          <w:marRight w:val="0"/>
          <w:marTop w:val="0"/>
          <w:marBottom w:val="101"/>
          <w:divBdr>
            <w:top w:val="none" w:sz="0" w:space="0" w:color="auto"/>
            <w:left w:val="none" w:sz="0" w:space="0" w:color="auto"/>
            <w:bottom w:val="none" w:sz="0" w:space="0" w:color="auto"/>
            <w:right w:val="none" w:sz="0" w:space="0" w:color="auto"/>
          </w:divBdr>
        </w:div>
        <w:div w:id="1849439743">
          <w:marLeft w:val="0"/>
          <w:marRight w:val="0"/>
          <w:marTop w:val="0"/>
          <w:marBottom w:val="101"/>
          <w:divBdr>
            <w:top w:val="none" w:sz="0" w:space="0" w:color="auto"/>
            <w:left w:val="none" w:sz="0" w:space="0" w:color="auto"/>
            <w:bottom w:val="none" w:sz="0" w:space="0" w:color="auto"/>
            <w:right w:val="none" w:sz="0" w:space="0" w:color="auto"/>
          </w:divBdr>
        </w:div>
        <w:div w:id="454759656">
          <w:marLeft w:val="0"/>
          <w:marRight w:val="0"/>
          <w:marTop w:val="0"/>
          <w:marBottom w:val="101"/>
          <w:divBdr>
            <w:top w:val="none" w:sz="0" w:space="0" w:color="auto"/>
            <w:left w:val="none" w:sz="0" w:space="0" w:color="auto"/>
            <w:bottom w:val="none" w:sz="0" w:space="0" w:color="auto"/>
            <w:right w:val="none" w:sz="0" w:space="0" w:color="auto"/>
          </w:divBdr>
        </w:div>
        <w:div w:id="397244429">
          <w:marLeft w:val="0"/>
          <w:marRight w:val="0"/>
          <w:marTop w:val="0"/>
          <w:marBottom w:val="101"/>
          <w:divBdr>
            <w:top w:val="none" w:sz="0" w:space="0" w:color="auto"/>
            <w:left w:val="none" w:sz="0" w:space="0" w:color="auto"/>
            <w:bottom w:val="none" w:sz="0" w:space="0" w:color="auto"/>
            <w:right w:val="none" w:sz="0" w:space="0" w:color="auto"/>
          </w:divBdr>
        </w:div>
        <w:div w:id="1136415513">
          <w:marLeft w:val="0"/>
          <w:marRight w:val="0"/>
          <w:marTop w:val="0"/>
          <w:marBottom w:val="101"/>
          <w:divBdr>
            <w:top w:val="none" w:sz="0" w:space="0" w:color="auto"/>
            <w:left w:val="none" w:sz="0" w:space="0" w:color="auto"/>
            <w:bottom w:val="none" w:sz="0" w:space="0" w:color="auto"/>
            <w:right w:val="none" w:sz="0" w:space="0" w:color="auto"/>
          </w:divBdr>
        </w:div>
        <w:div w:id="248000453">
          <w:marLeft w:val="0"/>
          <w:marRight w:val="0"/>
          <w:marTop w:val="0"/>
          <w:marBottom w:val="101"/>
          <w:divBdr>
            <w:top w:val="none" w:sz="0" w:space="0" w:color="auto"/>
            <w:left w:val="none" w:sz="0" w:space="0" w:color="auto"/>
            <w:bottom w:val="none" w:sz="0" w:space="0" w:color="auto"/>
            <w:right w:val="none" w:sz="0" w:space="0" w:color="auto"/>
          </w:divBdr>
        </w:div>
        <w:div w:id="1083142332">
          <w:marLeft w:val="0"/>
          <w:marRight w:val="0"/>
          <w:marTop w:val="0"/>
          <w:marBottom w:val="101"/>
          <w:divBdr>
            <w:top w:val="none" w:sz="0" w:space="0" w:color="auto"/>
            <w:left w:val="none" w:sz="0" w:space="0" w:color="auto"/>
            <w:bottom w:val="none" w:sz="0" w:space="0" w:color="auto"/>
            <w:right w:val="none" w:sz="0" w:space="0" w:color="auto"/>
          </w:divBdr>
        </w:div>
        <w:div w:id="1987929950">
          <w:marLeft w:val="0"/>
          <w:marRight w:val="0"/>
          <w:marTop w:val="0"/>
          <w:marBottom w:val="101"/>
          <w:divBdr>
            <w:top w:val="none" w:sz="0" w:space="0" w:color="auto"/>
            <w:left w:val="none" w:sz="0" w:space="0" w:color="auto"/>
            <w:bottom w:val="none" w:sz="0" w:space="0" w:color="auto"/>
            <w:right w:val="none" w:sz="0" w:space="0" w:color="auto"/>
          </w:divBdr>
        </w:div>
        <w:div w:id="580606879">
          <w:marLeft w:val="0"/>
          <w:marRight w:val="0"/>
          <w:marTop w:val="40"/>
          <w:marBottom w:val="40"/>
          <w:divBdr>
            <w:top w:val="none" w:sz="0" w:space="0" w:color="auto"/>
            <w:left w:val="none" w:sz="0" w:space="0" w:color="auto"/>
            <w:bottom w:val="none" w:sz="0" w:space="0" w:color="auto"/>
            <w:right w:val="none" w:sz="0" w:space="0" w:color="auto"/>
          </w:divBdr>
        </w:div>
        <w:div w:id="278072073">
          <w:marLeft w:val="0"/>
          <w:marRight w:val="0"/>
          <w:marTop w:val="40"/>
          <w:marBottom w:val="40"/>
          <w:divBdr>
            <w:top w:val="none" w:sz="0" w:space="0" w:color="auto"/>
            <w:left w:val="none" w:sz="0" w:space="0" w:color="auto"/>
            <w:bottom w:val="none" w:sz="0" w:space="0" w:color="auto"/>
            <w:right w:val="none" w:sz="0" w:space="0" w:color="auto"/>
          </w:divBdr>
        </w:div>
        <w:div w:id="1806924004">
          <w:marLeft w:val="0"/>
          <w:marRight w:val="0"/>
          <w:marTop w:val="40"/>
          <w:marBottom w:val="40"/>
          <w:divBdr>
            <w:top w:val="none" w:sz="0" w:space="0" w:color="auto"/>
            <w:left w:val="none" w:sz="0" w:space="0" w:color="auto"/>
            <w:bottom w:val="none" w:sz="0" w:space="0" w:color="auto"/>
            <w:right w:val="none" w:sz="0" w:space="0" w:color="auto"/>
          </w:divBdr>
        </w:div>
        <w:div w:id="1612666117">
          <w:marLeft w:val="0"/>
          <w:marRight w:val="0"/>
          <w:marTop w:val="40"/>
          <w:marBottom w:val="40"/>
          <w:divBdr>
            <w:top w:val="none" w:sz="0" w:space="0" w:color="auto"/>
            <w:left w:val="none" w:sz="0" w:space="0" w:color="auto"/>
            <w:bottom w:val="none" w:sz="0" w:space="0" w:color="auto"/>
            <w:right w:val="none" w:sz="0" w:space="0" w:color="auto"/>
          </w:divBdr>
        </w:div>
        <w:div w:id="1017579889">
          <w:marLeft w:val="0"/>
          <w:marRight w:val="0"/>
          <w:marTop w:val="40"/>
          <w:marBottom w:val="40"/>
          <w:divBdr>
            <w:top w:val="none" w:sz="0" w:space="0" w:color="auto"/>
            <w:left w:val="none" w:sz="0" w:space="0" w:color="auto"/>
            <w:bottom w:val="none" w:sz="0" w:space="0" w:color="auto"/>
            <w:right w:val="none" w:sz="0" w:space="0" w:color="auto"/>
          </w:divBdr>
        </w:div>
        <w:div w:id="1369255966">
          <w:marLeft w:val="0"/>
          <w:marRight w:val="0"/>
          <w:marTop w:val="40"/>
          <w:marBottom w:val="40"/>
          <w:divBdr>
            <w:top w:val="none" w:sz="0" w:space="0" w:color="auto"/>
            <w:left w:val="none" w:sz="0" w:space="0" w:color="auto"/>
            <w:bottom w:val="none" w:sz="0" w:space="0" w:color="auto"/>
            <w:right w:val="none" w:sz="0" w:space="0" w:color="auto"/>
          </w:divBdr>
        </w:div>
        <w:div w:id="2112777551">
          <w:marLeft w:val="0"/>
          <w:marRight w:val="0"/>
          <w:marTop w:val="40"/>
          <w:marBottom w:val="40"/>
          <w:divBdr>
            <w:top w:val="none" w:sz="0" w:space="0" w:color="auto"/>
            <w:left w:val="none" w:sz="0" w:space="0" w:color="auto"/>
            <w:bottom w:val="none" w:sz="0" w:space="0" w:color="auto"/>
            <w:right w:val="none" w:sz="0" w:space="0" w:color="auto"/>
          </w:divBdr>
        </w:div>
        <w:div w:id="695303613">
          <w:marLeft w:val="0"/>
          <w:marRight w:val="0"/>
          <w:marTop w:val="40"/>
          <w:marBottom w:val="40"/>
          <w:divBdr>
            <w:top w:val="none" w:sz="0" w:space="0" w:color="auto"/>
            <w:left w:val="none" w:sz="0" w:space="0" w:color="auto"/>
            <w:bottom w:val="none" w:sz="0" w:space="0" w:color="auto"/>
            <w:right w:val="none" w:sz="0" w:space="0" w:color="auto"/>
          </w:divBdr>
        </w:div>
        <w:div w:id="1814716267">
          <w:marLeft w:val="0"/>
          <w:marRight w:val="0"/>
          <w:marTop w:val="40"/>
          <w:marBottom w:val="40"/>
          <w:divBdr>
            <w:top w:val="none" w:sz="0" w:space="0" w:color="auto"/>
            <w:left w:val="none" w:sz="0" w:space="0" w:color="auto"/>
            <w:bottom w:val="none" w:sz="0" w:space="0" w:color="auto"/>
            <w:right w:val="none" w:sz="0" w:space="0" w:color="auto"/>
          </w:divBdr>
        </w:div>
        <w:div w:id="1021204481">
          <w:marLeft w:val="0"/>
          <w:marRight w:val="0"/>
          <w:marTop w:val="40"/>
          <w:marBottom w:val="40"/>
          <w:divBdr>
            <w:top w:val="none" w:sz="0" w:space="0" w:color="auto"/>
            <w:left w:val="none" w:sz="0" w:space="0" w:color="auto"/>
            <w:bottom w:val="none" w:sz="0" w:space="0" w:color="auto"/>
            <w:right w:val="none" w:sz="0" w:space="0" w:color="auto"/>
          </w:divBdr>
        </w:div>
        <w:div w:id="1270770929">
          <w:marLeft w:val="0"/>
          <w:marRight w:val="0"/>
          <w:marTop w:val="40"/>
          <w:marBottom w:val="40"/>
          <w:divBdr>
            <w:top w:val="none" w:sz="0" w:space="0" w:color="auto"/>
            <w:left w:val="none" w:sz="0" w:space="0" w:color="auto"/>
            <w:bottom w:val="none" w:sz="0" w:space="0" w:color="auto"/>
            <w:right w:val="none" w:sz="0" w:space="0" w:color="auto"/>
          </w:divBdr>
        </w:div>
        <w:div w:id="20517197">
          <w:marLeft w:val="0"/>
          <w:marRight w:val="0"/>
          <w:marTop w:val="40"/>
          <w:marBottom w:val="40"/>
          <w:divBdr>
            <w:top w:val="none" w:sz="0" w:space="0" w:color="auto"/>
            <w:left w:val="none" w:sz="0" w:space="0" w:color="auto"/>
            <w:bottom w:val="none" w:sz="0" w:space="0" w:color="auto"/>
            <w:right w:val="none" w:sz="0" w:space="0" w:color="auto"/>
          </w:divBdr>
        </w:div>
        <w:div w:id="1122724380">
          <w:marLeft w:val="0"/>
          <w:marRight w:val="0"/>
          <w:marTop w:val="0"/>
          <w:marBottom w:val="101"/>
          <w:divBdr>
            <w:top w:val="none" w:sz="0" w:space="0" w:color="auto"/>
            <w:left w:val="none" w:sz="0" w:space="0" w:color="auto"/>
            <w:bottom w:val="none" w:sz="0" w:space="0" w:color="auto"/>
            <w:right w:val="none" w:sz="0" w:space="0" w:color="auto"/>
          </w:divBdr>
        </w:div>
        <w:div w:id="1722435822">
          <w:marLeft w:val="0"/>
          <w:marRight w:val="0"/>
          <w:marTop w:val="0"/>
          <w:marBottom w:val="101"/>
          <w:divBdr>
            <w:top w:val="none" w:sz="0" w:space="0" w:color="auto"/>
            <w:left w:val="none" w:sz="0" w:space="0" w:color="auto"/>
            <w:bottom w:val="none" w:sz="0" w:space="0" w:color="auto"/>
            <w:right w:val="none" w:sz="0" w:space="0" w:color="auto"/>
          </w:divBdr>
        </w:div>
        <w:div w:id="1724526275">
          <w:marLeft w:val="0"/>
          <w:marRight w:val="0"/>
          <w:marTop w:val="0"/>
          <w:marBottom w:val="101"/>
          <w:divBdr>
            <w:top w:val="none" w:sz="0" w:space="0" w:color="auto"/>
            <w:left w:val="none" w:sz="0" w:space="0" w:color="auto"/>
            <w:bottom w:val="none" w:sz="0" w:space="0" w:color="auto"/>
            <w:right w:val="none" w:sz="0" w:space="0" w:color="auto"/>
          </w:divBdr>
        </w:div>
        <w:div w:id="2011980539">
          <w:marLeft w:val="0"/>
          <w:marRight w:val="0"/>
          <w:marTop w:val="0"/>
          <w:marBottom w:val="101"/>
          <w:divBdr>
            <w:top w:val="none" w:sz="0" w:space="0" w:color="auto"/>
            <w:left w:val="none" w:sz="0" w:space="0" w:color="auto"/>
            <w:bottom w:val="none" w:sz="0" w:space="0" w:color="auto"/>
            <w:right w:val="none" w:sz="0" w:space="0" w:color="auto"/>
          </w:divBdr>
        </w:div>
        <w:div w:id="1503813469">
          <w:marLeft w:val="0"/>
          <w:marRight w:val="0"/>
          <w:marTop w:val="0"/>
          <w:marBottom w:val="101"/>
          <w:divBdr>
            <w:top w:val="none" w:sz="0" w:space="0" w:color="auto"/>
            <w:left w:val="none" w:sz="0" w:space="0" w:color="auto"/>
            <w:bottom w:val="none" w:sz="0" w:space="0" w:color="auto"/>
            <w:right w:val="none" w:sz="0" w:space="0" w:color="auto"/>
          </w:divBdr>
        </w:div>
        <w:div w:id="558564700">
          <w:marLeft w:val="0"/>
          <w:marRight w:val="0"/>
          <w:marTop w:val="0"/>
          <w:marBottom w:val="101"/>
          <w:divBdr>
            <w:top w:val="none" w:sz="0" w:space="0" w:color="auto"/>
            <w:left w:val="none" w:sz="0" w:space="0" w:color="auto"/>
            <w:bottom w:val="none" w:sz="0" w:space="0" w:color="auto"/>
            <w:right w:val="none" w:sz="0" w:space="0" w:color="auto"/>
          </w:divBdr>
        </w:div>
        <w:div w:id="747725979">
          <w:marLeft w:val="720"/>
          <w:marRight w:val="0"/>
          <w:marTop w:val="0"/>
          <w:marBottom w:val="101"/>
          <w:divBdr>
            <w:top w:val="none" w:sz="0" w:space="0" w:color="auto"/>
            <w:left w:val="none" w:sz="0" w:space="0" w:color="auto"/>
            <w:bottom w:val="none" w:sz="0" w:space="0" w:color="auto"/>
            <w:right w:val="none" w:sz="0" w:space="0" w:color="auto"/>
          </w:divBdr>
        </w:div>
        <w:div w:id="875854451">
          <w:marLeft w:val="720"/>
          <w:marRight w:val="0"/>
          <w:marTop w:val="0"/>
          <w:marBottom w:val="101"/>
          <w:divBdr>
            <w:top w:val="none" w:sz="0" w:space="0" w:color="auto"/>
            <w:left w:val="none" w:sz="0" w:space="0" w:color="auto"/>
            <w:bottom w:val="none" w:sz="0" w:space="0" w:color="auto"/>
            <w:right w:val="none" w:sz="0" w:space="0" w:color="auto"/>
          </w:divBdr>
        </w:div>
        <w:div w:id="728381404">
          <w:marLeft w:val="720"/>
          <w:marRight w:val="0"/>
          <w:marTop w:val="0"/>
          <w:marBottom w:val="101"/>
          <w:divBdr>
            <w:top w:val="none" w:sz="0" w:space="0" w:color="auto"/>
            <w:left w:val="none" w:sz="0" w:space="0" w:color="auto"/>
            <w:bottom w:val="none" w:sz="0" w:space="0" w:color="auto"/>
            <w:right w:val="none" w:sz="0" w:space="0" w:color="auto"/>
          </w:divBdr>
        </w:div>
        <w:div w:id="2076781126">
          <w:marLeft w:val="720"/>
          <w:marRight w:val="0"/>
          <w:marTop w:val="0"/>
          <w:marBottom w:val="101"/>
          <w:divBdr>
            <w:top w:val="none" w:sz="0" w:space="0" w:color="auto"/>
            <w:left w:val="none" w:sz="0" w:space="0" w:color="auto"/>
            <w:bottom w:val="none" w:sz="0" w:space="0" w:color="auto"/>
            <w:right w:val="none" w:sz="0" w:space="0" w:color="auto"/>
          </w:divBdr>
        </w:div>
        <w:div w:id="1381897391">
          <w:marLeft w:val="0"/>
          <w:marRight w:val="0"/>
          <w:marTop w:val="0"/>
          <w:marBottom w:val="101"/>
          <w:divBdr>
            <w:top w:val="none" w:sz="0" w:space="0" w:color="auto"/>
            <w:left w:val="none" w:sz="0" w:space="0" w:color="auto"/>
            <w:bottom w:val="none" w:sz="0" w:space="0" w:color="auto"/>
            <w:right w:val="none" w:sz="0" w:space="0" w:color="auto"/>
          </w:divBdr>
        </w:div>
        <w:div w:id="322125095">
          <w:marLeft w:val="0"/>
          <w:marRight w:val="0"/>
          <w:marTop w:val="0"/>
          <w:marBottom w:val="101"/>
          <w:divBdr>
            <w:top w:val="none" w:sz="0" w:space="0" w:color="auto"/>
            <w:left w:val="none" w:sz="0" w:space="0" w:color="auto"/>
            <w:bottom w:val="none" w:sz="0" w:space="0" w:color="auto"/>
            <w:right w:val="none" w:sz="0" w:space="0" w:color="auto"/>
          </w:divBdr>
        </w:div>
        <w:div w:id="637340150">
          <w:marLeft w:val="0"/>
          <w:marRight w:val="0"/>
          <w:marTop w:val="0"/>
          <w:marBottom w:val="101"/>
          <w:divBdr>
            <w:top w:val="none" w:sz="0" w:space="0" w:color="auto"/>
            <w:left w:val="none" w:sz="0" w:space="0" w:color="auto"/>
            <w:bottom w:val="none" w:sz="0" w:space="0" w:color="auto"/>
            <w:right w:val="none" w:sz="0" w:space="0" w:color="auto"/>
          </w:divBdr>
        </w:div>
        <w:div w:id="1029572118">
          <w:marLeft w:val="0"/>
          <w:marRight w:val="0"/>
          <w:marTop w:val="0"/>
          <w:marBottom w:val="101"/>
          <w:divBdr>
            <w:top w:val="none" w:sz="0" w:space="0" w:color="auto"/>
            <w:left w:val="none" w:sz="0" w:space="0" w:color="auto"/>
            <w:bottom w:val="none" w:sz="0" w:space="0" w:color="auto"/>
            <w:right w:val="none" w:sz="0" w:space="0" w:color="auto"/>
          </w:divBdr>
        </w:div>
        <w:div w:id="241260109">
          <w:marLeft w:val="0"/>
          <w:marRight w:val="0"/>
          <w:marTop w:val="0"/>
          <w:marBottom w:val="101"/>
          <w:divBdr>
            <w:top w:val="none" w:sz="0" w:space="0" w:color="auto"/>
            <w:left w:val="none" w:sz="0" w:space="0" w:color="auto"/>
            <w:bottom w:val="none" w:sz="0" w:space="0" w:color="auto"/>
            <w:right w:val="none" w:sz="0" w:space="0" w:color="auto"/>
          </w:divBdr>
        </w:div>
        <w:div w:id="1919123161">
          <w:marLeft w:val="0"/>
          <w:marRight w:val="0"/>
          <w:marTop w:val="0"/>
          <w:marBottom w:val="101"/>
          <w:divBdr>
            <w:top w:val="none" w:sz="0" w:space="0" w:color="auto"/>
            <w:left w:val="none" w:sz="0" w:space="0" w:color="auto"/>
            <w:bottom w:val="none" w:sz="0" w:space="0" w:color="auto"/>
            <w:right w:val="none" w:sz="0" w:space="0" w:color="auto"/>
          </w:divBdr>
        </w:div>
        <w:div w:id="148208705">
          <w:marLeft w:val="0"/>
          <w:marRight w:val="0"/>
          <w:marTop w:val="0"/>
          <w:marBottom w:val="101"/>
          <w:divBdr>
            <w:top w:val="none" w:sz="0" w:space="0" w:color="auto"/>
            <w:left w:val="none" w:sz="0" w:space="0" w:color="auto"/>
            <w:bottom w:val="none" w:sz="0" w:space="0" w:color="auto"/>
            <w:right w:val="none" w:sz="0" w:space="0" w:color="auto"/>
          </w:divBdr>
        </w:div>
        <w:div w:id="2017658769">
          <w:marLeft w:val="0"/>
          <w:marRight w:val="0"/>
          <w:marTop w:val="0"/>
          <w:marBottom w:val="101"/>
          <w:divBdr>
            <w:top w:val="none" w:sz="0" w:space="0" w:color="auto"/>
            <w:left w:val="none" w:sz="0" w:space="0" w:color="auto"/>
            <w:bottom w:val="none" w:sz="0" w:space="0" w:color="auto"/>
            <w:right w:val="none" w:sz="0" w:space="0" w:color="auto"/>
          </w:divBdr>
        </w:div>
        <w:div w:id="1032463090">
          <w:marLeft w:val="0"/>
          <w:marRight w:val="0"/>
          <w:marTop w:val="0"/>
          <w:marBottom w:val="101"/>
          <w:divBdr>
            <w:top w:val="none" w:sz="0" w:space="0" w:color="auto"/>
            <w:left w:val="none" w:sz="0" w:space="0" w:color="auto"/>
            <w:bottom w:val="none" w:sz="0" w:space="0" w:color="auto"/>
            <w:right w:val="none" w:sz="0" w:space="0" w:color="auto"/>
          </w:divBdr>
        </w:div>
        <w:div w:id="752894617">
          <w:marLeft w:val="0"/>
          <w:marRight w:val="0"/>
          <w:marTop w:val="0"/>
          <w:marBottom w:val="101"/>
          <w:divBdr>
            <w:top w:val="none" w:sz="0" w:space="0" w:color="auto"/>
            <w:left w:val="none" w:sz="0" w:space="0" w:color="auto"/>
            <w:bottom w:val="none" w:sz="0" w:space="0" w:color="auto"/>
            <w:right w:val="none" w:sz="0" w:space="0" w:color="auto"/>
          </w:divBdr>
        </w:div>
        <w:div w:id="1960522914">
          <w:marLeft w:val="0"/>
          <w:marRight w:val="0"/>
          <w:marTop w:val="0"/>
          <w:marBottom w:val="101"/>
          <w:divBdr>
            <w:top w:val="none" w:sz="0" w:space="0" w:color="auto"/>
            <w:left w:val="none" w:sz="0" w:space="0" w:color="auto"/>
            <w:bottom w:val="none" w:sz="0" w:space="0" w:color="auto"/>
            <w:right w:val="none" w:sz="0" w:space="0" w:color="auto"/>
          </w:divBdr>
        </w:div>
        <w:div w:id="900943679">
          <w:marLeft w:val="0"/>
          <w:marRight w:val="0"/>
          <w:marTop w:val="0"/>
          <w:marBottom w:val="101"/>
          <w:divBdr>
            <w:top w:val="none" w:sz="0" w:space="0" w:color="auto"/>
            <w:left w:val="none" w:sz="0" w:space="0" w:color="auto"/>
            <w:bottom w:val="none" w:sz="0" w:space="0" w:color="auto"/>
            <w:right w:val="none" w:sz="0" w:space="0" w:color="auto"/>
          </w:divBdr>
        </w:div>
        <w:div w:id="1116485228">
          <w:marLeft w:val="0"/>
          <w:marRight w:val="0"/>
          <w:marTop w:val="0"/>
          <w:marBottom w:val="101"/>
          <w:divBdr>
            <w:top w:val="none" w:sz="0" w:space="0" w:color="auto"/>
            <w:left w:val="none" w:sz="0" w:space="0" w:color="auto"/>
            <w:bottom w:val="none" w:sz="0" w:space="0" w:color="auto"/>
            <w:right w:val="none" w:sz="0" w:space="0" w:color="auto"/>
          </w:divBdr>
        </w:div>
        <w:div w:id="1949387567">
          <w:marLeft w:val="0"/>
          <w:marRight w:val="0"/>
          <w:marTop w:val="0"/>
          <w:marBottom w:val="101"/>
          <w:divBdr>
            <w:top w:val="none" w:sz="0" w:space="0" w:color="auto"/>
            <w:left w:val="none" w:sz="0" w:space="0" w:color="auto"/>
            <w:bottom w:val="none" w:sz="0" w:space="0" w:color="auto"/>
            <w:right w:val="none" w:sz="0" w:space="0" w:color="auto"/>
          </w:divBdr>
        </w:div>
        <w:div w:id="1969818585">
          <w:marLeft w:val="0"/>
          <w:marRight w:val="0"/>
          <w:marTop w:val="101"/>
          <w:marBottom w:val="101"/>
          <w:divBdr>
            <w:top w:val="none" w:sz="0" w:space="0" w:color="auto"/>
            <w:left w:val="none" w:sz="0" w:space="0" w:color="auto"/>
            <w:bottom w:val="none" w:sz="0" w:space="0" w:color="auto"/>
            <w:right w:val="none" w:sz="0" w:space="0" w:color="auto"/>
          </w:divBdr>
        </w:div>
        <w:div w:id="2095738607">
          <w:marLeft w:val="0"/>
          <w:marRight w:val="0"/>
          <w:marTop w:val="0"/>
          <w:marBottom w:val="101"/>
          <w:divBdr>
            <w:top w:val="none" w:sz="0" w:space="0" w:color="auto"/>
            <w:left w:val="none" w:sz="0" w:space="0" w:color="auto"/>
            <w:bottom w:val="none" w:sz="0" w:space="0" w:color="auto"/>
            <w:right w:val="none" w:sz="0" w:space="0" w:color="auto"/>
          </w:divBdr>
        </w:div>
        <w:div w:id="1898936043">
          <w:marLeft w:val="0"/>
          <w:marRight w:val="0"/>
          <w:marTop w:val="0"/>
          <w:marBottom w:val="101"/>
          <w:divBdr>
            <w:top w:val="none" w:sz="0" w:space="0" w:color="auto"/>
            <w:left w:val="none" w:sz="0" w:space="0" w:color="auto"/>
            <w:bottom w:val="none" w:sz="0" w:space="0" w:color="auto"/>
            <w:right w:val="none" w:sz="0" w:space="0" w:color="auto"/>
          </w:divBdr>
        </w:div>
        <w:div w:id="1383408775">
          <w:marLeft w:val="0"/>
          <w:marRight w:val="0"/>
          <w:marTop w:val="0"/>
          <w:marBottom w:val="101"/>
          <w:divBdr>
            <w:top w:val="none" w:sz="0" w:space="0" w:color="auto"/>
            <w:left w:val="none" w:sz="0" w:space="0" w:color="auto"/>
            <w:bottom w:val="none" w:sz="0" w:space="0" w:color="auto"/>
            <w:right w:val="none" w:sz="0" w:space="0" w:color="auto"/>
          </w:divBdr>
        </w:div>
        <w:div w:id="1807357766">
          <w:marLeft w:val="0"/>
          <w:marRight w:val="0"/>
          <w:marTop w:val="0"/>
          <w:marBottom w:val="101"/>
          <w:divBdr>
            <w:top w:val="none" w:sz="0" w:space="0" w:color="auto"/>
            <w:left w:val="none" w:sz="0" w:space="0" w:color="auto"/>
            <w:bottom w:val="none" w:sz="0" w:space="0" w:color="auto"/>
            <w:right w:val="none" w:sz="0" w:space="0" w:color="auto"/>
          </w:divBdr>
        </w:div>
        <w:div w:id="1936160552">
          <w:marLeft w:val="0"/>
          <w:marRight w:val="0"/>
          <w:marTop w:val="0"/>
          <w:marBottom w:val="101"/>
          <w:divBdr>
            <w:top w:val="none" w:sz="0" w:space="0" w:color="auto"/>
            <w:left w:val="none" w:sz="0" w:space="0" w:color="auto"/>
            <w:bottom w:val="none" w:sz="0" w:space="0" w:color="auto"/>
            <w:right w:val="none" w:sz="0" w:space="0" w:color="auto"/>
          </w:divBdr>
        </w:div>
        <w:div w:id="1861233340">
          <w:marLeft w:val="0"/>
          <w:marRight w:val="0"/>
          <w:marTop w:val="0"/>
          <w:marBottom w:val="101"/>
          <w:divBdr>
            <w:top w:val="none" w:sz="0" w:space="0" w:color="auto"/>
            <w:left w:val="none" w:sz="0" w:space="0" w:color="auto"/>
            <w:bottom w:val="none" w:sz="0" w:space="0" w:color="auto"/>
            <w:right w:val="none" w:sz="0" w:space="0" w:color="auto"/>
          </w:divBdr>
        </w:div>
        <w:div w:id="9333760">
          <w:marLeft w:val="0"/>
          <w:marRight w:val="0"/>
          <w:marTop w:val="0"/>
          <w:marBottom w:val="101"/>
          <w:divBdr>
            <w:top w:val="none" w:sz="0" w:space="0" w:color="auto"/>
            <w:left w:val="none" w:sz="0" w:space="0" w:color="auto"/>
            <w:bottom w:val="none" w:sz="0" w:space="0" w:color="auto"/>
            <w:right w:val="none" w:sz="0" w:space="0" w:color="auto"/>
          </w:divBdr>
        </w:div>
        <w:div w:id="1722363715">
          <w:marLeft w:val="0"/>
          <w:marRight w:val="0"/>
          <w:marTop w:val="0"/>
          <w:marBottom w:val="101"/>
          <w:divBdr>
            <w:top w:val="none" w:sz="0" w:space="0" w:color="auto"/>
            <w:left w:val="none" w:sz="0" w:space="0" w:color="auto"/>
            <w:bottom w:val="none" w:sz="0" w:space="0" w:color="auto"/>
            <w:right w:val="none" w:sz="0" w:space="0" w:color="auto"/>
          </w:divBdr>
        </w:div>
        <w:div w:id="974797635">
          <w:marLeft w:val="0"/>
          <w:marRight w:val="0"/>
          <w:marTop w:val="0"/>
          <w:marBottom w:val="101"/>
          <w:divBdr>
            <w:top w:val="none" w:sz="0" w:space="0" w:color="auto"/>
            <w:left w:val="none" w:sz="0" w:space="0" w:color="auto"/>
            <w:bottom w:val="none" w:sz="0" w:space="0" w:color="auto"/>
            <w:right w:val="none" w:sz="0" w:space="0" w:color="auto"/>
          </w:divBdr>
        </w:div>
        <w:div w:id="610942427">
          <w:marLeft w:val="0"/>
          <w:marRight w:val="0"/>
          <w:marTop w:val="0"/>
          <w:marBottom w:val="101"/>
          <w:divBdr>
            <w:top w:val="none" w:sz="0" w:space="0" w:color="auto"/>
            <w:left w:val="none" w:sz="0" w:space="0" w:color="auto"/>
            <w:bottom w:val="none" w:sz="0" w:space="0" w:color="auto"/>
            <w:right w:val="none" w:sz="0" w:space="0" w:color="auto"/>
          </w:divBdr>
        </w:div>
        <w:div w:id="338193560">
          <w:marLeft w:val="0"/>
          <w:marRight w:val="0"/>
          <w:marTop w:val="0"/>
          <w:marBottom w:val="101"/>
          <w:divBdr>
            <w:top w:val="none" w:sz="0" w:space="0" w:color="auto"/>
            <w:left w:val="none" w:sz="0" w:space="0" w:color="auto"/>
            <w:bottom w:val="none" w:sz="0" w:space="0" w:color="auto"/>
            <w:right w:val="none" w:sz="0" w:space="0" w:color="auto"/>
          </w:divBdr>
        </w:div>
        <w:div w:id="593245130">
          <w:marLeft w:val="0"/>
          <w:marRight w:val="0"/>
          <w:marTop w:val="0"/>
          <w:marBottom w:val="101"/>
          <w:divBdr>
            <w:top w:val="none" w:sz="0" w:space="0" w:color="auto"/>
            <w:left w:val="none" w:sz="0" w:space="0" w:color="auto"/>
            <w:bottom w:val="none" w:sz="0" w:space="0" w:color="auto"/>
            <w:right w:val="none" w:sz="0" w:space="0" w:color="auto"/>
          </w:divBdr>
        </w:div>
        <w:div w:id="1363287424">
          <w:marLeft w:val="0"/>
          <w:marRight w:val="0"/>
          <w:marTop w:val="0"/>
          <w:marBottom w:val="101"/>
          <w:divBdr>
            <w:top w:val="none" w:sz="0" w:space="0" w:color="auto"/>
            <w:left w:val="none" w:sz="0" w:space="0" w:color="auto"/>
            <w:bottom w:val="none" w:sz="0" w:space="0" w:color="auto"/>
            <w:right w:val="none" w:sz="0" w:space="0" w:color="auto"/>
          </w:divBdr>
        </w:div>
        <w:div w:id="1055154099">
          <w:marLeft w:val="0"/>
          <w:marRight w:val="0"/>
          <w:marTop w:val="101"/>
          <w:marBottom w:val="101"/>
          <w:divBdr>
            <w:top w:val="none" w:sz="0" w:space="0" w:color="auto"/>
            <w:left w:val="none" w:sz="0" w:space="0" w:color="auto"/>
            <w:bottom w:val="none" w:sz="0" w:space="0" w:color="auto"/>
            <w:right w:val="none" w:sz="0" w:space="0" w:color="auto"/>
          </w:divBdr>
        </w:div>
        <w:div w:id="1916742171">
          <w:marLeft w:val="0"/>
          <w:marRight w:val="0"/>
          <w:marTop w:val="0"/>
          <w:marBottom w:val="101"/>
          <w:divBdr>
            <w:top w:val="none" w:sz="0" w:space="0" w:color="auto"/>
            <w:left w:val="none" w:sz="0" w:space="0" w:color="auto"/>
            <w:bottom w:val="none" w:sz="0" w:space="0" w:color="auto"/>
            <w:right w:val="none" w:sz="0" w:space="0" w:color="auto"/>
          </w:divBdr>
        </w:div>
        <w:div w:id="1963924140">
          <w:marLeft w:val="0"/>
          <w:marRight w:val="0"/>
          <w:marTop w:val="0"/>
          <w:marBottom w:val="101"/>
          <w:divBdr>
            <w:top w:val="none" w:sz="0" w:space="0" w:color="auto"/>
            <w:left w:val="none" w:sz="0" w:space="0" w:color="auto"/>
            <w:bottom w:val="none" w:sz="0" w:space="0" w:color="auto"/>
            <w:right w:val="none" w:sz="0" w:space="0" w:color="auto"/>
          </w:divBdr>
        </w:div>
        <w:div w:id="910694064">
          <w:marLeft w:val="0"/>
          <w:marRight w:val="0"/>
          <w:marTop w:val="0"/>
          <w:marBottom w:val="101"/>
          <w:divBdr>
            <w:top w:val="none" w:sz="0" w:space="0" w:color="auto"/>
            <w:left w:val="none" w:sz="0" w:space="0" w:color="auto"/>
            <w:bottom w:val="none" w:sz="0" w:space="0" w:color="auto"/>
            <w:right w:val="none" w:sz="0" w:space="0" w:color="auto"/>
          </w:divBdr>
        </w:div>
        <w:div w:id="1524829467">
          <w:marLeft w:val="0"/>
          <w:marRight w:val="0"/>
          <w:marTop w:val="0"/>
          <w:marBottom w:val="101"/>
          <w:divBdr>
            <w:top w:val="none" w:sz="0" w:space="0" w:color="auto"/>
            <w:left w:val="none" w:sz="0" w:space="0" w:color="auto"/>
            <w:bottom w:val="none" w:sz="0" w:space="0" w:color="auto"/>
            <w:right w:val="none" w:sz="0" w:space="0" w:color="auto"/>
          </w:divBdr>
        </w:div>
        <w:div w:id="1416317986">
          <w:marLeft w:val="0"/>
          <w:marRight w:val="0"/>
          <w:marTop w:val="0"/>
          <w:marBottom w:val="101"/>
          <w:divBdr>
            <w:top w:val="none" w:sz="0" w:space="0" w:color="auto"/>
            <w:left w:val="none" w:sz="0" w:space="0" w:color="auto"/>
            <w:bottom w:val="none" w:sz="0" w:space="0" w:color="auto"/>
            <w:right w:val="none" w:sz="0" w:space="0" w:color="auto"/>
          </w:divBdr>
        </w:div>
        <w:div w:id="1604922400">
          <w:marLeft w:val="0"/>
          <w:marRight w:val="0"/>
          <w:marTop w:val="0"/>
          <w:marBottom w:val="101"/>
          <w:divBdr>
            <w:top w:val="none" w:sz="0" w:space="0" w:color="auto"/>
            <w:left w:val="none" w:sz="0" w:space="0" w:color="auto"/>
            <w:bottom w:val="none" w:sz="0" w:space="0" w:color="auto"/>
            <w:right w:val="none" w:sz="0" w:space="0" w:color="auto"/>
          </w:divBdr>
        </w:div>
        <w:div w:id="1739353492">
          <w:marLeft w:val="0"/>
          <w:marRight w:val="0"/>
          <w:marTop w:val="0"/>
          <w:marBottom w:val="101"/>
          <w:divBdr>
            <w:top w:val="none" w:sz="0" w:space="0" w:color="auto"/>
            <w:left w:val="none" w:sz="0" w:space="0" w:color="auto"/>
            <w:bottom w:val="none" w:sz="0" w:space="0" w:color="auto"/>
            <w:right w:val="none" w:sz="0" w:space="0" w:color="auto"/>
          </w:divBdr>
        </w:div>
        <w:div w:id="1691373733">
          <w:marLeft w:val="0"/>
          <w:marRight w:val="0"/>
          <w:marTop w:val="0"/>
          <w:marBottom w:val="101"/>
          <w:divBdr>
            <w:top w:val="none" w:sz="0" w:space="0" w:color="auto"/>
            <w:left w:val="none" w:sz="0" w:space="0" w:color="auto"/>
            <w:bottom w:val="none" w:sz="0" w:space="0" w:color="auto"/>
            <w:right w:val="none" w:sz="0" w:space="0" w:color="auto"/>
          </w:divBdr>
        </w:div>
        <w:div w:id="2076466648">
          <w:marLeft w:val="0"/>
          <w:marRight w:val="0"/>
          <w:marTop w:val="0"/>
          <w:marBottom w:val="101"/>
          <w:divBdr>
            <w:top w:val="none" w:sz="0" w:space="0" w:color="auto"/>
            <w:left w:val="none" w:sz="0" w:space="0" w:color="auto"/>
            <w:bottom w:val="none" w:sz="0" w:space="0" w:color="auto"/>
            <w:right w:val="none" w:sz="0" w:space="0" w:color="auto"/>
          </w:divBdr>
        </w:div>
      </w:divsChild>
    </w:div>
    <w:div w:id="1605110161">
      <w:bodyDiv w:val="1"/>
      <w:marLeft w:val="0"/>
      <w:marRight w:val="0"/>
      <w:marTop w:val="0"/>
      <w:marBottom w:val="0"/>
      <w:divBdr>
        <w:top w:val="none" w:sz="0" w:space="0" w:color="auto"/>
        <w:left w:val="none" w:sz="0" w:space="0" w:color="auto"/>
        <w:bottom w:val="none" w:sz="0" w:space="0" w:color="auto"/>
        <w:right w:val="none" w:sz="0" w:space="0" w:color="auto"/>
      </w:divBdr>
    </w:div>
    <w:div w:id="18414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2288</Words>
  <Characters>12588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2019-07-17T13:18:00Z</dcterms:created>
  <dcterms:modified xsi:type="dcterms:W3CDTF">2019-07-17T13:22:00Z</dcterms:modified>
</cp:coreProperties>
</file>