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3EE" w:rsidRDefault="00CA63EE" w:rsidP="00CA63EE">
      <w:pPr>
        <w:jc w:val="center"/>
        <w:rPr>
          <w:rFonts w:ascii="Verdana" w:hAnsi="Verdana"/>
          <w:b/>
          <w:bCs/>
          <w:color w:val="0070C0"/>
          <w:sz w:val="24"/>
        </w:rPr>
      </w:pPr>
      <w:r w:rsidRPr="00CA63EE">
        <w:rPr>
          <w:rFonts w:ascii="Verdana" w:hAnsi="Verdana"/>
          <w:b/>
          <w:bCs/>
          <w:color w:val="0070C0"/>
          <w:sz w:val="24"/>
        </w:rPr>
        <w:t>Disposiciones de carácter general en materia financiera de los Si</w:t>
      </w:r>
      <w:r>
        <w:rPr>
          <w:rFonts w:ascii="Verdana" w:hAnsi="Verdana"/>
          <w:b/>
          <w:bCs/>
          <w:color w:val="0070C0"/>
          <w:sz w:val="24"/>
        </w:rPr>
        <w:t>stemas de Ahorro para el Retiro</w:t>
      </w:r>
    </w:p>
    <w:p w:rsidR="00CA63EE" w:rsidRDefault="00CA63EE" w:rsidP="00CA63EE">
      <w:pPr>
        <w:jc w:val="center"/>
        <w:rPr>
          <w:rFonts w:ascii="Verdana" w:hAnsi="Verdana"/>
          <w:b/>
          <w:bCs/>
          <w:color w:val="0070C0"/>
          <w:sz w:val="24"/>
        </w:rPr>
      </w:pPr>
      <w:bookmarkStart w:id="0" w:name="_GoBack"/>
      <w:r>
        <w:rPr>
          <w:rFonts w:ascii="Verdana" w:hAnsi="Verdana"/>
          <w:b/>
          <w:bCs/>
          <w:color w:val="0070C0"/>
          <w:sz w:val="24"/>
        </w:rPr>
        <w:t>(DOF del 16 de noviembre de 2018)</w:t>
      </w:r>
    </w:p>
    <w:bookmarkEnd w:id="0"/>
    <w:p w:rsidR="00CA63EE" w:rsidRPr="00CA63EE" w:rsidRDefault="00CA63EE" w:rsidP="00CA63EE">
      <w:pPr>
        <w:jc w:val="both"/>
        <w:rPr>
          <w:rFonts w:ascii="Verdana" w:hAnsi="Verdana"/>
          <w:b/>
          <w:bCs/>
          <w:sz w:val="20"/>
        </w:rPr>
      </w:pPr>
      <w:r w:rsidRPr="00CA63EE">
        <w:rPr>
          <w:rFonts w:ascii="Verdana" w:hAnsi="Verdana"/>
          <w:b/>
          <w:bCs/>
          <w:sz w:val="20"/>
        </w:rPr>
        <w:t>Al margen un sello con el Escudo Nacional, que dice: Estados Unidos Mexicanos.- Secretaría de Hacienda y Crédito Público.- Comisión Nacional del Sistema de Ahorro para el Retiro.</w:t>
      </w:r>
    </w:p>
    <w:p w:rsidR="00CA63EE" w:rsidRPr="00CA63EE" w:rsidRDefault="00CA63EE" w:rsidP="00CA63EE">
      <w:pPr>
        <w:jc w:val="both"/>
        <w:rPr>
          <w:rFonts w:ascii="Verdana" w:hAnsi="Verdana"/>
          <w:bCs/>
          <w:sz w:val="20"/>
        </w:rPr>
      </w:pPr>
      <w:r w:rsidRPr="00CA63EE">
        <w:rPr>
          <w:rFonts w:ascii="Verdana" w:hAnsi="Verdana"/>
          <w:bCs/>
          <w:sz w:val="20"/>
        </w:rPr>
        <w:t xml:space="preserve">El Presidente de la Comisión Nacional del Sistema de Ahorro para el Retiro, con fundamento en los artículos 1o., 2o., 5o. fracciones I, II, III, VI, VI bis, VII, XIII bis, y XVI; 12 fracciones I, VI, VIII y XVI; 18, 25, 29, 30, 36, 39, 42, 42 bis, 43, 44, 44 bis, 45, 46, 47, 47 bis, 48, 64, 64 bis, 67, 68, 69, 70, 89, 90 fracciones II, IV, V, VI, VII, IX, XII y XIII, 100 bis, 100 ter y 100 </w:t>
      </w:r>
      <w:proofErr w:type="spellStart"/>
      <w:r w:rsidRPr="00CA63EE">
        <w:rPr>
          <w:rFonts w:ascii="Verdana" w:hAnsi="Verdana"/>
          <w:bCs/>
          <w:sz w:val="20"/>
        </w:rPr>
        <w:t>quáter</w:t>
      </w:r>
      <w:proofErr w:type="spellEnd"/>
      <w:r w:rsidRPr="00CA63EE">
        <w:rPr>
          <w:rFonts w:ascii="Verdana" w:hAnsi="Verdana"/>
          <w:bCs/>
          <w:sz w:val="20"/>
        </w:rPr>
        <w:t xml:space="preserve"> de la Ley de los Sistemas de Ahorro para el Retiro; 106 de la Ley del Instituto de Seguridad y Servicios Sociales de los Trabajadores del Estado; 1o., 2o., 14, 17, 18, 19, 20, 21, 22, 23, 24, 25, 33 inciso A fracción VIII e inciso B, 139, 140, 141, 154 y 155 del Reglamento de la Ley de los Sistemas de Ahorro para el Retiro y 1, 2 fracción III, y 8 primer párrafo del Reglamento Interior de </w:t>
      </w:r>
      <w:proofErr w:type="spellStart"/>
      <w:r w:rsidRPr="00CA63EE">
        <w:rPr>
          <w:rFonts w:ascii="Verdana" w:hAnsi="Verdana"/>
          <w:bCs/>
          <w:sz w:val="20"/>
        </w:rPr>
        <w:t>laComisión</w:t>
      </w:r>
      <w:proofErr w:type="spellEnd"/>
      <w:r w:rsidRPr="00CA63EE">
        <w:rPr>
          <w:rFonts w:ascii="Verdana" w:hAnsi="Verdana"/>
          <w:bCs/>
          <w:sz w:val="20"/>
        </w:rPr>
        <w:t xml:space="preserve"> Nacional del Sistema de Ahorro para el Retiro, y</w:t>
      </w:r>
    </w:p>
    <w:p w:rsidR="00CA63EE" w:rsidRPr="00CA63EE" w:rsidRDefault="00CA63EE" w:rsidP="00CA63EE">
      <w:pPr>
        <w:jc w:val="both"/>
        <w:rPr>
          <w:rFonts w:ascii="Verdana" w:hAnsi="Verdana"/>
          <w:b/>
          <w:bCs/>
          <w:sz w:val="20"/>
        </w:rPr>
      </w:pPr>
      <w:r w:rsidRPr="00CA63EE">
        <w:rPr>
          <w:rFonts w:ascii="Verdana" w:hAnsi="Verdana"/>
          <w:b/>
          <w:bCs/>
          <w:sz w:val="20"/>
        </w:rPr>
        <w:t>CONSIDERANDO</w:t>
      </w:r>
    </w:p>
    <w:p w:rsidR="00CA63EE" w:rsidRPr="00CA63EE" w:rsidRDefault="00CA63EE" w:rsidP="00CA63EE">
      <w:pPr>
        <w:jc w:val="both"/>
        <w:rPr>
          <w:rFonts w:ascii="Verdana" w:hAnsi="Verdana"/>
          <w:bCs/>
          <w:sz w:val="20"/>
        </w:rPr>
      </w:pPr>
      <w:r w:rsidRPr="00CA63EE">
        <w:rPr>
          <w:rFonts w:ascii="Verdana" w:hAnsi="Verdana"/>
          <w:bCs/>
          <w:sz w:val="20"/>
        </w:rPr>
        <w:t>Que todas las operaciones que efectúen las Administradoras para la inversión de los recursos de los Trabajadores se realicen atendiendo exclusivamente al interés de éstos, se modifican las "Disposiciones de carácter general en materia financiera de los Sistemas de Ahorro para el Retiro" las cuales tienen por objeto establecer los estándares mínimos de gestión integral de las carteras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Que resulta necesario que las Administradoras ajusten sus portafolios de referencia, con la finalidad de que los mismos se apeguen a las mejores prácticas internacionales.</w:t>
      </w:r>
    </w:p>
    <w:p w:rsidR="00CA63EE" w:rsidRPr="00CA63EE" w:rsidRDefault="00CA63EE" w:rsidP="00CA63EE">
      <w:pPr>
        <w:jc w:val="both"/>
        <w:rPr>
          <w:rFonts w:ascii="Verdana" w:hAnsi="Verdana"/>
          <w:bCs/>
          <w:sz w:val="20"/>
        </w:rPr>
      </w:pPr>
      <w:r w:rsidRPr="00CA63EE">
        <w:rPr>
          <w:rFonts w:ascii="Verdana" w:hAnsi="Verdana"/>
          <w:bCs/>
          <w:sz w:val="20"/>
        </w:rPr>
        <w:t>Que en el último año esta Comisión ha propiciado la implementación de políticas que promuevan el bienestar económico y social, por lo que en dicha sintonía resulta prioritario otorgar a las Administradoras la facultad de integrar los factores ambientales, sociales y de gobernanza corporativa en el análisis de instrumentos de deuda y en el diseño de estrategias de inversión;</w:t>
      </w:r>
    </w:p>
    <w:p w:rsidR="00CA63EE" w:rsidRPr="00CA63EE" w:rsidRDefault="00CA63EE" w:rsidP="00CA63EE">
      <w:pPr>
        <w:jc w:val="both"/>
        <w:rPr>
          <w:rFonts w:ascii="Verdana" w:hAnsi="Verdana"/>
          <w:bCs/>
          <w:sz w:val="20"/>
        </w:rPr>
      </w:pPr>
      <w:r w:rsidRPr="00CA63EE">
        <w:rPr>
          <w:rFonts w:ascii="Verdana" w:hAnsi="Verdana"/>
          <w:bCs/>
          <w:sz w:val="20"/>
        </w:rPr>
        <w:t>Que es de particular interés para esta Comisión evitar la realización de operaciones que impliquen un conflicto de interés, por lo que resulta indispensable que en el código de ética de cada Administradora existan políticas específicas para la revelación de información en caso de presentarse un conflicto de interés, aplicables a los integrantes de los Comités de Inversión y de Riesgos Financieros;</w:t>
      </w:r>
    </w:p>
    <w:p w:rsidR="00CA63EE" w:rsidRPr="00CA63EE" w:rsidRDefault="00CA63EE" w:rsidP="00CA63EE">
      <w:pPr>
        <w:jc w:val="both"/>
        <w:rPr>
          <w:rFonts w:ascii="Verdana" w:hAnsi="Verdana"/>
          <w:bCs/>
          <w:sz w:val="20"/>
        </w:rPr>
      </w:pPr>
      <w:r w:rsidRPr="00CA63EE">
        <w:rPr>
          <w:rFonts w:ascii="Verdana" w:hAnsi="Verdana"/>
          <w:bCs/>
          <w:sz w:val="20"/>
        </w:rPr>
        <w:t xml:space="preserve">Que es necesario que las Administradoras, en su labor de desarrollar prácticas que se traduzcan en mejores rendimientos y por ende en mejores pensiones para los Trabajadores, permitan a los Trabajadores elegir que cada subcuenta o tipo de aportación que integra el Ahorro Voluntario se invierta en cualquiera de las Sociedades </w:t>
      </w:r>
      <w:r w:rsidRPr="00CA63EE">
        <w:rPr>
          <w:rFonts w:ascii="Verdana" w:hAnsi="Verdana"/>
          <w:bCs/>
          <w:sz w:val="20"/>
        </w:rPr>
        <w:lastRenderedPageBreak/>
        <w:t>de Inversión Básicas y o Sociedades de Inversión Adicionales, propiciando de esta manera el Ahorro Voluntario de los mismos;</w:t>
      </w:r>
    </w:p>
    <w:p w:rsidR="00CA63EE" w:rsidRPr="00CA63EE" w:rsidRDefault="00CA63EE" w:rsidP="00CA63EE">
      <w:pPr>
        <w:jc w:val="both"/>
        <w:rPr>
          <w:rFonts w:ascii="Verdana" w:hAnsi="Verdana"/>
          <w:bCs/>
          <w:sz w:val="20"/>
        </w:rPr>
      </w:pPr>
      <w:r w:rsidRPr="00CA63EE">
        <w:rPr>
          <w:rFonts w:ascii="Verdana" w:hAnsi="Verdana"/>
          <w:bCs/>
          <w:sz w:val="20"/>
        </w:rPr>
        <w:t>Que con el objeto de hacer más eficientes los procesos de inversión de las Administradoras, es oportuno flexibilizar los criterios que deberá satisfacer el experto independiente dedicado a evaluar y dictaminar Vehículos de deuda, de Componentes de Renta Variable, de Vehículos de Inversión Inmobiliaria y de FIBRAS, Índices Accionarios de Países Elegibles para Inversiones, Índices Inmobiliarios de Países Elegibles para Inversiones e Índices de Deuda de Países Elegibles para Inversiones; y</w:t>
      </w:r>
    </w:p>
    <w:p w:rsidR="00CA63EE" w:rsidRPr="00CA63EE" w:rsidRDefault="00CA63EE" w:rsidP="00CA63EE">
      <w:pPr>
        <w:jc w:val="both"/>
        <w:rPr>
          <w:rFonts w:ascii="Verdana" w:hAnsi="Verdana"/>
          <w:bCs/>
          <w:sz w:val="20"/>
        </w:rPr>
      </w:pPr>
      <w:r w:rsidRPr="00CA63EE">
        <w:rPr>
          <w:rFonts w:ascii="Verdana" w:hAnsi="Verdana"/>
          <w:bCs/>
          <w:sz w:val="20"/>
        </w:rPr>
        <w:t xml:space="preserve">Que la Secretaría de Hacienda y Crédito Público a través de esta Comisión, da cumplimiento a lo establecido en el artículo 78 de la Ley General de Mejora Regulatoria, así como al artículo Quinto del "Acuerdo que fija los lineamientos que deberán ser observados por las dependencias y organismos descentralizados de la Administración Pública Federal, en cuanto a la emisión de los actos administrativos de carácter general a los que les resulta aplicable el artículo 69-H de la Ley Federal de </w:t>
      </w:r>
      <w:proofErr w:type="spellStart"/>
      <w:r w:rsidRPr="00CA63EE">
        <w:rPr>
          <w:rFonts w:ascii="Verdana" w:hAnsi="Verdana"/>
          <w:bCs/>
          <w:sz w:val="20"/>
        </w:rPr>
        <w:t>ProcedimientoAdministrativo</w:t>
      </w:r>
      <w:proofErr w:type="spellEnd"/>
      <w:r w:rsidRPr="00CA63EE">
        <w:rPr>
          <w:rFonts w:ascii="Verdana" w:hAnsi="Verdana"/>
          <w:bCs/>
          <w:sz w:val="20"/>
        </w:rPr>
        <w:t>", conforme a lo detallado en las presentes disposiciones, mismas que eliminan treinta y siete obligaciones que generan beneficios y ahorros, ha tenido a bien expedir las siguientes:</w:t>
      </w:r>
    </w:p>
    <w:p w:rsidR="00CA63EE" w:rsidRPr="00CA63EE" w:rsidRDefault="00CA63EE" w:rsidP="00CA63EE">
      <w:pPr>
        <w:jc w:val="both"/>
        <w:rPr>
          <w:rFonts w:ascii="Verdana" w:hAnsi="Verdana"/>
          <w:b/>
          <w:bCs/>
          <w:sz w:val="20"/>
        </w:rPr>
      </w:pPr>
      <w:r w:rsidRPr="00CA63EE">
        <w:rPr>
          <w:rFonts w:ascii="Verdana" w:hAnsi="Verdana"/>
          <w:b/>
          <w:bCs/>
          <w:sz w:val="20"/>
        </w:rPr>
        <w:t>DISPOSICIONES DE CARÁCTER GENERAL EN MATERIA FINANCIERA DE LOS SISTEMAS DE</w:t>
      </w:r>
      <w:r w:rsidRPr="00CA63EE">
        <w:rPr>
          <w:rFonts w:ascii="Verdana" w:hAnsi="Verdana"/>
          <w:b/>
          <w:bCs/>
          <w:sz w:val="20"/>
        </w:rPr>
        <w:br/>
        <w:t>AHORRO PARA EL RETIRO</w:t>
      </w:r>
    </w:p>
    <w:p w:rsidR="00CA63EE" w:rsidRPr="00CA63EE" w:rsidRDefault="00CA63EE" w:rsidP="00CA63EE">
      <w:pPr>
        <w:jc w:val="both"/>
        <w:rPr>
          <w:rFonts w:ascii="Verdana" w:hAnsi="Verdana"/>
          <w:b/>
          <w:bCs/>
          <w:sz w:val="20"/>
        </w:rPr>
      </w:pPr>
      <w:r w:rsidRPr="00CA63EE">
        <w:rPr>
          <w:rFonts w:ascii="Verdana" w:hAnsi="Verdana"/>
          <w:b/>
          <w:bCs/>
          <w:sz w:val="20"/>
        </w:rPr>
        <w:t>INDICE</w:t>
      </w:r>
    </w:p>
    <w:p w:rsidR="00CA63EE" w:rsidRPr="00CA63EE" w:rsidRDefault="00CA63EE" w:rsidP="00CA63EE">
      <w:pPr>
        <w:jc w:val="both"/>
        <w:rPr>
          <w:rFonts w:ascii="Verdana" w:hAnsi="Verdana"/>
          <w:bCs/>
          <w:sz w:val="20"/>
        </w:rPr>
      </w:pPr>
      <w:r w:rsidRPr="00CA63EE">
        <w:rPr>
          <w:rFonts w:ascii="Verdana" w:hAnsi="Verdana"/>
          <w:b/>
          <w:bCs/>
          <w:sz w:val="20"/>
        </w:rPr>
        <w:t>TÍTULO I.</w:t>
      </w:r>
    </w:p>
    <w:p w:rsidR="00CA63EE" w:rsidRPr="00CA63EE" w:rsidRDefault="00CA63EE" w:rsidP="00CA63EE">
      <w:pPr>
        <w:jc w:val="both"/>
        <w:rPr>
          <w:rFonts w:ascii="Verdana" w:hAnsi="Verdana"/>
          <w:bCs/>
          <w:sz w:val="20"/>
        </w:rPr>
      </w:pPr>
      <w:r w:rsidRPr="00CA63EE">
        <w:rPr>
          <w:rFonts w:ascii="Verdana" w:hAnsi="Verdana"/>
          <w:bCs/>
          <w:sz w:val="20"/>
        </w:rPr>
        <w:t>DISPOSICIONES GENERALES</w:t>
      </w:r>
    </w:p>
    <w:p w:rsidR="00CA63EE" w:rsidRPr="00CA63EE" w:rsidRDefault="00CA63EE" w:rsidP="00CA63EE">
      <w:pPr>
        <w:jc w:val="both"/>
        <w:rPr>
          <w:rFonts w:ascii="Verdana" w:hAnsi="Verdana"/>
          <w:bCs/>
          <w:sz w:val="20"/>
        </w:rPr>
      </w:pPr>
      <w:r w:rsidRPr="00CA63EE">
        <w:rPr>
          <w:rFonts w:ascii="Verdana" w:hAnsi="Verdana"/>
          <w:b/>
          <w:bCs/>
          <w:sz w:val="20"/>
        </w:rPr>
        <w:t>Capítulo Único.</w:t>
      </w:r>
    </w:p>
    <w:p w:rsidR="00CA63EE" w:rsidRPr="00CA63EE" w:rsidRDefault="00CA63EE" w:rsidP="00CA63EE">
      <w:pPr>
        <w:jc w:val="both"/>
        <w:rPr>
          <w:rFonts w:ascii="Verdana" w:hAnsi="Verdana"/>
          <w:bCs/>
          <w:sz w:val="20"/>
        </w:rPr>
      </w:pPr>
      <w:r w:rsidRPr="00CA63EE">
        <w:rPr>
          <w:rFonts w:ascii="Verdana" w:hAnsi="Verdana"/>
          <w:bCs/>
          <w:sz w:val="20"/>
        </w:rPr>
        <w:t>Definiciones</w:t>
      </w:r>
    </w:p>
    <w:p w:rsidR="00CA63EE" w:rsidRPr="00CA63EE" w:rsidRDefault="00CA63EE" w:rsidP="00CA63EE">
      <w:pPr>
        <w:jc w:val="both"/>
        <w:rPr>
          <w:rFonts w:ascii="Verdana" w:hAnsi="Verdana"/>
          <w:bCs/>
          <w:sz w:val="20"/>
        </w:rPr>
      </w:pPr>
      <w:r w:rsidRPr="00CA63EE">
        <w:rPr>
          <w:rFonts w:ascii="Verdana" w:hAnsi="Verdana"/>
          <w:b/>
          <w:bCs/>
          <w:sz w:val="20"/>
        </w:rPr>
        <w:t>TÍTULO II.</w:t>
      </w:r>
    </w:p>
    <w:p w:rsidR="00CA63EE" w:rsidRPr="00CA63EE" w:rsidRDefault="00CA63EE" w:rsidP="00CA63EE">
      <w:pPr>
        <w:jc w:val="both"/>
        <w:rPr>
          <w:rFonts w:ascii="Verdana" w:hAnsi="Verdana"/>
          <w:bCs/>
          <w:sz w:val="20"/>
        </w:rPr>
      </w:pPr>
      <w:r w:rsidRPr="00CA63EE">
        <w:rPr>
          <w:rFonts w:ascii="Verdana" w:hAnsi="Verdana"/>
          <w:bCs/>
          <w:sz w:val="20"/>
        </w:rPr>
        <w:t>DE LA ADMINISTRACIÓN DE RIESGOS FINANCIEROS DE LA SOCIEDAD DE INVERSIÓN</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De la Unidad de Administración Integral de Riesgos</w:t>
      </w:r>
    </w:p>
    <w:p w:rsidR="00CA63EE" w:rsidRPr="00CA63EE" w:rsidRDefault="00CA63EE" w:rsidP="00CA63EE">
      <w:pPr>
        <w:jc w:val="both"/>
        <w:rPr>
          <w:rFonts w:ascii="Verdana" w:hAnsi="Verdana"/>
          <w:bCs/>
          <w:sz w:val="20"/>
        </w:rPr>
      </w:pPr>
      <w:r w:rsidRPr="00CA63EE">
        <w:rPr>
          <w:rFonts w:ascii="Verdana" w:hAnsi="Verdana"/>
          <w:b/>
          <w:bCs/>
          <w:sz w:val="20"/>
        </w:rPr>
        <w:t>Capítulo III.</w:t>
      </w:r>
    </w:p>
    <w:p w:rsidR="00CA63EE" w:rsidRPr="00CA63EE" w:rsidRDefault="00CA63EE" w:rsidP="00CA63EE">
      <w:pPr>
        <w:jc w:val="both"/>
        <w:rPr>
          <w:rFonts w:ascii="Verdana" w:hAnsi="Verdana"/>
          <w:bCs/>
          <w:sz w:val="20"/>
        </w:rPr>
      </w:pPr>
      <w:r w:rsidRPr="00CA63EE">
        <w:rPr>
          <w:rFonts w:ascii="Verdana" w:hAnsi="Verdana"/>
          <w:bCs/>
          <w:sz w:val="20"/>
        </w:rPr>
        <w:t>Del Manual de Políticas y Procedimientos para la Administración del Riesgo Financiero</w:t>
      </w:r>
    </w:p>
    <w:p w:rsidR="00CA63EE" w:rsidRPr="00CA63EE" w:rsidRDefault="00CA63EE" w:rsidP="00CA63EE">
      <w:pPr>
        <w:jc w:val="both"/>
        <w:rPr>
          <w:rFonts w:ascii="Verdana" w:hAnsi="Verdana"/>
          <w:bCs/>
          <w:sz w:val="20"/>
        </w:rPr>
      </w:pPr>
      <w:r w:rsidRPr="00CA63EE">
        <w:rPr>
          <w:rFonts w:ascii="Verdana" w:hAnsi="Verdana"/>
          <w:b/>
          <w:bCs/>
          <w:sz w:val="20"/>
        </w:rPr>
        <w:lastRenderedPageBreak/>
        <w:t>TÍTULO III.</w:t>
      </w:r>
    </w:p>
    <w:p w:rsidR="00CA63EE" w:rsidRPr="00CA63EE" w:rsidRDefault="00CA63EE" w:rsidP="00CA63EE">
      <w:pPr>
        <w:jc w:val="both"/>
        <w:rPr>
          <w:rFonts w:ascii="Verdana" w:hAnsi="Verdana"/>
          <w:bCs/>
          <w:sz w:val="20"/>
        </w:rPr>
      </w:pPr>
      <w:r w:rsidRPr="00CA63EE">
        <w:rPr>
          <w:rFonts w:ascii="Verdana" w:hAnsi="Verdana"/>
          <w:bCs/>
          <w:sz w:val="20"/>
        </w:rPr>
        <w:t>DISPOSICIONES EN MATERIA DE INVERSIONES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 los Comités de Inversión</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Del Responsable del Área de Inversiones</w:t>
      </w:r>
    </w:p>
    <w:p w:rsidR="00CA63EE" w:rsidRPr="00CA63EE" w:rsidRDefault="00CA63EE" w:rsidP="00CA63EE">
      <w:pPr>
        <w:jc w:val="both"/>
        <w:rPr>
          <w:rFonts w:ascii="Verdana" w:hAnsi="Verdana"/>
          <w:bCs/>
          <w:sz w:val="20"/>
        </w:rPr>
      </w:pPr>
      <w:r w:rsidRPr="00CA63EE">
        <w:rPr>
          <w:rFonts w:ascii="Verdana" w:hAnsi="Verdana"/>
          <w:b/>
          <w:bCs/>
          <w:sz w:val="20"/>
        </w:rPr>
        <w:t>Capítulo III.</w:t>
      </w:r>
    </w:p>
    <w:p w:rsidR="00CA63EE" w:rsidRPr="00CA63EE" w:rsidRDefault="00CA63EE" w:rsidP="00CA63EE">
      <w:pPr>
        <w:jc w:val="both"/>
        <w:rPr>
          <w:rFonts w:ascii="Verdana" w:hAnsi="Verdana"/>
          <w:bCs/>
          <w:sz w:val="20"/>
        </w:rPr>
      </w:pPr>
      <w:r w:rsidRPr="00CA63EE">
        <w:rPr>
          <w:rFonts w:ascii="Verdana" w:hAnsi="Verdana"/>
          <w:bCs/>
          <w:sz w:val="20"/>
        </w:rPr>
        <w:t>Del Manual de Inversión</w:t>
      </w:r>
    </w:p>
    <w:p w:rsidR="00CA63EE" w:rsidRPr="00CA63EE" w:rsidRDefault="00CA63EE" w:rsidP="00CA63EE">
      <w:pPr>
        <w:jc w:val="both"/>
        <w:rPr>
          <w:rFonts w:ascii="Verdana" w:hAnsi="Verdana"/>
          <w:bCs/>
          <w:sz w:val="20"/>
        </w:rPr>
      </w:pPr>
      <w:r w:rsidRPr="00CA63EE">
        <w:rPr>
          <w:rFonts w:ascii="Verdana" w:hAnsi="Verdana"/>
          <w:b/>
          <w:bCs/>
          <w:sz w:val="20"/>
        </w:rPr>
        <w:t>Capítulo IV.</w:t>
      </w:r>
    </w:p>
    <w:p w:rsidR="00CA63EE" w:rsidRPr="00CA63EE" w:rsidRDefault="00CA63EE" w:rsidP="00CA63EE">
      <w:pPr>
        <w:jc w:val="both"/>
        <w:rPr>
          <w:rFonts w:ascii="Verdana" w:hAnsi="Verdana"/>
          <w:bCs/>
          <w:sz w:val="20"/>
        </w:rPr>
      </w:pPr>
      <w:r w:rsidRPr="00CA63EE">
        <w:rPr>
          <w:rFonts w:ascii="Verdana" w:hAnsi="Verdana"/>
          <w:bCs/>
          <w:sz w:val="20"/>
        </w:rPr>
        <w:t>Del Proceso de Inversión</w:t>
      </w:r>
    </w:p>
    <w:p w:rsidR="00CA63EE" w:rsidRPr="00CA63EE" w:rsidRDefault="00CA63EE" w:rsidP="00CA63EE">
      <w:pPr>
        <w:jc w:val="both"/>
        <w:rPr>
          <w:rFonts w:ascii="Verdana" w:hAnsi="Verdana"/>
          <w:bCs/>
          <w:sz w:val="20"/>
        </w:rPr>
      </w:pPr>
      <w:r w:rsidRPr="00CA63EE">
        <w:rPr>
          <w:rFonts w:ascii="Verdana" w:hAnsi="Verdana"/>
          <w:b/>
          <w:bCs/>
          <w:sz w:val="20"/>
        </w:rPr>
        <w:t>Capítulo V.</w:t>
      </w:r>
    </w:p>
    <w:p w:rsidR="00CA63EE" w:rsidRPr="00CA63EE" w:rsidRDefault="00CA63EE" w:rsidP="00CA63EE">
      <w:pPr>
        <w:jc w:val="both"/>
        <w:rPr>
          <w:rFonts w:ascii="Verdana" w:hAnsi="Verdana"/>
          <w:bCs/>
          <w:sz w:val="20"/>
        </w:rPr>
      </w:pPr>
      <w:r w:rsidRPr="00CA63EE">
        <w:rPr>
          <w:rFonts w:ascii="Verdana" w:hAnsi="Verdana"/>
          <w:bCs/>
          <w:sz w:val="20"/>
        </w:rPr>
        <w:t>De las Pruebas de Comportamiento de las Carteras de Inversión</w:t>
      </w:r>
    </w:p>
    <w:p w:rsidR="00CA63EE" w:rsidRPr="00CA63EE" w:rsidRDefault="00CA63EE" w:rsidP="00CA63EE">
      <w:pPr>
        <w:jc w:val="both"/>
        <w:rPr>
          <w:rFonts w:ascii="Verdana" w:hAnsi="Verdana"/>
          <w:bCs/>
          <w:sz w:val="20"/>
        </w:rPr>
      </w:pPr>
      <w:r w:rsidRPr="00CA63EE">
        <w:rPr>
          <w:rFonts w:ascii="Verdana" w:hAnsi="Verdana"/>
          <w:b/>
          <w:bCs/>
          <w:sz w:val="20"/>
        </w:rPr>
        <w:t>TÍTULO IV.</w:t>
      </w:r>
    </w:p>
    <w:p w:rsidR="00CA63EE" w:rsidRPr="00CA63EE" w:rsidRDefault="00CA63EE" w:rsidP="00CA63EE">
      <w:pPr>
        <w:jc w:val="both"/>
        <w:rPr>
          <w:rFonts w:ascii="Verdana" w:hAnsi="Verdana"/>
          <w:bCs/>
          <w:sz w:val="20"/>
        </w:rPr>
      </w:pPr>
      <w:r w:rsidRPr="00CA63EE">
        <w:rPr>
          <w:rFonts w:ascii="Verdana" w:hAnsi="Verdana"/>
          <w:bCs/>
          <w:sz w:val="20"/>
        </w:rPr>
        <w:t>DE LAS SANAS PRÁCTICAS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 los Derechos Corporativos</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De las Buenas Prácticas</w:t>
      </w:r>
    </w:p>
    <w:p w:rsidR="00CA63EE" w:rsidRPr="00CA63EE" w:rsidRDefault="00CA63EE" w:rsidP="00CA63EE">
      <w:pPr>
        <w:jc w:val="both"/>
        <w:rPr>
          <w:rFonts w:ascii="Verdana" w:hAnsi="Verdana"/>
          <w:bCs/>
          <w:sz w:val="20"/>
        </w:rPr>
      </w:pPr>
      <w:r w:rsidRPr="00CA63EE">
        <w:rPr>
          <w:rFonts w:ascii="Verdana" w:hAnsi="Verdana"/>
          <w:b/>
          <w:bCs/>
          <w:sz w:val="20"/>
        </w:rPr>
        <w:t>Capítulo III.</w:t>
      </w:r>
    </w:p>
    <w:p w:rsidR="00CA63EE" w:rsidRPr="00CA63EE" w:rsidRDefault="00CA63EE" w:rsidP="00CA63EE">
      <w:pPr>
        <w:jc w:val="both"/>
        <w:rPr>
          <w:rFonts w:ascii="Verdana" w:hAnsi="Verdana"/>
          <w:bCs/>
          <w:sz w:val="20"/>
        </w:rPr>
      </w:pPr>
      <w:r w:rsidRPr="00CA63EE">
        <w:rPr>
          <w:rFonts w:ascii="Verdana" w:hAnsi="Verdana"/>
          <w:bCs/>
          <w:sz w:val="20"/>
        </w:rPr>
        <w:t>De las Prácticas para Evitar Conflictos de Interés</w:t>
      </w:r>
    </w:p>
    <w:p w:rsidR="00CA63EE" w:rsidRPr="00CA63EE" w:rsidRDefault="00CA63EE" w:rsidP="00CA63EE">
      <w:pPr>
        <w:jc w:val="both"/>
        <w:rPr>
          <w:rFonts w:ascii="Verdana" w:hAnsi="Verdana"/>
          <w:bCs/>
          <w:sz w:val="20"/>
        </w:rPr>
      </w:pPr>
      <w:r w:rsidRPr="00CA63EE">
        <w:rPr>
          <w:rFonts w:ascii="Verdana" w:hAnsi="Verdana"/>
          <w:b/>
          <w:bCs/>
          <w:sz w:val="20"/>
        </w:rPr>
        <w:t>Capítulo IV.</w:t>
      </w:r>
    </w:p>
    <w:p w:rsidR="00CA63EE" w:rsidRPr="00CA63EE" w:rsidRDefault="00CA63EE" w:rsidP="00CA63EE">
      <w:pPr>
        <w:jc w:val="both"/>
        <w:rPr>
          <w:rFonts w:ascii="Verdana" w:hAnsi="Verdana"/>
          <w:bCs/>
          <w:sz w:val="20"/>
        </w:rPr>
      </w:pPr>
      <w:r w:rsidRPr="00CA63EE">
        <w:rPr>
          <w:rFonts w:ascii="Verdana" w:hAnsi="Verdana"/>
          <w:bCs/>
          <w:sz w:val="20"/>
        </w:rPr>
        <w:t>De la Certificación de Funcionarios</w:t>
      </w:r>
    </w:p>
    <w:p w:rsidR="00CA63EE" w:rsidRPr="00CA63EE" w:rsidRDefault="00CA63EE" w:rsidP="00CA63EE">
      <w:pPr>
        <w:jc w:val="both"/>
        <w:rPr>
          <w:rFonts w:ascii="Verdana" w:hAnsi="Verdana"/>
          <w:bCs/>
          <w:sz w:val="20"/>
        </w:rPr>
      </w:pPr>
      <w:r w:rsidRPr="00CA63EE">
        <w:rPr>
          <w:rFonts w:ascii="Verdana" w:hAnsi="Verdana"/>
          <w:b/>
          <w:bCs/>
          <w:sz w:val="20"/>
        </w:rPr>
        <w:t>Capítulo V.</w:t>
      </w:r>
    </w:p>
    <w:p w:rsidR="00CA63EE" w:rsidRPr="00CA63EE" w:rsidRDefault="00CA63EE" w:rsidP="00CA63EE">
      <w:pPr>
        <w:jc w:val="both"/>
        <w:rPr>
          <w:rFonts w:ascii="Verdana" w:hAnsi="Verdana"/>
          <w:bCs/>
          <w:sz w:val="20"/>
        </w:rPr>
      </w:pPr>
      <w:r w:rsidRPr="00CA63EE">
        <w:rPr>
          <w:rFonts w:ascii="Verdana" w:hAnsi="Verdana"/>
          <w:bCs/>
          <w:sz w:val="20"/>
        </w:rPr>
        <w:t>De los Consejeros Independientes</w:t>
      </w:r>
    </w:p>
    <w:p w:rsidR="00CA63EE" w:rsidRPr="00CA63EE" w:rsidRDefault="00CA63EE" w:rsidP="00CA63EE">
      <w:pPr>
        <w:jc w:val="both"/>
        <w:rPr>
          <w:rFonts w:ascii="Verdana" w:hAnsi="Verdana"/>
          <w:bCs/>
          <w:sz w:val="20"/>
        </w:rPr>
      </w:pPr>
      <w:r w:rsidRPr="00CA63EE">
        <w:rPr>
          <w:rFonts w:ascii="Verdana" w:hAnsi="Verdana"/>
          <w:b/>
          <w:bCs/>
          <w:sz w:val="20"/>
        </w:rPr>
        <w:t>TÍTULO V.</w:t>
      </w:r>
    </w:p>
    <w:p w:rsidR="00CA63EE" w:rsidRPr="00CA63EE" w:rsidRDefault="00CA63EE" w:rsidP="00CA63EE">
      <w:pPr>
        <w:jc w:val="both"/>
        <w:rPr>
          <w:rFonts w:ascii="Verdana" w:hAnsi="Verdana"/>
          <w:bCs/>
          <w:sz w:val="20"/>
        </w:rPr>
      </w:pPr>
      <w:r w:rsidRPr="00CA63EE">
        <w:rPr>
          <w:rFonts w:ascii="Verdana" w:hAnsi="Verdana"/>
          <w:bCs/>
          <w:sz w:val="20"/>
        </w:rPr>
        <w:t>DE LA PROVEEDURÍA DE PRECIOS Y DE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lastRenderedPageBreak/>
        <w:t>De la Proveeduría de Precios para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Sección I.</w:t>
      </w:r>
    </w:p>
    <w:p w:rsidR="00CA63EE" w:rsidRPr="00CA63EE" w:rsidRDefault="00CA63EE" w:rsidP="00CA63EE">
      <w:pPr>
        <w:jc w:val="both"/>
        <w:rPr>
          <w:rFonts w:ascii="Verdana" w:hAnsi="Verdana"/>
          <w:bCs/>
          <w:sz w:val="20"/>
        </w:rPr>
      </w:pPr>
      <w:r w:rsidRPr="00CA63EE">
        <w:rPr>
          <w:rFonts w:ascii="Verdana" w:hAnsi="Verdana"/>
          <w:bCs/>
          <w:sz w:val="20"/>
        </w:rPr>
        <w:t>De la Proveeduría de Precios para la Valuación de Activos Administrados por la Sociedad de Inversión</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Cs/>
          <w:sz w:val="20"/>
        </w:rPr>
        <w:t>De la Proveeduría de Precios para la Valuación de Activos Administrados por Mandatarios</w:t>
      </w:r>
    </w:p>
    <w:p w:rsidR="00CA63EE" w:rsidRPr="00CA63EE" w:rsidRDefault="00CA63EE" w:rsidP="00CA63EE">
      <w:pPr>
        <w:jc w:val="both"/>
        <w:rPr>
          <w:rFonts w:ascii="Verdana" w:hAnsi="Verdana"/>
          <w:bCs/>
          <w:sz w:val="20"/>
        </w:rPr>
      </w:pPr>
      <w:r w:rsidRPr="00CA63EE">
        <w:rPr>
          <w:rFonts w:ascii="Verdana" w:hAnsi="Verdana"/>
          <w:b/>
          <w:bCs/>
          <w:sz w:val="20"/>
        </w:rPr>
        <w:t>Sección III.</w:t>
      </w:r>
    </w:p>
    <w:p w:rsidR="00CA63EE" w:rsidRPr="00CA63EE" w:rsidRDefault="00CA63EE" w:rsidP="00CA63EE">
      <w:pPr>
        <w:jc w:val="both"/>
        <w:rPr>
          <w:rFonts w:ascii="Verdana" w:hAnsi="Verdana"/>
          <w:bCs/>
          <w:sz w:val="20"/>
        </w:rPr>
      </w:pPr>
      <w:r w:rsidRPr="00CA63EE">
        <w:rPr>
          <w:rFonts w:ascii="Verdana" w:hAnsi="Verdana"/>
          <w:bCs/>
          <w:sz w:val="20"/>
        </w:rPr>
        <w:t>De la Proveeduría de Precios para la Valuación de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Cs/>
          <w:sz w:val="20"/>
        </w:rPr>
        <w:t>De la Contratación del Proveedor de Precios</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De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Sección I.</w:t>
      </w:r>
    </w:p>
    <w:p w:rsidR="00CA63EE" w:rsidRPr="00CA63EE" w:rsidRDefault="00CA63EE" w:rsidP="00CA63EE">
      <w:pPr>
        <w:jc w:val="both"/>
        <w:rPr>
          <w:rFonts w:ascii="Verdana" w:hAnsi="Verdana"/>
          <w:bCs/>
          <w:sz w:val="20"/>
        </w:rPr>
      </w:pPr>
      <w:r w:rsidRPr="00CA63EE">
        <w:rPr>
          <w:rFonts w:ascii="Verdana" w:hAnsi="Verdana"/>
          <w:bCs/>
          <w:sz w:val="20"/>
        </w:rPr>
        <w:t>De los Procedimientos Contingentes de Valuación de los Activos Objeto de Inversión que formen parte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Cs/>
          <w:sz w:val="20"/>
        </w:rPr>
        <w:t>De los Procedimientos Contingentes de Valuación de los Activos Objeto de Inversión que formen parte del Activo Administrado por el Mandatario</w:t>
      </w:r>
    </w:p>
    <w:p w:rsidR="00CA63EE" w:rsidRPr="00CA63EE" w:rsidRDefault="00CA63EE" w:rsidP="00CA63EE">
      <w:pPr>
        <w:jc w:val="both"/>
        <w:rPr>
          <w:rFonts w:ascii="Verdana" w:hAnsi="Verdana"/>
          <w:bCs/>
          <w:sz w:val="20"/>
        </w:rPr>
      </w:pPr>
      <w:r w:rsidRPr="00CA63EE">
        <w:rPr>
          <w:rFonts w:ascii="Verdana" w:hAnsi="Verdana"/>
          <w:b/>
          <w:bCs/>
          <w:sz w:val="20"/>
        </w:rPr>
        <w:t>Sección III.</w:t>
      </w:r>
    </w:p>
    <w:p w:rsidR="00CA63EE" w:rsidRPr="00CA63EE" w:rsidRDefault="00CA63EE" w:rsidP="00CA63EE">
      <w:pPr>
        <w:jc w:val="both"/>
        <w:rPr>
          <w:rFonts w:ascii="Verdana" w:hAnsi="Verdana"/>
          <w:bCs/>
          <w:sz w:val="20"/>
        </w:rPr>
      </w:pPr>
      <w:r w:rsidRPr="00CA63EE">
        <w:rPr>
          <w:rFonts w:ascii="Verdana" w:hAnsi="Verdana"/>
          <w:bCs/>
          <w:sz w:val="20"/>
        </w:rPr>
        <w:t>De la Contratación de las Sociedades Valuadoras</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Cs/>
          <w:sz w:val="20"/>
        </w:rPr>
        <w:t>De la Valuación de las Acciones Representativas del Capital pagado de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TÍTULO VI.</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DEL ACCESO A LOS MERCADOS INTERNACIONALES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 los Mecanismos de Acceso a los Mercados Internacionales</w:t>
      </w:r>
    </w:p>
    <w:p w:rsidR="00CA63EE" w:rsidRPr="00CA63EE" w:rsidRDefault="00CA63EE" w:rsidP="00CA63EE">
      <w:pPr>
        <w:jc w:val="both"/>
        <w:rPr>
          <w:rFonts w:ascii="Verdana" w:hAnsi="Verdana"/>
          <w:bCs/>
          <w:sz w:val="20"/>
        </w:rPr>
      </w:pPr>
      <w:r w:rsidRPr="00CA63EE">
        <w:rPr>
          <w:rFonts w:ascii="Verdana" w:hAnsi="Verdana"/>
          <w:b/>
          <w:bCs/>
          <w:sz w:val="20"/>
        </w:rPr>
        <w:lastRenderedPageBreak/>
        <w:t>Capítulo II.</w:t>
      </w:r>
    </w:p>
    <w:p w:rsidR="00CA63EE" w:rsidRPr="00CA63EE" w:rsidRDefault="00CA63EE" w:rsidP="00CA63EE">
      <w:pPr>
        <w:jc w:val="both"/>
        <w:rPr>
          <w:rFonts w:ascii="Verdana" w:hAnsi="Verdana"/>
          <w:bCs/>
          <w:sz w:val="20"/>
        </w:rPr>
      </w:pPr>
      <w:r w:rsidRPr="00CA63EE">
        <w:rPr>
          <w:rFonts w:ascii="Verdana" w:hAnsi="Verdana"/>
          <w:bCs/>
          <w:sz w:val="20"/>
        </w:rPr>
        <w:t>De los Vehículos</w:t>
      </w:r>
    </w:p>
    <w:p w:rsidR="00CA63EE" w:rsidRPr="00CA63EE" w:rsidRDefault="00CA63EE" w:rsidP="00CA63EE">
      <w:pPr>
        <w:jc w:val="both"/>
        <w:rPr>
          <w:rFonts w:ascii="Verdana" w:hAnsi="Verdana"/>
          <w:bCs/>
          <w:sz w:val="20"/>
        </w:rPr>
      </w:pPr>
      <w:r w:rsidRPr="00CA63EE">
        <w:rPr>
          <w:rFonts w:ascii="Verdana" w:hAnsi="Verdana"/>
          <w:b/>
          <w:bCs/>
          <w:sz w:val="20"/>
        </w:rPr>
        <w:t>TÍTULO VII.</w:t>
      </w:r>
    </w:p>
    <w:p w:rsidR="00CA63EE" w:rsidRPr="00CA63EE" w:rsidRDefault="00CA63EE" w:rsidP="00CA63EE">
      <w:pPr>
        <w:jc w:val="both"/>
        <w:rPr>
          <w:rFonts w:ascii="Verdana" w:hAnsi="Verdana"/>
          <w:bCs/>
          <w:sz w:val="20"/>
        </w:rPr>
      </w:pPr>
      <w:r w:rsidRPr="00CA63EE">
        <w:rPr>
          <w:rFonts w:ascii="Verdana" w:hAnsi="Verdana"/>
          <w:bCs/>
          <w:sz w:val="20"/>
        </w:rPr>
        <w:t>DEL CUSTODIO</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 la Contratación del Custodio</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De los Requisitos del Contrato</w:t>
      </w:r>
    </w:p>
    <w:p w:rsidR="00CA63EE" w:rsidRPr="00CA63EE" w:rsidRDefault="00CA63EE" w:rsidP="00CA63EE">
      <w:pPr>
        <w:jc w:val="both"/>
        <w:rPr>
          <w:rFonts w:ascii="Verdana" w:hAnsi="Verdana"/>
          <w:bCs/>
          <w:sz w:val="20"/>
        </w:rPr>
      </w:pPr>
      <w:r w:rsidRPr="00CA63EE">
        <w:rPr>
          <w:rFonts w:ascii="Verdana" w:hAnsi="Verdana"/>
          <w:b/>
          <w:bCs/>
          <w:sz w:val="20"/>
        </w:rPr>
        <w:t>TÍTULO VIII.</w:t>
      </w:r>
    </w:p>
    <w:p w:rsidR="00CA63EE" w:rsidRPr="00CA63EE" w:rsidRDefault="00CA63EE" w:rsidP="00CA63EE">
      <w:pPr>
        <w:jc w:val="both"/>
        <w:rPr>
          <w:rFonts w:ascii="Verdana" w:hAnsi="Verdana"/>
          <w:bCs/>
          <w:sz w:val="20"/>
        </w:rPr>
      </w:pPr>
      <w:r w:rsidRPr="00CA63EE">
        <w:rPr>
          <w:rFonts w:ascii="Verdana" w:hAnsi="Verdana"/>
          <w:bCs/>
          <w:sz w:val="20"/>
        </w:rPr>
        <w:t>DE LAS OPERACIONES CON DERIVADOS</w:t>
      </w:r>
    </w:p>
    <w:p w:rsidR="00CA63EE" w:rsidRPr="00CA63EE" w:rsidRDefault="00CA63EE" w:rsidP="00CA63EE">
      <w:pPr>
        <w:jc w:val="both"/>
        <w:rPr>
          <w:rFonts w:ascii="Verdana" w:hAnsi="Verdana"/>
          <w:bCs/>
          <w:sz w:val="20"/>
        </w:rPr>
      </w:pPr>
      <w:r w:rsidRPr="00CA63EE">
        <w:rPr>
          <w:rFonts w:ascii="Verdana" w:hAnsi="Verdana"/>
          <w:b/>
          <w:bCs/>
          <w:sz w:val="20"/>
        </w:rPr>
        <w:t>TÍTULO IX.</w:t>
      </w:r>
    </w:p>
    <w:p w:rsidR="00CA63EE" w:rsidRPr="00CA63EE" w:rsidRDefault="00CA63EE" w:rsidP="00CA63EE">
      <w:pPr>
        <w:jc w:val="both"/>
        <w:rPr>
          <w:rFonts w:ascii="Verdana" w:hAnsi="Verdana"/>
          <w:bCs/>
          <w:sz w:val="20"/>
        </w:rPr>
      </w:pPr>
      <w:r w:rsidRPr="00CA63EE">
        <w:rPr>
          <w:rFonts w:ascii="Verdana" w:hAnsi="Verdana"/>
          <w:bCs/>
          <w:sz w:val="20"/>
        </w:rPr>
        <w:t>DE LA OPERACIÓN CON ESTRUCTURAS VINCULADAS A SUBYACENTES</w:t>
      </w:r>
    </w:p>
    <w:p w:rsidR="00CA63EE" w:rsidRPr="00CA63EE" w:rsidRDefault="00CA63EE" w:rsidP="00CA63EE">
      <w:pPr>
        <w:jc w:val="both"/>
        <w:rPr>
          <w:rFonts w:ascii="Verdana" w:hAnsi="Verdana"/>
          <w:bCs/>
          <w:sz w:val="20"/>
        </w:rPr>
      </w:pPr>
      <w:r w:rsidRPr="00CA63EE">
        <w:rPr>
          <w:rFonts w:ascii="Verdana" w:hAnsi="Verdana"/>
          <w:b/>
          <w:bCs/>
          <w:sz w:val="20"/>
        </w:rPr>
        <w:t>TÍTULO X.</w:t>
      </w:r>
    </w:p>
    <w:p w:rsidR="00CA63EE" w:rsidRPr="00CA63EE" w:rsidRDefault="00CA63EE" w:rsidP="00CA63EE">
      <w:pPr>
        <w:jc w:val="both"/>
        <w:rPr>
          <w:rFonts w:ascii="Verdana" w:hAnsi="Verdana"/>
          <w:bCs/>
          <w:sz w:val="20"/>
        </w:rPr>
      </w:pPr>
      <w:r w:rsidRPr="00CA63EE">
        <w:rPr>
          <w:rFonts w:ascii="Verdana" w:hAnsi="Verdana"/>
          <w:bCs/>
          <w:sz w:val="20"/>
        </w:rPr>
        <w:t>DE LA OPERACIÓN CON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
          <w:bCs/>
          <w:sz w:val="20"/>
        </w:rPr>
        <w:t>TÍTULO XI.</w:t>
      </w:r>
    </w:p>
    <w:p w:rsidR="00CA63EE" w:rsidRPr="00CA63EE" w:rsidRDefault="00CA63EE" w:rsidP="00CA63EE">
      <w:pPr>
        <w:jc w:val="both"/>
        <w:rPr>
          <w:rFonts w:ascii="Verdana" w:hAnsi="Verdana"/>
          <w:bCs/>
          <w:sz w:val="20"/>
        </w:rPr>
      </w:pPr>
      <w:r w:rsidRPr="00CA63EE">
        <w:rPr>
          <w:rFonts w:ascii="Verdana" w:hAnsi="Verdana"/>
          <w:bCs/>
          <w:sz w:val="20"/>
        </w:rPr>
        <w:t>DEL INCUMPLIMIENTO AL RÉGIMEN DE INVERSIÓN Y A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TÍTULO XII.</w:t>
      </w:r>
    </w:p>
    <w:p w:rsidR="00CA63EE" w:rsidRPr="00CA63EE" w:rsidRDefault="00CA63EE" w:rsidP="00CA63EE">
      <w:pPr>
        <w:jc w:val="both"/>
        <w:rPr>
          <w:rFonts w:ascii="Verdana" w:hAnsi="Verdana"/>
          <w:bCs/>
          <w:sz w:val="20"/>
        </w:rPr>
      </w:pPr>
      <w:r w:rsidRPr="00CA63EE">
        <w:rPr>
          <w:rFonts w:ascii="Verdana" w:hAnsi="Verdana"/>
          <w:bCs/>
          <w:sz w:val="20"/>
        </w:rPr>
        <w:t>DE LA RECOMPOSICIÓN DE CARTERA DE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Del Procedimiento para la Recomposición de Cartera</w:t>
      </w:r>
    </w:p>
    <w:p w:rsidR="00CA63EE" w:rsidRPr="00CA63EE" w:rsidRDefault="00CA63EE" w:rsidP="00CA63EE">
      <w:pPr>
        <w:jc w:val="both"/>
        <w:rPr>
          <w:rFonts w:ascii="Verdana" w:hAnsi="Verdana"/>
          <w:bCs/>
          <w:sz w:val="20"/>
        </w:rPr>
      </w:pPr>
      <w:r w:rsidRPr="00CA63EE">
        <w:rPr>
          <w:rFonts w:ascii="Verdana" w:hAnsi="Verdana"/>
          <w:b/>
          <w:bCs/>
          <w:sz w:val="20"/>
        </w:rPr>
        <w:t>Sección I.</w:t>
      </w:r>
    </w:p>
    <w:p w:rsidR="00CA63EE" w:rsidRPr="00CA63EE" w:rsidRDefault="00CA63EE" w:rsidP="00CA63EE">
      <w:pPr>
        <w:jc w:val="both"/>
        <w:rPr>
          <w:rFonts w:ascii="Verdana" w:hAnsi="Verdana"/>
          <w:bCs/>
          <w:sz w:val="20"/>
        </w:rPr>
      </w:pPr>
      <w:r w:rsidRPr="00CA63EE">
        <w:rPr>
          <w:rFonts w:ascii="Verdana" w:hAnsi="Verdana"/>
          <w:bCs/>
          <w:sz w:val="20"/>
        </w:rPr>
        <w:t>De la Degradación de Calificación</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Cs/>
          <w:sz w:val="20"/>
        </w:rPr>
        <w:t>De las Variaciones en los Precios de los Activos Objeto de Inversión que integran el Activo Administrado por la Sociedad de Inversión y de la violación a los límites de inversión en los Componentes de Renta Variable por causas no imputables a la Sociedad de Inversión</w:t>
      </w:r>
    </w:p>
    <w:p w:rsidR="00CA63EE" w:rsidRPr="00CA63EE" w:rsidRDefault="00CA63EE" w:rsidP="00CA63EE">
      <w:pPr>
        <w:jc w:val="both"/>
        <w:rPr>
          <w:rFonts w:ascii="Verdana" w:hAnsi="Verdana"/>
          <w:bCs/>
          <w:sz w:val="20"/>
        </w:rPr>
      </w:pPr>
      <w:r w:rsidRPr="00CA63EE">
        <w:rPr>
          <w:rFonts w:ascii="Verdana" w:hAnsi="Verdana"/>
          <w:b/>
          <w:bCs/>
          <w:sz w:val="20"/>
        </w:rPr>
        <w:lastRenderedPageBreak/>
        <w:t>Sección III.</w:t>
      </w:r>
    </w:p>
    <w:p w:rsidR="00CA63EE" w:rsidRPr="00CA63EE" w:rsidRDefault="00CA63EE" w:rsidP="00CA63EE">
      <w:pPr>
        <w:jc w:val="both"/>
        <w:rPr>
          <w:rFonts w:ascii="Verdana" w:hAnsi="Verdana"/>
          <w:bCs/>
          <w:sz w:val="20"/>
        </w:rPr>
      </w:pPr>
      <w:r w:rsidRPr="00CA63EE">
        <w:rPr>
          <w:rFonts w:ascii="Verdana" w:hAnsi="Verdana"/>
          <w:bCs/>
          <w:sz w:val="20"/>
        </w:rPr>
        <w:t>De la Recomposición de Cartera por incumplir los límites establecidos en el Régimen de Inversión Autorizado por adquisición o venta de Activos Objeto de Inversión y por la violación a los límites de inversión que conformen el Activo Total de la Sociedad de Inversión en los Componentes de Renta Variable por causas imputables a la Sociedad de Inversión</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Cs/>
          <w:sz w:val="20"/>
        </w:rPr>
        <w:t>De la Recomposición de Cartera por exceder el límite del Diferencial del Valor en Riesgo Condicional, Coeficiente de Liquidez o Valor en Riesgo</w:t>
      </w:r>
    </w:p>
    <w:p w:rsidR="00CA63EE" w:rsidRPr="00CA63EE" w:rsidRDefault="00CA63EE" w:rsidP="00CA63EE">
      <w:pPr>
        <w:jc w:val="both"/>
        <w:rPr>
          <w:rFonts w:ascii="Verdana" w:hAnsi="Verdana"/>
          <w:bCs/>
          <w:sz w:val="20"/>
        </w:rPr>
      </w:pPr>
      <w:r w:rsidRPr="00CA63EE">
        <w:rPr>
          <w:rFonts w:ascii="Verdana" w:hAnsi="Verdana"/>
          <w:b/>
          <w:bCs/>
          <w:sz w:val="20"/>
        </w:rPr>
        <w:t>TÍTULO XIII.</w:t>
      </w:r>
    </w:p>
    <w:p w:rsidR="00CA63EE" w:rsidRPr="00CA63EE" w:rsidRDefault="00CA63EE" w:rsidP="00CA63EE">
      <w:pPr>
        <w:jc w:val="both"/>
        <w:rPr>
          <w:rFonts w:ascii="Verdana" w:hAnsi="Verdana"/>
          <w:bCs/>
          <w:sz w:val="20"/>
        </w:rPr>
      </w:pPr>
      <w:r w:rsidRPr="00CA63EE">
        <w:rPr>
          <w:rFonts w:ascii="Verdana" w:hAnsi="Verdana"/>
          <w:bCs/>
          <w:sz w:val="20"/>
        </w:rPr>
        <w:t>DE LOS PROSPECTOS DE INFORMACIÓN, FOLLETOS EXPLICATIVOS Y SU ACTUALIZACIÓN</w:t>
      </w:r>
    </w:p>
    <w:p w:rsidR="00CA63EE" w:rsidRPr="00CA63EE" w:rsidRDefault="00CA63EE" w:rsidP="00CA63EE">
      <w:pPr>
        <w:jc w:val="both"/>
        <w:rPr>
          <w:rFonts w:ascii="Verdana" w:hAnsi="Verdana"/>
          <w:bCs/>
          <w:sz w:val="20"/>
        </w:rPr>
      </w:pPr>
      <w:r w:rsidRPr="00CA63EE">
        <w:rPr>
          <w:rFonts w:ascii="Verdana" w:hAnsi="Verdana"/>
          <w:b/>
          <w:bCs/>
          <w:sz w:val="20"/>
        </w:rPr>
        <w:t>TÍTULO XIV.</w:t>
      </w:r>
    </w:p>
    <w:p w:rsidR="00CA63EE" w:rsidRPr="00CA63EE" w:rsidRDefault="00CA63EE" w:rsidP="00CA63EE">
      <w:pPr>
        <w:jc w:val="both"/>
        <w:rPr>
          <w:rFonts w:ascii="Verdana" w:hAnsi="Verdana"/>
          <w:bCs/>
          <w:sz w:val="20"/>
        </w:rPr>
      </w:pPr>
      <w:r w:rsidRPr="00CA63EE">
        <w:rPr>
          <w:rFonts w:ascii="Verdana" w:hAnsi="Verdana"/>
          <w:bCs/>
          <w:sz w:val="20"/>
        </w:rPr>
        <w:t>DE LA ELECCIÓN DE LA INVERSIÓN DE LOS RECURSOS DE LA SUBCUENTA DEL SEGURO DE RETIRO, SUBCUENTA DE AHORRO PARA EL RETIRO Y EL AHORRO VOLUNTARIO</w:t>
      </w:r>
    </w:p>
    <w:p w:rsidR="00CA63EE" w:rsidRPr="00CA63EE" w:rsidRDefault="00CA63EE" w:rsidP="00CA63EE">
      <w:pPr>
        <w:jc w:val="both"/>
        <w:rPr>
          <w:rFonts w:ascii="Verdana" w:hAnsi="Verdana"/>
          <w:bCs/>
          <w:sz w:val="20"/>
        </w:rPr>
      </w:pPr>
      <w:r w:rsidRPr="00CA63EE">
        <w:rPr>
          <w:rFonts w:ascii="Verdana" w:hAnsi="Verdana"/>
          <w:b/>
          <w:bCs/>
          <w:sz w:val="20"/>
        </w:rPr>
        <w:t>TÍTULO XV.</w:t>
      </w:r>
    </w:p>
    <w:p w:rsidR="00CA63EE" w:rsidRPr="00CA63EE" w:rsidRDefault="00CA63EE" w:rsidP="00CA63EE">
      <w:pPr>
        <w:jc w:val="both"/>
        <w:rPr>
          <w:rFonts w:ascii="Verdana" w:hAnsi="Verdana"/>
          <w:bCs/>
          <w:sz w:val="20"/>
        </w:rPr>
      </w:pPr>
      <w:r w:rsidRPr="00CA63EE">
        <w:rPr>
          <w:rFonts w:ascii="Verdana" w:hAnsi="Verdana"/>
          <w:bCs/>
          <w:sz w:val="20"/>
        </w:rPr>
        <w:t>DISPOSICIONES FINALES</w:t>
      </w:r>
    </w:p>
    <w:p w:rsidR="00CA63EE" w:rsidRPr="00CA63EE" w:rsidRDefault="00CA63EE" w:rsidP="00CA63EE">
      <w:pPr>
        <w:jc w:val="both"/>
        <w:rPr>
          <w:rFonts w:ascii="Verdana" w:hAnsi="Verdana"/>
          <w:bCs/>
          <w:sz w:val="20"/>
        </w:rPr>
      </w:pPr>
      <w:r w:rsidRPr="00CA63EE">
        <w:rPr>
          <w:rFonts w:ascii="Verdana" w:hAnsi="Verdana"/>
          <w:b/>
          <w:bCs/>
          <w:sz w:val="20"/>
        </w:rPr>
        <w:t>ANEXO "A".</w:t>
      </w:r>
    </w:p>
    <w:p w:rsidR="00CA63EE" w:rsidRPr="00CA63EE" w:rsidRDefault="00CA63EE" w:rsidP="00CA63EE">
      <w:pPr>
        <w:jc w:val="both"/>
        <w:rPr>
          <w:rFonts w:ascii="Verdana" w:hAnsi="Verdana"/>
          <w:bCs/>
          <w:sz w:val="20"/>
        </w:rPr>
      </w:pPr>
      <w:r w:rsidRPr="00CA63EE">
        <w:rPr>
          <w:rFonts w:ascii="Verdana" w:hAnsi="Verdana"/>
          <w:bCs/>
          <w:sz w:val="20"/>
        </w:rPr>
        <w:t>Escenarios fijos que computan en el Diferencial del Valor en Riesgo Condicional</w:t>
      </w:r>
    </w:p>
    <w:p w:rsidR="00CA63EE" w:rsidRPr="00CA63EE" w:rsidRDefault="00CA63EE" w:rsidP="00CA63EE">
      <w:pPr>
        <w:jc w:val="both"/>
        <w:rPr>
          <w:rFonts w:ascii="Verdana" w:hAnsi="Verdana"/>
          <w:bCs/>
          <w:sz w:val="20"/>
        </w:rPr>
      </w:pPr>
      <w:r w:rsidRPr="00CA63EE">
        <w:rPr>
          <w:rFonts w:ascii="Verdana" w:hAnsi="Verdana"/>
          <w:b/>
          <w:bCs/>
          <w:sz w:val="20"/>
        </w:rPr>
        <w:t>ANEXO "B".</w:t>
      </w:r>
    </w:p>
    <w:p w:rsidR="00CA63EE" w:rsidRPr="00CA63EE" w:rsidRDefault="00CA63EE" w:rsidP="00CA63EE">
      <w:pPr>
        <w:jc w:val="both"/>
        <w:rPr>
          <w:rFonts w:ascii="Verdana" w:hAnsi="Verdana"/>
          <w:bCs/>
          <w:sz w:val="20"/>
        </w:rPr>
      </w:pPr>
      <w:r w:rsidRPr="00CA63EE">
        <w:rPr>
          <w:rFonts w:ascii="Verdana" w:hAnsi="Verdana"/>
          <w:bCs/>
          <w:sz w:val="20"/>
        </w:rPr>
        <w:t>De los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Cs/>
          <w:sz w:val="20"/>
        </w:rPr>
        <w:t>Elementos que deben prever las políticas definidas por los Comités de Inversión para realizar inversiones en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Cs/>
          <w:sz w:val="20"/>
        </w:rPr>
        <w:t>Elementos que deben contener los cuestionarios de selección de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
          <w:bCs/>
          <w:sz w:val="20"/>
        </w:rPr>
        <w:t>ANEXO "C".</w:t>
      </w:r>
    </w:p>
    <w:p w:rsidR="00CA63EE" w:rsidRPr="00CA63EE" w:rsidRDefault="00CA63EE" w:rsidP="00CA63EE">
      <w:pPr>
        <w:jc w:val="both"/>
        <w:rPr>
          <w:rFonts w:ascii="Verdana" w:hAnsi="Verdana"/>
          <w:bCs/>
          <w:sz w:val="20"/>
        </w:rPr>
      </w:pPr>
      <w:r w:rsidRPr="00CA63EE">
        <w:rPr>
          <w:rFonts w:ascii="Verdana" w:hAnsi="Verdana"/>
          <w:bCs/>
          <w:sz w:val="20"/>
        </w:rPr>
        <w:lastRenderedPageBreak/>
        <w:t>Elementos mínimos que deberán incluirse en el análisis de las empresas</w:t>
      </w:r>
    </w:p>
    <w:p w:rsidR="00CA63EE" w:rsidRPr="00CA63EE" w:rsidRDefault="00CA63EE" w:rsidP="00CA63EE">
      <w:pPr>
        <w:jc w:val="both"/>
        <w:rPr>
          <w:rFonts w:ascii="Verdana" w:hAnsi="Verdana"/>
          <w:bCs/>
          <w:sz w:val="20"/>
        </w:rPr>
      </w:pPr>
      <w:r w:rsidRPr="00CA63EE">
        <w:rPr>
          <w:rFonts w:ascii="Verdana" w:hAnsi="Verdana"/>
          <w:b/>
          <w:bCs/>
          <w:sz w:val="20"/>
        </w:rPr>
        <w:t>ANEXO "D".</w:t>
      </w:r>
    </w:p>
    <w:p w:rsidR="00CA63EE" w:rsidRPr="00CA63EE" w:rsidRDefault="00CA63EE" w:rsidP="00CA63EE">
      <w:pPr>
        <w:jc w:val="both"/>
        <w:rPr>
          <w:rFonts w:ascii="Verdana" w:hAnsi="Verdana"/>
          <w:bCs/>
          <w:sz w:val="20"/>
        </w:rPr>
      </w:pPr>
      <w:r w:rsidRPr="00CA63EE">
        <w:rPr>
          <w:rFonts w:ascii="Verdana" w:hAnsi="Verdana"/>
          <w:bCs/>
          <w:sz w:val="20"/>
        </w:rPr>
        <w:t>Clasificación de Divisas</w:t>
      </w:r>
    </w:p>
    <w:p w:rsidR="00CA63EE" w:rsidRPr="00CA63EE" w:rsidRDefault="00CA63EE" w:rsidP="00CA63EE">
      <w:pPr>
        <w:jc w:val="both"/>
        <w:rPr>
          <w:rFonts w:ascii="Verdana" w:hAnsi="Verdana"/>
          <w:bCs/>
          <w:sz w:val="20"/>
        </w:rPr>
      </w:pPr>
      <w:r w:rsidRPr="00CA63EE">
        <w:rPr>
          <w:rFonts w:ascii="Verdana" w:hAnsi="Verdana"/>
          <w:b/>
          <w:bCs/>
          <w:sz w:val="20"/>
        </w:rPr>
        <w:t>ANEXO "E".</w:t>
      </w:r>
    </w:p>
    <w:p w:rsidR="00CA63EE" w:rsidRPr="00CA63EE" w:rsidRDefault="00CA63EE" w:rsidP="00CA63EE">
      <w:pPr>
        <w:jc w:val="both"/>
        <w:rPr>
          <w:rFonts w:ascii="Verdana" w:hAnsi="Verdana"/>
          <w:bCs/>
          <w:sz w:val="20"/>
        </w:rPr>
      </w:pPr>
      <w:r w:rsidRPr="00CA63EE">
        <w:rPr>
          <w:rFonts w:ascii="Verdana" w:hAnsi="Verdana"/>
          <w:bCs/>
          <w:sz w:val="20"/>
        </w:rPr>
        <w:t>Metodología para calcular el Valor de Mercado de las posiciones en Divisas</w:t>
      </w:r>
    </w:p>
    <w:p w:rsidR="00CA63EE" w:rsidRPr="00CA63EE" w:rsidRDefault="00CA63EE" w:rsidP="00CA63EE">
      <w:pPr>
        <w:jc w:val="both"/>
        <w:rPr>
          <w:rFonts w:ascii="Verdana" w:hAnsi="Verdana"/>
          <w:bCs/>
          <w:sz w:val="20"/>
        </w:rPr>
      </w:pPr>
      <w:r w:rsidRPr="00CA63EE">
        <w:rPr>
          <w:rFonts w:ascii="Verdana" w:hAnsi="Verdana"/>
          <w:b/>
          <w:bCs/>
          <w:sz w:val="20"/>
        </w:rPr>
        <w:t>ANEXO "F".</w:t>
      </w:r>
    </w:p>
    <w:p w:rsidR="00CA63EE" w:rsidRPr="00CA63EE" w:rsidRDefault="00CA63EE" w:rsidP="00CA63EE">
      <w:pPr>
        <w:jc w:val="both"/>
        <w:rPr>
          <w:rFonts w:ascii="Verdana" w:hAnsi="Verdana"/>
          <w:bCs/>
          <w:sz w:val="20"/>
        </w:rPr>
      </w:pPr>
      <w:r w:rsidRPr="00CA63EE">
        <w:rPr>
          <w:rFonts w:ascii="Verdana" w:hAnsi="Verdana"/>
          <w:bCs/>
          <w:sz w:val="20"/>
        </w:rPr>
        <w:t>Metodología para verificar el cumplimiento de los límites referentes a Valores Extranjeros</w:t>
      </w:r>
    </w:p>
    <w:p w:rsidR="00CA63EE" w:rsidRPr="00CA63EE" w:rsidRDefault="00CA63EE" w:rsidP="00CA63EE">
      <w:pPr>
        <w:jc w:val="both"/>
        <w:rPr>
          <w:rFonts w:ascii="Verdana" w:hAnsi="Verdana"/>
          <w:bCs/>
          <w:sz w:val="20"/>
        </w:rPr>
      </w:pPr>
      <w:r w:rsidRPr="00CA63EE">
        <w:rPr>
          <w:rFonts w:ascii="Verdana" w:hAnsi="Verdana"/>
          <w:b/>
          <w:bCs/>
          <w:sz w:val="20"/>
        </w:rPr>
        <w:t>ANEXO "G".</w:t>
      </w:r>
    </w:p>
    <w:p w:rsidR="00CA63EE" w:rsidRPr="00CA63EE" w:rsidRDefault="00CA63EE" w:rsidP="00CA63EE">
      <w:pPr>
        <w:jc w:val="both"/>
        <w:rPr>
          <w:rFonts w:ascii="Verdana" w:hAnsi="Verdana"/>
          <w:bCs/>
          <w:sz w:val="20"/>
        </w:rPr>
      </w:pPr>
      <w:r w:rsidRPr="00CA63EE">
        <w:rPr>
          <w:rFonts w:ascii="Verdana" w:hAnsi="Verdana"/>
          <w:bCs/>
          <w:sz w:val="20"/>
        </w:rPr>
        <w:t xml:space="preserve">Metodología para calcular el valor </w:t>
      </w:r>
      <w:proofErr w:type="gramStart"/>
      <w:r w:rsidRPr="00CA63EE">
        <w:rPr>
          <w:rFonts w:ascii="Verdana" w:hAnsi="Verdana"/>
          <w:bCs/>
          <w:sz w:val="20"/>
        </w:rPr>
        <w:t>a</w:t>
      </w:r>
      <w:proofErr w:type="gramEnd"/>
      <w:r w:rsidRPr="00CA63EE">
        <w:rPr>
          <w:rFonts w:ascii="Verdana" w:hAnsi="Verdana"/>
          <w:bCs/>
          <w:sz w:val="20"/>
        </w:rPr>
        <w:t xml:space="preserve"> mercado de las operaciones que deben considerarse dentro de los límites de Emisores o Contrapartes</w:t>
      </w:r>
    </w:p>
    <w:p w:rsidR="00CA63EE" w:rsidRPr="00CA63EE" w:rsidRDefault="00CA63EE" w:rsidP="00CA63EE">
      <w:pPr>
        <w:jc w:val="both"/>
        <w:rPr>
          <w:rFonts w:ascii="Verdana" w:hAnsi="Verdana"/>
          <w:bCs/>
          <w:sz w:val="20"/>
        </w:rPr>
      </w:pPr>
      <w:r w:rsidRPr="00CA63EE">
        <w:rPr>
          <w:rFonts w:ascii="Verdana" w:hAnsi="Verdana"/>
          <w:b/>
          <w:bCs/>
          <w:sz w:val="20"/>
        </w:rPr>
        <w:t>ANEXO "H".</w:t>
      </w:r>
    </w:p>
    <w:p w:rsidR="00CA63EE" w:rsidRPr="00CA63EE" w:rsidRDefault="00CA63EE" w:rsidP="00CA63EE">
      <w:pPr>
        <w:jc w:val="both"/>
        <w:rPr>
          <w:rFonts w:ascii="Verdana" w:hAnsi="Verdana"/>
          <w:bCs/>
          <w:sz w:val="20"/>
        </w:rPr>
      </w:pPr>
      <w:r w:rsidRPr="00CA63EE">
        <w:rPr>
          <w:rFonts w:ascii="Verdana" w:hAnsi="Verdana"/>
          <w:bCs/>
          <w:sz w:val="20"/>
        </w:rPr>
        <w:t>Metodología para calcular la exposición de la Sociedad de Inversión a Activos Objeto de Inversión denominado en Unidades de Inversión (UDI) o que sus intereses garanticen un rendimiento igual o mayor a la UDI o al Índice Nacional de Precios al Consumidor</w:t>
      </w:r>
    </w:p>
    <w:p w:rsidR="00CA63EE" w:rsidRPr="00CA63EE" w:rsidRDefault="00CA63EE" w:rsidP="00CA63EE">
      <w:pPr>
        <w:jc w:val="both"/>
        <w:rPr>
          <w:rFonts w:ascii="Verdana" w:hAnsi="Verdana"/>
          <w:bCs/>
          <w:sz w:val="20"/>
        </w:rPr>
      </w:pPr>
      <w:r w:rsidRPr="00CA63EE">
        <w:rPr>
          <w:rFonts w:ascii="Verdana" w:hAnsi="Verdana"/>
          <w:b/>
          <w:bCs/>
          <w:sz w:val="20"/>
        </w:rPr>
        <w:t>ANEXO "I".</w:t>
      </w:r>
    </w:p>
    <w:p w:rsidR="00CA63EE" w:rsidRPr="00CA63EE" w:rsidRDefault="00CA63EE" w:rsidP="00CA63EE">
      <w:pPr>
        <w:jc w:val="both"/>
        <w:rPr>
          <w:rFonts w:ascii="Verdana" w:hAnsi="Verdana"/>
          <w:bCs/>
          <w:sz w:val="20"/>
        </w:rPr>
      </w:pPr>
      <w:r w:rsidRPr="00CA63EE">
        <w:rPr>
          <w:rFonts w:ascii="Verdana" w:hAnsi="Verdana"/>
          <w:bCs/>
          <w:sz w:val="20"/>
        </w:rPr>
        <w:t>Metodología para calcular la exposición a Mercancías</w:t>
      </w:r>
    </w:p>
    <w:p w:rsidR="00CA63EE" w:rsidRPr="00CA63EE" w:rsidRDefault="00CA63EE" w:rsidP="00CA63EE">
      <w:pPr>
        <w:jc w:val="both"/>
        <w:rPr>
          <w:rFonts w:ascii="Verdana" w:hAnsi="Verdana"/>
          <w:bCs/>
          <w:sz w:val="20"/>
        </w:rPr>
      </w:pPr>
      <w:r w:rsidRPr="00CA63EE">
        <w:rPr>
          <w:rFonts w:ascii="Verdana" w:hAnsi="Verdana"/>
          <w:b/>
          <w:bCs/>
          <w:sz w:val="20"/>
        </w:rPr>
        <w:t>ANEXO "J".</w:t>
      </w:r>
    </w:p>
    <w:p w:rsidR="00CA63EE" w:rsidRPr="00CA63EE" w:rsidRDefault="00CA63EE" w:rsidP="00CA63EE">
      <w:pPr>
        <w:jc w:val="both"/>
        <w:rPr>
          <w:rFonts w:ascii="Verdana" w:hAnsi="Verdana"/>
          <w:bCs/>
          <w:sz w:val="20"/>
        </w:rPr>
      </w:pPr>
      <w:r w:rsidRPr="00CA63EE">
        <w:rPr>
          <w:rFonts w:ascii="Verdana" w:hAnsi="Verdana"/>
          <w:bCs/>
          <w:sz w:val="20"/>
        </w:rPr>
        <w:t>De la certificación de Funcionarios con actividades en gestión de recursos de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ANEXO "K".</w:t>
      </w:r>
    </w:p>
    <w:p w:rsidR="00CA63EE" w:rsidRPr="00CA63EE" w:rsidRDefault="00CA63EE" w:rsidP="00CA63EE">
      <w:pPr>
        <w:jc w:val="both"/>
        <w:rPr>
          <w:rFonts w:ascii="Verdana" w:hAnsi="Verdana"/>
          <w:bCs/>
          <w:sz w:val="20"/>
        </w:rPr>
      </w:pPr>
      <w:r w:rsidRPr="00CA63EE">
        <w:rPr>
          <w:rFonts w:ascii="Verdana" w:hAnsi="Verdana"/>
          <w:bCs/>
          <w:sz w:val="20"/>
        </w:rPr>
        <w:t>Revelación de los portafolios de referencia y la política de desviación con la cartera de inversión</w:t>
      </w:r>
    </w:p>
    <w:p w:rsidR="00CA63EE" w:rsidRPr="00CA63EE" w:rsidRDefault="00CA63EE" w:rsidP="00CA63EE">
      <w:pPr>
        <w:jc w:val="both"/>
        <w:rPr>
          <w:rFonts w:ascii="Verdana" w:hAnsi="Verdana"/>
          <w:bCs/>
          <w:sz w:val="20"/>
        </w:rPr>
      </w:pPr>
      <w:r w:rsidRPr="00CA63EE">
        <w:rPr>
          <w:rFonts w:ascii="Verdana" w:hAnsi="Verdana"/>
          <w:b/>
          <w:bCs/>
          <w:sz w:val="20"/>
        </w:rPr>
        <w:t>ANEXO "L".</w:t>
      </w:r>
    </w:p>
    <w:p w:rsidR="00CA63EE" w:rsidRPr="00CA63EE" w:rsidRDefault="00CA63EE" w:rsidP="00CA63EE">
      <w:pPr>
        <w:jc w:val="both"/>
        <w:rPr>
          <w:rFonts w:ascii="Verdana" w:hAnsi="Verdana"/>
          <w:bCs/>
          <w:sz w:val="20"/>
        </w:rPr>
      </w:pPr>
      <w:r w:rsidRPr="00CA63EE">
        <w:rPr>
          <w:rFonts w:ascii="Verdana" w:hAnsi="Verdana"/>
          <w:bCs/>
          <w:sz w:val="20"/>
        </w:rPr>
        <w:t>Requisitos que deberá cumplir el Sistema Integral Automatizado para la adquisición, enajenación, registro en línea de Activos Objeto de Inversión del Sistema Integral Automatizado</w:t>
      </w:r>
    </w:p>
    <w:p w:rsidR="00CA63EE" w:rsidRPr="00CA63EE" w:rsidRDefault="00CA63EE" w:rsidP="00CA63EE">
      <w:pPr>
        <w:jc w:val="both"/>
        <w:rPr>
          <w:rFonts w:ascii="Verdana" w:hAnsi="Verdana"/>
          <w:bCs/>
          <w:sz w:val="20"/>
        </w:rPr>
      </w:pPr>
      <w:r w:rsidRPr="00CA63EE">
        <w:rPr>
          <w:rFonts w:ascii="Verdana" w:hAnsi="Verdana"/>
          <w:b/>
          <w:bCs/>
          <w:sz w:val="20"/>
        </w:rPr>
        <w:t>ANEXO "M".</w:t>
      </w:r>
    </w:p>
    <w:p w:rsidR="00CA63EE" w:rsidRPr="00CA63EE" w:rsidRDefault="00CA63EE" w:rsidP="00CA63EE">
      <w:pPr>
        <w:jc w:val="both"/>
        <w:rPr>
          <w:rFonts w:ascii="Verdana" w:hAnsi="Verdana"/>
          <w:bCs/>
          <w:sz w:val="20"/>
        </w:rPr>
      </w:pPr>
      <w:r w:rsidRPr="00CA63EE">
        <w:rPr>
          <w:rFonts w:ascii="Verdana" w:hAnsi="Verdana"/>
          <w:bCs/>
          <w:sz w:val="20"/>
        </w:rPr>
        <w:t>De las Operaciones con Derivados sobre Derivados</w:t>
      </w:r>
    </w:p>
    <w:p w:rsidR="00CA63EE" w:rsidRPr="00CA63EE" w:rsidRDefault="00CA63EE" w:rsidP="00CA63EE">
      <w:pPr>
        <w:jc w:val="both"/>
        <w:rPr>
          <w:rFonts w:ascii="Verdana" w:hAnsi="Verdana"/>
          <w:bCs/>
          <w:sz w:val="20"/>
        </w:rPr>
      </w:pPr>
      <w:r w:rsidRPr="00CA63EE">
        <w:rPr>
          <w:rFonts w:ascii="Verdana" w:hAnsi="Verdana"/>
          <w:b/>
          <w:bCs/>
          <w:sz w:val="20"/>
        </w:rPr>
        <w:t>ANEXO "N".</w:t>
      </w:r>
    </w:p>
    <w:p w:rsidR="00CA63EE" w:rsidRPr="00CA63EE" w:rsidRDefault="00CA63EE" w:rsidP="00CA63EE">
      <w:pPr>
        <w:jc w:val="both"/>
        <w:rPr>
          <w:rFonts w:ascii="Verdana" w:hAnsi="Verdana"/>
          <w:bCs/>
          <w:sz w:val="20"/>
        </w:rPr>
      </w:pPr>
      <w:r w:rsidRPr="00CA63EE">
        <w:rPr>
          <w:rFonts w:ascii="Verdana" w:hAnsi="Verdana"/>
          <w:bCs/>
          <w:sz w:val="20"/>
        </w:rPr>
        <w:lastRenderedPageBreak/>
        <w:t>Metodología para calcular el Coeficiente de Liquidez</w:t>
      </w:r>
    </w:p>
    <w:p w:rsidR="00CA63EE" w:rsidRPr="00CA63EE" w:rsidRDefault="00CA63EE" w:rsidP="00CA63EE">
      <w:pPr>
        <w:jc w:val="both"/>
        <w:rPr>
          <w:rFonts w:ascii="Verdana" w:hAnsi="Verdana"/>
          <w:bCs/>
          <w:sz w:val="20"/>
        </w:rPr>
      </w:pPr>
      <w:r w:rsidRPr="00CA63EE">
        <w:rPr>
          <w:rFonts w:ascii="Verdana" w:hAnsi="Verdana"/>
          <w:b/>
          <w:bCs/>
          <w:sz w:val="20"/>
        </w:rPr>
        <w:t>ANEXO "O".</w:t>
      </w:r>
    </w:p>
    <w:p w:rsidR="00CA63EE" w:rsidRPr="00CA63EE" w:rsidRDefault="00CA63EE" w:rsidP="00CA63EE">
      <w:pPr>
        <w:jc w:val="both"/>
        <w:rPr>
          <w:rFonts w:ascii="Verdana" w:hAnsi="Verdana"/>
          <w:bCs/>
          <w:sz w:val="20"/>
        </w:rPr>
      </w:pPr>
      <w:r w:rsidRPr="00CA63EE">
        <w:rPr>
          <w:rFonts w:ascii="Verdana" w:hAnsi="Verdana"/>
          <w:bCs/>
          <w:sz w:val="20"/>
        </w:rPr>
        <w:t>Criterios de valuación que se usarán para determinar el monto de la minusvalía de los activos con que se incumple el Régimen de Inversión</w:t>
      </w:r>
    </w:p>
    <w:p w:rsidR="00CA63EE" w:rsidRPr="00CA63EE" w:rsidRDefault="00CA63EE" w:rsidP="00CA63EE">
      <w:pPr>
        <w:jc w:val="both"/>
        <w:rPr>
          <w:rFonts w:ascii="Verdana" w:hAnsi="Verdana"/>
          <w:bCs/>
          <w:sz w:val="20"/>
        </w:rPr>
      </w:pPr>
      <w:r w:rsidRPr="00CA63EE">
        <w:rPr>
          <w:rFonts w:ascii="Verdana" w:hAnsi="Verdana"/>
          <w:b/>
          <w:bCs/>
          <w:sz w:val="20"/>
        </w:rPr>
        <w:t>ANEXO "P".</w:t>
      </w:r>
    </w:p>
    <w:p w:rsidR="00CA63EE" w:rsidRPr="00CA63EE" w:rsidRDefault="00CA63EE" w:rsidP="00CA63EE">
      <w:pPr>
        <w:jc w:val="both"/>
        <w:rPr>
          <w:rFonts w:ascii="Verdana" w:hAnsi="Verdana"/>
          <w:bCs/>
          <w:sz w:val="20"/>
        </w:rPr>
      </w:pPr>
      <w:r w:rsidRPr="00CA63EE">
        <w:rPr>
          <w:rFonts w:ascii="Verdana" w:hAnsi="Verdana"/>
          <w:bCs/>
          <w:sz w:val="20"/>
        </w:rPr>
        <w:t>Modelo de Prospecto de Información</w:t>
      </w:r>
    </w:p>
    <w:p w:rsidR="00CA63EE" w:rsidRPr="00CA63EE" w:rsidRDefault="00CA63EE" w:rsidP="00CA63EE">
      <w:pPr>
        <w:jc w:val="both"/>
        <w:rPr>
          <w:rFonts w:ascii="Verdana" w:hAnsi="Verdana"/>
          <w:bCs/>
          <w:sz w:val="20"/>
        </w:rPr>
      </w:pPr>
      <w:r w:rsidRPr="00CA63EE">
        <w:rPr>
          <w:rFonts w:ascii="Verdana" w:hAnsi="Verdana"/>
          <w:b/>
          <w:bCs/>
          <w:sz w:val="20"/>
        </w:rPr>
        <w:t>ANEXO "Q".</w:t>
      </w:r>
    </w:p>
    <w:p w:rsidR="00CA63EE" w:rsidRPr="00CA63EE" w:rsidRDefault="00CA63EE" w:rsidP="00CA63EE">
      <w:pPr>
        <w:jc w:val="both"/>
        <w:rPr>
          <w:rFonts w:ascii="Verdana" w:hAnsi="Verdana"/>
          <w:bCs/>
          <w:sz w:val="20"/>
        </w:rPr>
      </w:pPr>
      <w:r w:rsidRPr="00CA63EE">
        <w:rPr>
          <w:rFonts w:ascii="Verdana" w:hAnsi="Verdana"/>
          <w:bCs/>
          <w:sz w:val="20"/>
        </w:rPr>
        <w:t>Modelo de Folleto Explicativo</w:t>
      </w:r>
    </w:p>
    <w:p w:rsidR="00CA63EE" w:rsidRPr="00CA63EE" w:rsidRDefault="00CA63EE" w:rsidP="00CA63EE">
      <w:pPr>
        <w:jc w:val="both"/>
        <w:rPr>
          <w:rFonts w:ascii="Verdana" w:hAnsi="Verdana"/>
          <w:bCs/>
          <w:sz w:val="20"/>
        </w:rPr>
      </w:pPr>
      <w:r w:rsidRPr="00CA63EE">
        <w:rPr>
          <w:rFonts w:ascii="Verdana" w:hAnsi="Verdana"/>
          <w:b/>
          <w:bCs/>
          <w:sz w:val="20"/>
        </w:rPr>
        <w:t>ANEXO "R".</w:t>
      </w:r>
    </w:p>
    <w:p w:rsidR="00CA63EE" w:rsidRPr="00CA63EE" w:rsidRDefault="00CA63EE" w:rsidP="00CA63EE">
      <w:pPr>
        <w:jc w:val="both"/>
        <w:rPr>
          <w:rFonts w:ascii="Verdana" w:hAnsi="Verdana"/>
          <w:bCs/>
          <w:sz w:val="20"/>
        </w:rPr>
      </w:pPr>
      <w:r w:rsidRPr="00CA63EE">
        <w:rPr>
          <w:rFonts w:ascii="Verdana" w:hAnsi="Verdana"/>
          <w:bCs/>
          <w:sz w:val="20"/>
        </w:rPr>
        <w:t xml:space="preserve">Criterios que deberán cumplir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para ser considerados como colocados por un emisor independiente</w:t>
      </w:r>
    </w:p>
    <w:p w:rsidR="00CA63EE" w:rsidRPr="00CA63EE" w:rsidRDefault="00CA63EE" w:rsidP="00CA63EE">
      <w:pPr>
        <w:jc w:val="both"/>
        <w:rPr>
          <w:rFonts w:ascii="Verdana" w:hAnsi="Verdana"/>
          <w:bCs/>
          <w:sz w:val="20"/>
        </w:rPr>
      </w:pPr>
      <w:r w:rsidRPr="00CA63EE">
        <w:rPr>
          <w:rFonts w:ascii="Verdana" w:hAnsi="Verdana"/>
          <w:b/>
          <w:bCs/>
          <w:sz w:val="20"/>
        </w:rPr>
        <w:t>ANEXO "S".</w:t>
      </w:r>
    </w:p>
    <w:p w:rsidR="00CA63EE" w:rsidRPr="00CA63EE" w:rsidRDefault="00CA63EE" w:rsidP="00CA63EE">
      <w:pPr>
        <w:jc w:val="both"/>
        <w:rPr>
          <w:rFonts w:ascii="Verdana" w:hAnsi="Verdana"/>
          <w:bCs/>
          <w:sz w:val="20"/>
        </w:rPr>
      </w:pPr>
      <w:r w:rsidRPr="00CA63EE">
        <w:rPr>
          <w:rFonts w:ascii="Verdana" w:hAnsi="Verdana"/>
          <w:bCs/>
          <w:sz w:val="20"/>
        </w:rPr>
        <w:t>Lineamientos aplicables a los expertos independientes dedicados a evaluar y dictaminar Vehículos de deuda, de Componentes de Renta Variable, de Vehículos de Inversión Inmobiliaria y de FIBRAS, Índices Accionarios de Países Elegibles para Inversiones, Índices Inmobiliarios de Países Elegibles para Inversiones e Índices de Deuda de Países Elegibles para Inversiones</w:t>
      </w:r>
    </w:p>
    <w:p w:rsidR="00CA63EE" w:rsidRPr="00CA63EE" w:rsidRDefault="00CA63EE" w:rsidP="00CA63EE">
      <w:pPr>
        <w:jc w:val="both"/>
        <w:rPr>
          <w:rFonts w:ascii="Verdana" w:hAnsi="Verdana"/>
          <w:bCs/>
          <w:sz w:val="20"/>
        </w:rPr>
      </w:pPr>
      <w:r w:rsidRPr="00CA63EE">
        <w:rPr>
          <w:rFonts w:ascii="Verdana" w:hAnsi="Verdana"/>
          <w:b/>
          <w:bCs/>
          <w:sz w:val="20"/>
        </w:rPr>
        <w:t>ANEXO "T".</w:t>
      </w:r>
    </w:p>
    <w:p w:rsidR="00CA63EE" w:rsidRPr="00CA63EE" w:rsidRDefault="00CA63EE" w:rsidP="00CA63EE">
      <w:pPr>
        <w:jc w:val="both"/>
        <w:rPr>
          <w:rFonts w:ascii="Verdana" w:hAnsi="Verdana"/>
          <w:bCs/>
          <w:sz w:val="20"/>
        </w:rPr>
      </w:pPr>
      <w:r w:rsidRPr="00CA63EE">
        <w:rPr>
          <w:rFonts w:ascii="Verdana" w:hAnsi="Verdana"/>
          <w:bCs/>
          <w:sz w:val="20"/>
        </w:rPr>
        <w:t>Metodología para verificar el cumplimiento de los límites referentes a Instrumentos Estructurados</w:t>
      </w:r>
    </w:p>
    <w:p w:rsidR="00CA63EE" w:rsidRPr="00CA63EE" w:rsidRDefault="00CA63EE" w:rsidP="00CA63EE">
      <w:pPr>
        <w:jc w:val="both"/>
        <w:rPr>
          <w:rFonts w:ascii="Verdana" w:hAnsi="Verdana"/>
          <w:bCs/>
          <w:sz w:val="20"/>
        </w:rPr>
      </w:pPr>
      <w:r w:rsidRPr="00CA63EE">
        <w:rPr>
          <w:rFonts w:ascii="Verdana" w:hAnsi="Verdana"/>
          <w:b/>
          <w:bCs/>
          <w:sz w:val="20"/>
        </w:rPr>
        <w:t>ANEXO "U".</w:t>
      </w:r>
    </w:p>
    <w:p w:rsidR="00CA63EE" w:rsidRPr="00CA63EE" w:rsidRDefault="00CA63EE" w:rsidP="00CA63EE">
      <w:pPr>
        <w:jc w:val="both"/>
        <w:rPr>
          <w:rFonts w:ascii="Verdana" w:hAnsi="Verdana"/>
          <w:bCs/>
          <w:sz w:val="20"/>
        </w:rPr>
      </w:pPr>
      <w:r w:rsidRPr="00CA63EE">
        <w:rPr>
          <w:rFonts w:ascii="Verdana" w:hAnsi="Verdana"/>
          <w:bCs/>
          <w:sz w:val="20"/>
        </w:rPr>
        <w:t>Metodología para calcular los límites máximos de inversión para el conjunto de las Sociedades de Inversión operadas por una misma Administradora, en Instrumentos Estructurados</w:t>
      </w:r>
    </w:p>
    <w:p w:rsidR="00CA63EE" w:rsidRPr="00CA63EE" w:rsidRDefault="00CA63EE" w:rsidP="00CA63EE">
      <w:pPr>
        <w:jc w:val="both"/>
        <w:rPr>
          <w:rFonts w:ascii="Verdana" w:hAnsi="Verdana"/>
          <w:b/>
          <w:bCs/>
          <w:sz w:val="20"/>
        </w:rPr>
      </w:pPr>
      <w:r w:rsidRPr="00CA63EE">
        <w:rPr>
          <w:rFonts w:ascii="Verdana" w:hAnsi="Verdana"/>
          <w:b/>
          <w:bCs/>
          <w:sz w:val="20"/>
        </w:rPr>
        <w:t>DISPOSICIONES DE CARÁCTER GENERAL EN MATERIA FINANCIERA DE LOS SISTEMAS DE</w:t>
      </w:r>
      <w:r w:rsidRPr="00CA63EE">
        <w:rPr>
          <w:rFonts w:ascii="Verdana" w:hAnsi="Verdana"/>
          <w:b/>
          <w:bCs/>
          <w:sz w:val="20"/>
        </w:rPr>
        <w:br/>
        <w:t>AHORRO PARA EL RETIRO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TÍTULO I</w:t>
      </w:r>
    </w:p>
    <w:p w:rsidR="00CA63EE" w:rsidRPr="00CA63EE" w:rsidRDefault="00CA63EE" w:rsidP="00CA63EE">
      <w:pPr>
        <w:jc w:val="both"/>
        <w:rPr>
          <w:rFonts w:ascii="Verdana" w:hAnsi="Verdana"/>
          <w:bCs/>
          <w:sz w:val="20"/>
        </w:rPr>
      </w:pPr>
      <w:r w:rsidRPr="00CA63EE">
        <w:rPr>
          <w:rFonts w:ascii="Verdana" w:hAnsi="Verdana"/>
          <w:b/>
          <w:bCs/>
          <w:sz w:val="20"/>
        </w:rPr>
        <w:t>DISPOSICIONES GENERALES</w:t>
      </w:r>
    </w:p>
    <w:p w:rsidR="00CA63EE" w:rsidRPr="00CA63EE" w:rsidRDefault="00CA63EE" w:rsidP="00CA63EE">
      <w:pPr>
        <w:jc w:val="both"/>
        <w:rPr>
          <w:rFonts w:ascii="Verdana" w:hAnsi="Verdana"/>
          <w:bCs/>
          <w:sz w:val="20"/>
        </w:rPr>
      </w:pPr>
      <w:r w:rsidRPr="00CA63EE">
        <w:rPr>
          <w:rFonts w:ascii="Verdana" w:hAnsi="Verdana"/>
          <w:b/>
          <w:bCs/>
          <w:sz w:val="20"/>
        </w:rPr>
        <w:t>CAPÍTULO ÚNICO</w:t>
      </w:r>
    </w:p>
    <w:p w:rsidR="00CA63EE" w:rsidRPr="00CA63EE" w:rsidRDefault="00CA63EE" w:rsidP="00CA63EE">
      <w:pPr>
        <w:jc w:val="both"/>
        <w:rPr>
          <w:rFonts w:ascii="Verdana" w:hAnsi="Verdana"/>
          <w:bCs/>
          <w:sz w:val="20"/>
        </w:rPr>
      </w:pPr>
      <w:r w:rsidRPr="00CA63EE">
        <w:rPr>
          <w:rFonts w:ascii="Verdana" w:hAnsi="Verdana"/>
          <w:b/>
          <w:bCs/>
          <w:sz w:val="20"/>
        </w:rPr>
        <w:t>DEFINICIONES</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w:t>
      </w:r>
      <w:r w:rsidRPr="00CA63EE">
        <w:rPr>
          <w:rFonts w:ascii="Verdana" w:hAnsi="Verdana"/>
          <w:bCs/>
          <w:sz w:val="20"/>
        </w:rPr>
        <w:t> Las presentes Disposiciones tienen por objeto regular los aspectos de gestión integral de las carteras de inversión de las Sociedades de Inversión, a las que deberán sujetarse las Administradoras y las Sociedades de Inversión que éstas operen.</w:t>
      </w:r>
    </w:p>
    <w:p w:rsidR="00CA63EE" w:rsidRPr="00CA63EE" w:rsidRDefault="00CA63EE" w:rsidP="00CA63EE">
      <w:pPr>
        <w:jc w:val="both"/>
        <w:rPr>
          <w:rFonts w:ascii="Verdana" w:hAnsi="Verdana"/>
          <w:bCs/>
          <w:sz w:val="20"/>
        </w:rPr>
      </w:pPr>
      <w:r w:rsidRPr="00CA63EE">
        <w:rPr>
          <w:rFonts w:ascii="Verdana" w:hAnsi="Verdana"/>
          <w:b/>
          <w:bCs/>
          <w:sz w:val="20"/>
        </w:rPr>
        <w:t>Artículo 2.-</w:t>
      </w:r>
      <w:r w:rsidRPr="00CA63EE">
        <w:rPr>
          <w:rFonts w:ascii="Verdana" w:hAnsi="Verdana"/>
          <w:bCs/>
          <w:sz w:val="20"/>
        </w:rPr>
        <w:t xml:space="preserve"> Para los efectos de las presentes Disposiciones de carácter general, además de las definiciones señaladas por la Ley de los Sistemas de Ahorro para el Retiro, su Reglamento, así como las Disposiciones de carácter general que establecen el régimen de inversión al que deberán sujetarse las Sociedades de Inversión, las Disposiciones de carácter general que establecen el régimen patrimonial al que se sujetarán las Administradoras de Fondos para el Retiro, el </w:t>
      </w:r>
      <w:proofErr w:type="spellStart"/>
      <w:r w:rsidRPr="00CA63EE">
        <w:rPr>
          <w:rFonts w:ascii="Verdana" w:hAnsi="Verdana"/>
          <w:bCs/>
          <w:sz w:val="20"/>
        </w:rPr>
        <w:t>Pensionissste</w:t>
      </w:r>
      <w:proofErr w:type="spellEnd"/>
      <w:r w:rsidRPr="00CA63EE">
        <w:rPr>
          <w:rFonts w:ascii="Verdana" w:hAnsi="Verdana"/>
          <w:bCs/>
          <w:sz w:val="20"/>
        </w:rPr>
        <w:t xml:space="preserve"> y las Sociedades de Inversión y la Reserva Especial, las Disposiciones de carácter general que establecen el procedimiento para la construcción de los indicadores de rendimiento neto de las Sociedades de Inversión, las Disposiciones de carácter general sobre el registro de la contabilidad, elaboración y presentación de estados financieros a las que deberán sujetarse las Sociedades de Inversión, y las Reglas Prudenciales en materia de administración de riesgos emitidas por la Comisión, se entenderá por:</w:t>
      </w:r>
    </w:p>
    <w:p w:rsidR="00CA63EE" w:rsidRPr="00CA63EE" w:rsidRDefault="00CA63EE" w:rsidP="00CA63EE">
      <w:pPr>
        <w:jc w:val="both"/>
        <w:rPr>
          <w:rFonts w:ascii="Verdana" w:hAnsi="Verdana"/>
          <w:bCs/>
          <w:sz w:val="20"/>
        </w:rPr>
      </w:pPr>
      <w:r w:rsidRPr="00CA63EE">
        <w:rPr>
          <w:rFonts w:ascii="Verdana" w:hAnsi="Verdana"/>
          <w:bCs/>
          <w:sz w:val="20"/>
        </w:rPr>
        <w:t>I.           Acta Pormenorizada, a las actas de las sesiones de los órganos colegiados que se acompañen de la documentación de apoyo de la sesión, que contenga los comentarios vertidos en cada una de las sesiones en referencia a los acuerdos tomados, los acuerdos explícitos para cada tema sometido a consideración y el sentido de las votaciones de cada uno de los integrantes, así como, la lista de asistencia suscrita por todos y cada uno de los integrantes e invitados presentes en la sesión correspondiente;</w:t>
      </w:r>
    </w:p>
    <w:p w:rsidR="00CA63EE" w:rsidRPr="00CA63EE" w:rsidRDefault="00CA63EE" w:rsidP="00CA63EE">
      <w:pPr>
        <w:jc w:val="both"/>
        <w:rPr>
          <w:rFonts w:ascii="Verdana" w:hAnsi="Verdana"/>
          <w:bCs/>
          <w:sz w:val="20"/>
        </w:rPr>
      </w:pPr>
      <w:r w:rsidRPr="00CA63EE">
        <w:rPr>
          <w:rFonts w:ascii="Verdana" w:hAnsi="Verdana"/>
          <w:bCs/>
          <w:sz w:val="20"/>
        </w:rPr>
        <w:t>II.          Administración del Riesgo Financiero, al conjunto de metodologías, modelos, objetivos, políticas, procedimientos y acciones que se implementen para identificar, medir, monitorear, limitar, controlar, informar y revelar los distintos tipos de Riesgos Financieros a que se encuentran expuestas las Sociedades de Inversión;</w:t>
      </w:r>
    </w:p>
    <w:p w:rsidR="00CA63EE" w:rsidRPr="00CA63EE" w:rsidRDefault="00CA63EE" w:rsidP="00CA63EE">
      <w:pPr>
        <w:jc w:val="both"/>
        <w:rPr>
          <w:rFonts w:ascii="Verdana" w:hAnsi="Verdana"/>
          <w:bCs/>
          <w:sz w:val="20"/>
        </w:rPr>
      </w:pPr>
      <w:r w:rsidRPr="00CA63EE">
        <w:rPr>
          <w:rFonts w:ascii="Verdana" w:hAnsi="Verdana"/>
          <w:bCs/>
          <w:sz w:val="20"/>
        </w:rPr>
        <w:t>III.          Alarma Temprana, a la medida orientada a dar aviso previamente a que los límites establecidos en la regulación o los Límites Prudenciales de las Sociedades de Inversión sean excedidos;</w:t>
      </w:r>
    </w:p>
    <w:p w:rsidR="00CA63EE" w:rsidRPr="00CA63EE" w:rsidRDefault="00CA63EE" w:rsidP="00CA63EE">
      <w:pPr>
        <w:jc w:val="both"/>
        <w:rPr>
          <w:rFonts w:ascii="Verdana" w:hAnsi="Verdana"/>
          <w:bCs/>
          <w:sz w:val="20"/>
        </w:rPr>
      </w:pPr>
      <w:r w:rsidRPr="00CA63EE">
        <w:rPr>
          <w:rFonts w:ascii="Verdana" w:hAnsi="Verdana"/>
          <w:bCs/>
          <w:sz w:val="20"/>
        </w:rPr>
        <w:t>IV.         Bolsa de Derivados, a las personas morales que tengan por objeto proveer las instalaciones y demás servicios para que se coticen y negocien los Derivados, supervisadas por autoridades pertenecientes a los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V.          Canasta de Índices, al conjunto de índices accionarios, o subíndices que de ellos se deriven, de Países Elegibles para Inversiones, elaborado con base en alguno o algunos de los índices accionarios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VI.         Categoría, a cada uno de los límites de inversión vinculados con la calificación crediticia emitida por alguna institución calificadora de valores aplicable a los Instrumentos de Deuda, Valores Extranjeros de Deuda o Contrapartes, determinados </w:t>
      </w:r>
      <w:r w:rsidRPr="00CA63EE">
        <w:rPr>
          <w:rFonts w:ascii="Verdana" w:hAnsi="Verdana"/>
          <w:bCs/>
          <w:sz w:val="20"/>
        </w:rPr>
        <w:lastRenderedPageBreak/>
        <w:t>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VII.        Clase de Activo, a los Instrumentos de Deuda, Valores Extranjeros de Deuda, Instrumentos de Renta Variable, Valores Extranjeros de Renta Variable, Mercancías, Instrumentos Estructurados, FIBRAS, Vehículos de Inversión Inmobiliaria, y Posiciones Puras en Divisas, autorizados de conformidad con lo previsto en las Disposiciones de carácter general que establecen el régimen de inversión al que deberán sujetarse las Sociedades de Inversión, los cuales podrán atender a la desagregación que defina el Comité de Inversión con base en la clasificación prevista en la presente fracción;</w:t>
      </w:r>
    </w:p>
    <w:p w:rsidR="00CA63EE" w:rsidRPr="00CA63EE" w:rsidRDefault="00CA63EE" w:rsidP="00CA63EE">
      <w:pPr>
        <w:jc w:val="both"/>
        <w:rPr>
          <w:rFonts w:ascii="Verdana" w:hAnsi="Verdana"/>
          <w:bCs/>
          <w:sz w:val="20"/>
        </w:rPr>
      </w:pPr>
      <w:r w:rsidRPr="00CA63EE">
        <w:rPr>
          <w:rFonts w:ascii="Verdana" w:hAnsi="Verdana"/>
          <w:bCs/>
          <w:sz w:val="20"/>
        </w:rPr>
        <w:t>VIII.        Coeficiente de Liquidez, al valor de la provisión por exposición a Derivados respecto de los activos de alta calidad, prevista en las presentes Disposiciones para mitigar los requerimientos de liquidez ocasionados por las posiciones en Derivados. El Anexo N contiene la metodología y las definiciones de las variables utilizadas para el cálculo del Coeficiente de Liquidez;</w:t>
      </w:r>
    </w:p>
    <w:p w:rsidR="00CA63EE" w:rsidRPr="00CA63EE" w:rsidRDefault="00CA63EE" w:rsidP="00CA63EE">
      <w:pPr>
        <w:jc w:val="both"/>
        <w:rPr>
          <w:rFonts w:ascii="Verdana" w:hAnsi="Verdana"/>
          <w:bCs/>
          <w:sz w:val="20"/>
        </w:rPr>
      </w:pPr>
      <w:r w:rsidRPr="00CA63EE">
        <w:rPr>
          <w:rFonts w:ascii="Verdana" w:hAnsi="Verdana"/>
          <w:bCs/>
          <w:sz w:val="20"/>
        </w:rPr>
        <w:t>IX.         Consejero Independiente, a los referidos en el artículo 29 de la Ley;</w:t>
      </w:r>
    </w:p>
    <w:p w:rsidR="00CA63EE" w:rsidRPr="00CA63EE" w:rsidRDefault="00CA63EE" w:rsidP="00CA63EE">
      <w:pPr>
        <w:jc w:val="both"/>
        <w:rPr>
          <w:rFonts w:ascii="Verdana" w:hAnsi="Verdana"/>
          <w:bCs/>
          <w:sz w:val="20"/>
        </w:rPr>
      </w:pPr>
      <w:r w:rsidRPr="00CA63EE">
        <w:rPr>
          <w:rFonts w:ascii="Verdana" w:hAnsi="Verdana"/>
          <w:bCs/>
          <w:sz w:val="20"/>
        </w:rPr>
        <w:t>X.          Consejo de Administración, al previsto en los artículos 20, fracción III y 29 de la Ley;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XI.         Contralor Normativo, al Funcionario previsto en el artículo 30 de la Ley con el que deben contar las Administradoras y las instituciones públicas que realicen funciones similares;</w:t>
      </w:r>
    </w:p>
    <w:p w:rsidR="00CA63EE" w:rsidRPr="00CA63EE" w:rsidRDefault="00CA63EE" w:rsidP="00CA63EE">
      <w:pPr>
        <w:jc w:val="both"/>
        <w:rPr>
          <w:rFonts w:ascii="Verdana" w:hAnsi="Verdana"/>
          <w:bCs/>
          <w:sz w:val="20"/>
        </w:rPr>
      </w:pPr>
      <w:r w:rsidRPr="00CA63EE">
        <w:rPr>
          <w:rFonts w:ascii="Verdana" w:hAnsi="Verdana"/>
          <w:bCs/>
          <w:sz w:val="20"/>
        </w:rPr>
        <w:t>XII.        Costos de Corretaje, a los ingresos distintos de los Costos por Asesoría que perciban:</w:t>
      </w:r>
    </w:p>
    <w:p w:rsidR="00CA63EE" w:rsidRPr="00CA63EE" w:rsidRDefault="00CA63EE" w:rsidP="00CA63EE">
      <w:pPr>
        <w:jc w:val="both"/>
        <w:rPr>
          <w:rFonts w:ascii="Verdana" w:hAnsi="Verdana"/>
          <w:bCs/>
          <w:sz w:val="20"/>
        </w:rPr>
      </w:pPr>
      <w:r w:rsidRPr="00CA63EE">
        <w:rPr>
          <w:rFonts w:ascii="Verdana" w:hAnsi="Verdana"/>
          <w:bCs/>
          <w:sz w:val="20"/>
        </w:rPr>
        <w:t>a)   Los Intermediarios Financieros, así como las cámaras de compensación y las Contrapartes, directamente a consecuencia de su labor de intermediación en el mercado de valores o en las Bolsas de Derivados, y</w:t>
      </w:r>
    </w:p>
    <w:p w:rsidR="00CA63EE" w:rsidRPr="00CA63EE" w:rsidRDefault="00CA63EE" w:rsidP="00CA63EE">
      <w:pPr>
        <w:jc w:val="both"/>
        <w:rPr>
          <w:rFonts w:ascii="Verdana" w:hAnsi="Verdana"/>
          <w:bCs/>
          <w:sz w:val="20"/>
        </w:rPr>
      </w:pPr>
      <w:r w:rsidRPr="00CA63EE">
        <w:rPr>
          <w:rFonts w:ascii="Verdana" w:hAnsi="Verdana"/>
          <w:bCs/>
          <w:sz w:val="20"/>
        </w:rPr>
        <w:t>b)   Los proveedores de las plataformas de negociación de Activos Objeto de Inversión empleadas por las Sociedades de Inversión, que estén vinculados a cada operación concertada;</w:t>
      </w:r>
    </w:p>
    <w:p w:rsidR="00CA63EE" w:rsidRPr="00CA63EE" w:rsidRDefault="00CA63EE" w:rsidP="00CA63EE">
      <w:pPr>
        <w:jc w:val="both"/>
        <w:rPr>
          <w:rFonts w:ascii="Verdana" w:hAnsi="Verdana"/>
          <w:bCs/>
          <w:sz w:val="20"/>
        </w:rPr>
      </w:pPr>
      <w:r w:rsidRPr="00CA63EE">
        <w:rPr>
          <w:rFonts w:ascii="Verdana" w:hAnsi="Verdana"/>
          <w:bCs/>
          <w:sz w:val="20"/>
        </w:rPr>
        <w:t xml:space="preserve">XIII.        Costos por Asesoría, a los cargos, las comisiones o cualquier otro tipo de erogación que se genere con motivo de la asesoría, administración, gestión, manejo, mantenimiento o cualquier otro análogo, cualquiera que sea la denominación que le sea asignada, que cobren directa o indirectamente los Prestadores de Servicios Financieros o los Prestadores de Servicios Independientes. Quedan comprendidos también dentro de estos costos, los cargos, </w:t>
      </w:r>
      <w:proofErr w:type="spellStart"/>
      <w:r w:rsidRPr="00CA63EE">
        <w:rPr>
          <w:rFonts w:ascii="Verdana" w:hAnsi="Verdana"/>
          <w:bCs/>
          <w:sz w:val="20"/>
        </w:rPr>
        <w:t>lascomisiones</w:t>
      </w:r>
      <w:proofErr w:type="spellEnd"/>
      <w:r w:rsidRPr="00CA63EE">
        <w:rPr>
          <w:rFonts w:ascii="Verdana" w:hAnsi="Verdana"/>
          <w:bCs/>
          <w:sz w:val="20"/>
        </w:rPr>
        <w:t xml:space="preserve"> o cualesquiera tipos de erogaciones que se deriven de la adquisición por parte de las Sociedades de Inversión de Activos Objeto de Inversión, Vehículos, Vehículos de Inversión Inmobiliaria, así como de la adquisición o estructuración de Estructuras Vinculadas a Subyacentes, que </w:t>
      </w:r>
      <w:r w:rsidRPr="00CA63EE">
        <w:rPr>
          <w:rFonts w:ascii="Verdana" w:hAnsi="Verdana"/>
          <w:bCs/>
          <w:sz w:val="20"/>
        </w:rPr>
        <w:lastRenderedPageBreak/>
        <w:t>no estén respaldados por operaciones concertadas y que sean distintos de los Costos de Corretaje;</w:t>
      </w:r>
    </w:p>
    <w:p w:rsidR="00CA63EE" w:rsidRPr="00CA63EE" w:rsidRDefault="00CA63EE" w:rsidP="00CA63EE">
      <w:pPr>
        <w:jc w:val="both"/>
        <w:rPr>
          <w:rFonts w:ascii="Verdana" w:hAnsi="Verdana"/>
          <w:bCs/>
          <w:sz w:val="20"/>
        </w:rPr>
      </w:pPr>
      <w:r w:rsidRPr="00CA63EE">
        <w:rPr>
          <w:rFonts w:ascii="Verdana" w:hAnsi="Verdana"/>
          <w:bCs/>
          <w:sz w:val="20"/>
        </w:rPr>
        <w:t>XIV.       Cupón, al título de crédito accesorio que viene adherido a un Instrumento de Deuda o Valor Extranjero de Deuda;</w:t>
      </w:r>
    </w:p>
    <w:p w:rsidR="00CA63EE" w:rsidRPr="00CA63EE" w:rsidRDefault="00CA63EE" w:rsidP="00CA63EE">
      <w:pPr>
        <w:jc w:val="both"/>
        <w:rPr>
          <w:rFonts w:ascii="Verdana" w:hAnsi="Verdana"/>
          <w:bCs/>
          <w:sz w:val="20"/>
        </w:rPr>
      </w:pPr>
      <w:r w:rsidRPr="00CA63EE">
        <w:rPr>
          <w:rFonts w:ascii="Verdana" w:hAnsi="Verdana"/>
          <w:bCs/>
          <w:sz w:val="20"/>
        </w:rPr>
        <w:t>XV.        Desviación Permitida, a la diferencia observada entre la ponderación asignada a una acción que integre un índice o Canasta de Índices y la ponderación asignada a esa misma acción en un Componente de Renta Variable, que de conformidad con las Disposiciones de carácter general que establecen el régimen de inversión al que deberán sujetarse las Sociedades de Inversión replique dicho índice o Canasta de Índices;</w:t>
      </w:r>
    </w:p>
    <w:p w:rsidR="00CA63EE" w:rsidRPr="00CA63EE" w:rsidRDefault="00CA63EE" w:rsidP="00CA63EE">
      <w:pPr>
        <w:jc w:val="both"/>
        <w:rPr>
          <w:rFonts w:ascii="Verdana" w:hAnsi="Verdana"/>
          <w:bCs/>
          <w:sz w:val="20"/>
        </w:rPr>
      </w:pPr>
      <w:r w:rsidRPr="00CA63EE">
        <w:rPr>
          <w:rFonts w:ascii="Verdana" w:hAnsi="Verdana"/>
          <w:bCs/>
          <w:sz w:val="20"/>
        </w:rPr>
        <w:t>XVI.       Día de Valuación, a la fecha en que estará vigente el precio de la acción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XVII.      Ejercicio de Derechos Patrimoniales, al pago de dividendos en efectivo o en acciones, las suscripciones, los canjes u otros análogos a los anteriores a que tengan derecho los inversionistas tenedores de los títulos vinculados al correspondiente Instrumento de Renta Variable o Valor Extranjero de Renta Variable;</w:t>
      </w:r>
    </w:p>
    <w:p w:rsidR="00CA63EE" w:rsidRPr="00CA63EE" w:rsidRDefault="00CA63EE" w:rsidP="00CA63EE">
      <w:pPr>
        <w:jc w:val="both"/>
        <w:rPr>
          <w:rFonts w:ascii="Verdana" w:hAnsi="Verdana"/>
          <w:bCs/>
          <w:sz w:val="20"/>
        </w:rPr>
      </w:pPr>
      <w:r w:rsidRPr="00CA63EE">
        <w:rPr>
          <w:rFonts w:ascii="Verdana" w:hAnsi="Verdana"/>
          <w:bCs/>
          <w:sz w:val="20"/>
        </w:rPr>
        <w:t xml:space="preserve">XVIII.      Estrategia de Inversión, a las políticas definidas por el Comité de Inversión de cada Sociedad de Inversión que opere la Administradora, referentes a la compra o venta de Activos Objeto de Inversión y a la composición agregada de la cartera de inversión, conforme al marco prudencial en materia de administración de riesgos que defina y que apruebe el Comité de Riesgos Financieros de la Sociedad de Inversión, de acuerdo con las presentes Disposiciones, las Disposiciones de carácter general que establecen el régimen de inversión al que </w:t>
      </w:r>
      <w:proofErr w:type="spellStart"/>
      <w:r w:rsidRPr="00CA63EE">
        <w:rPr>
          <w:rFonts w:ascii="Verdana" w:hAnsi="Verdana"/>
          <w:bCs/>
          <w:sz w:val="20"/>
        </w:rPr>
        <w:t>deberánsujetarse</w:t>
      </w:r>
      <w:proofErr w:type="spellEnd"/>
      <w:r w:rsidRPr="00CA63EE">
        <w:rPr>
          <w:rFonts w:ascii="Verdana" w:hAnsi="Verdana"/>
          <w:bCs/>
          <w:sz w:val="20"/>
        </w:rPr>
        <w:t xml:space="preserve"> las Sociedades de Inversión y las Reglas Prudenciales en materia de administración de riesgos.</w:t>
      </w:r>
    </w:p>
    <w:p w:rsidR="00CA63EE" w:rsidRPr="00CA63EE" w:rsidRDefault="00CA63EE" w:rsidP="00CA63EE">
      <w:pPr>
        <w:jc w:val="both"/>
        <w:rPr>
          <w:rFonts w:ascii="Verdana" w:hAnsi="Verdana"/>
          <w:bCs/>
          <w:sz w:val="20"/>
        </w:rPr>
      </w:pPr>
      <w:r w:rsidRPr="00CA63EE">
        <w:rPr>
          <w:rFonts w:ascii="Verdana" w:hAnsi="Verdana"/>
          <w:bCs/>
          <w:sz w:val="20"/>
        </w:rPr>
        <w:t>             La definición de la Estrategia de Inversión deberá ser consistente con la definición del portafolio de referencia de la Sociedad de Inversión y deberá contemplar la desviación máxima que se permita entre la cartera de inversión y el portafolio de referencia;</w:t>
      </w:r>
    </w:p>
    <w:p w:rsidR="00CA63EE" w:rsidRPr="00CA63EE" w:rsidRDefault="00CA63EE" w:rsidP="00CA63EE">
      <w:pPr>
        <w:jc w:val="both"/>
        <w:rPr>
          <w:rFonts w:ascii="Verdana" w:hAnsi="Verdana"/>
          <w:bCs/>
          <w:sz w:val="20"/>
        </w:rPr>
      </w:pPr>
      <w:r w:rsidRPr="00CA63EE">
        <w:rPr>
          <w:rFonts w:ascii="Verdana" w:hAnsi="Verdana"/>
          <w:bCs/>
          <w:sz w:val="20"/>
        </w:rPr>
        <w:t>XIX.       Factores de Riesgo, a las tasas de interés, Divisas, volatilidades y demás variables que sean utilizadas en la determinación de los precios de los Activos Objeto de Inversión;</w:t>
      </w:r>
    </w:p>
    <w:p w:rsidR="00CA63EE" w:rsidRPr="00CA63EE" w:rsidRDefault="00CA63EE" w:rsidP="00CA63EE">
      <w:pPr>
        <w:jc w:val="both"/>
        <w:rPr>
          <w:rFonts w:ascii="Verdana" w:hAnsi="Verdana"/>
          <w:bCs/>
          <w:sz w:val="20"/>
        </w:rPr>
      </w:pPr>
      <w:r w:rsidRPr="00CA63EE">
        <w:rPr>
          <w:rFonts w:ascii="Verdana" w:hAnsi="Verdana"/>
          <w:bCs/>
          <w:sz w:val="20"/>
        </w:rPr>
        <w:t>XX.        Funcionario, a toda persona física que desempeñe un empleo, cargo o comisión en las Administradoras, en las Sociedades de Inversión o ambas, exceptuando a los Consejeros Independientes y a otros miembros externos que participen en los comités y subcomités de éstas;</w:t>
      </w:r>
    </w:p>
    <w:p w:rsidR="00CA63EE" w:rsidRPr="00CA63EE" w:rsidRDefault="00CA63EE" w:rsidP="00CA63EE">
      <w:pPr>
        <w:jc w:val="both"/>
        <w:rPr>
          <w:rFonts w:ascii="Verdana" w:hAnsi="Verdana"/>
          <w:bCs/>
          <w:sz w:val="20"/>
        </w:rPr>
      </w:pPr>
      <w:r w:rsidRPr="00CA63EE">
        <w:rPr>
          <w:rFonts w:ascii="Verdana" w:hAnsi="Verdana"/>
          <w:bCs/>
          <w:sz w:val="20"/>
        </w:rPr>
        <w:t>XXI.       Informe Mensual, al informe que el Contralor Normativo de las Administradoras debe presentar ante la Comisión, de conformidad con lo previsto en el artículo 30, fracción IV de la Ley;</w:t>
      </w:r>
    </w:p>
    <w:p w:rsidR="00CA63EE" w:rsidRPr="00CA63EE" w:rsidRDefault="00CA63EE" w:rsidP="00CA63EE">
      <w:pPr>
        <w:jc w:val="both"/>
        <w:rPr>
          <w:rFonts w:ascii="Verdana" w:hAnsi="Verdana"/>
          <w:bCs/>
          <w:sz w:val="20"/>
        </w:rPr>
      </w:pPr>
      <w:r w:rsidRPr="00CA63EE">
        <w:rPr>
          <w:rFonts w:ascii="Verdana" w:hAnsi="Verdana"/>
          <w:bCs/>
          <w:sz w:val="20"/>
        </w:rPr>
        <w:lastRenderedPageBreak/>
        <w:t>XXII.      Intermediarios Financieros, a las Instituciones de Crédito, Entidades Financieras y demás personas morales facultadas para emitir u operar Activos Objetos de Inversión, así como para actuar como Contrapartes, que se encuentren sujetas a la regulación y supervisión de agencias gubernamentales de los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XXIII.      Instrumentos </w:t>
      </w:r>
      <w:proofErr w:type="spellStart"/>
      <w:r w:rsidRPr="00CA63EE">
        <w:rPr>
          <w:rFonts w:ascii="Verdana" w:hAnsi="Verdana"/>
          <w:bCs/>
          <w:sz w:val="20"/>
        </w:rPr>
        <w:t>Bursatilizados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a)   Títulos o valores que representen derechos de crédito, cobros o flujos de efectivo emitidos a través de Vehículos y cuyos activos subyacentes sean dichos derechos de crédito, cobros o flujos de efectivo, que representen un compromiso de pago de Cupones, principal o ambos para el emisor del instrumento y que cuenten con las calificaciones crediticias previstas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      Para el caso de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de créditos hipotecarios se deberán cubrir los niveles de aforo, el capital retenido, la serie subordinada y la garantía financiera que se determinen por el Comité de Análisis de Riesgos, al que se refieren los artículos 43 párrafo cuarto y 45 de la Ley.</w:t>
      </w:r>
    </w:p>
    <w:p w:rsidR="00CA63EE" w:rsidRPr="00CA63EE" w:rsidRDefault="00CA63EE" w:rsidP="00CA63EE">
      <w:pPr>
        <w:jc w:val="both"/>
        <w:rPr>
          <w:rFonts w:ascii="Verdana" w:hAnsi="Verdana"/>
          <w:bCs/>
          <w:sz w:val="20"/>
        </w:rPr>
      </w:pPr>
      <w:r w:rsidRPr="00CA63EE">
        <w:rPr>
          <w:rFonts w:ascii="Verdana" w:hAnsi="Verdana"/>
          <w:bCs/>
          <w:sz w:val="20"/>
        </w:rPr>
        <w:t>      Los instrumentos a los que se refiere la presente fracción serán considerados como colocados por un emisor independiente cuando cumplan con lo previsto en el Anexo R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Dentro de la presente definición no quedan incluidos los Instrumentos Estructurados;</w:t>
      </w:r>
    </w:p>
    <w:p w:rsidR="00CA63EE" w:rsidRPr="00CA63EE" w:rsidRDefault="00CA63EE" w:rsidP="00CA63EE">
      <w:pPr>
        <w:jc w:val="both"/>
        <w:rPr>
          <w:rFonts w:ascii="Verdana" w:hAnsi="Verdana"/>
          <w:bCs/>
          <w:sz w:val="20"/>
        </w:rPr>
      </w:pPr>
      <w:r w:rsidRPr="00CA63EE">
        <w:rPr>
          <w:rFonts w:ascii="Verdana" w:hAnsi="Verdana"/>
          <w:bCs/>
          <w:sz w:val="20"/>
        </w:rPr>
        <w:t>b)   Certificados Bursátiles Vinculados a Proyectos Reales, a los títulos cuya fuente de pago provenga del uso o aprovechamiento de activos reales;</w:t>
      </w:r>
    </w:p>
    <w:p w:rsidR="00CA63EE" w:rsidRPr="00CA63EE" w:rsidRDefault="00CA63EE" w:rsidP="00CA63EE">
      <w:pPr>
        <w:jc w:val="both"/>
        <w:rPr>
          <w:rFonts w:ascii="Verdana" w:hAnsi="Verdana"/>
          <w:bCs/>
          <w:sz w:val="20"/>
        </w:rPr>
      </w:pPr>
      <w:r w:rsidRPr="00CA63EE">
        <w:rPr>
          <w:rFonts w:ascii="Verdana" w:hAnsi="Verdana"/>
          <w:bCs/>
          <w:sz w:val="20"/>
        </w:rPr>
        <w:t>XXIV.     Instrumento Genérico, a la referencia de mercado que de conformidad con sus características pueda ser usada para aproximar, la valuación, el rendimiento, la volatilidad o algún Factor de Riesgo, de un Activo Objeto de Inversión;</w:t>
      </w:r>
    </w:p>
    <w:p w:rsidR="00CA63EE" w:rsidRPr="00CA63EE" w:rsidRDefault="00CA63EE" w:rsidP="00CA63EE">
      <w:pPr>
        <w:jc w:val="both"/>
        <w:rPr>
          <w:rFonts w:ascii="Verdana" w:hAnsi="Verdana"/>
          <w:bCs/>
          <w:sz w:val="20"/>
        </w:rPr>
      </w:pPr>
      <w:r w:rsidRPr="00CA63EE">
        <w:rPr>
          <w:rFonts w:ascii="Verdana" w:hAnsi="Verdana"/>
          <w:bCs/>
          <w:sz w:val="20"/>
        </w:rPr>
        <w:t>XXV.      Límite Prudencial, a los límites definidos por el Comité de Riesgos Financieros o por el Comité de Inversión complementarios a los regulatorios;</w:t>
      </w:r>
    </w:p>
    <w:p w:rsidR="00CA63EE" w:rsidRPr="00CA63EE" w:rsidRDefault="00CA63EE" w:rsidP="00CA63EE">
      <w:pPr>
        <w:jc w:val="both"/>
        <w:rPr>
          <w:rFonts w:ascii="Verdana" w:hAnsi="Verdana"/>
          <w:bCs/>
          <w:sz w:val="20"/>
        </w:rPr>
      </w:pPr>
      <w:r w:rsidRPr="00CA63EE">
        <w:rPr>
          <w:rFonts w:ascii="Verdana" w:hAnsi="Verdana"/>
          <w:bCs/>
          <w:sz w:val="20"/>
        </w:rPr>
        <w:t>XXVI.     Manual de Inversión, al documento con las reglas que elabore cada Administradora para documentar la Estrategia de Inversión, así como políticas de inversión autorizadas por los Comités de Inversión, en cumplimiento a las responsabilidades previstas en las presentes Disposiciones para dichos Comités de Inversión;</w:t>
      </w:r>
    </w:p>
    <w:p w:rsidR="00CA63EE" w:rsidRPr="00CA63EE" w:rsidRDefault="00CA63EE" w:rsidP="00CA63EE">
      <w:pPr>
        <w:jc w:val="both"/>
        <w:rPr>
          <w:rFonts w:ascii="Verdana" w:hAnsi="Verdana"/>
          <w:bCs/>
          <w:sz w:val="20"/>
        </w:rPr>
      </w:pPr>
      <w:r w:rsidRPr="00CA63EE">
        <w:rPr>
          <w:rFonts w:ascii="Verdana" w:hAnsi="Verdana"/>
          <w:bCs/>
          <w:sz w:val="20"/>
        </w:rPr>
        <w:t>XXVII.     Manual de Políticas y Procedimientos para la Administración del Riesgo Financiero, al documento con las reglas que elabora cada Administradora para documentar la Administración de Riesgos Financieros;</w:t>
      </w:r>
    </w:p>
    <w:p w:rsidR="00CA63EE" w:rsidRPr="00CA63EE" w:rsidRDefault="00CA63EE" w:rsidP="00CA63EE">
      <w:pPr>
        <w:jc w:val="both"/>
        <w:rPr>
          <w:rFonts w:ascii="Verdana" w:hAnsi="Verdana"/>
          <w:bCs/>
          <w:sz w:val="20"/>
        </w:rPr>
      </w:pPr>
      <w:r w:rsidRPr="00CA63EE">
        <w:rPr>
          <w:rFonts w:ascii="Verdana" w:hAnsi="Verdana"/>
          <w:bCs/>
          <w:sz w:val="20"/>
        </w:rPr>
        <w:lastRenderedPageBreak/>
        <w:t>XXVIII.    Órgano de Gobierno, al Consejo de Administración de las Administradoras, de las Sociedades de Inversión, así como al órgano equivalente de las instituciones públicas que realicen funciones similares;</w:t>
      </w:r>
    </w:p>
    <w:p w:rsidR="00CA63EE" w:rsidRPr="00CA63EE" w:rsidRDefault="00CA63EE" w:rsidP="00CA63EE">
      <w:pPr>
        <w:jc w:val="both"/>
        <w:rPr>
          <w:rFonts w:ascii="Verdana" w:hAnsi="Verdana"/>
          <w:bCs/>
          <w:sz w:val="20"/>
        </w:rPr>
      </w:pPr>
      <w:r w:rsidRPr="00CA63EE">
        <w:rPr>
          <w:rFonts w:ascii="Verdana" w:hAnsi="Verdana"/>
          <w:bCs/>
          <w:sz w:val="20"/>
        </w:rPr>
        <w:t>XXIX.     Operación Fuera de Mercado, a la operación de compra o venta de un Activo Objeto de Inversión cuyo precio de ejecución sea menos favorable para la Sociedad de Inversión que aquellos precios de mercado en firme que se encuentren disponibles y documentados al realizar dicha transacción;</w:t>
      </w:r>
    </w:p>
    <w:p w:rsidR="00CA63EE" w:rsidRPr="00CA63EE" w:rsidRDefault="00CA63EE" w:rsidP="00CA63EE">
      <w:pPr>
        <w:jc w:val="both"/>
        <w:rPr>
          <w:rFonts w:ascii="Verdana" w:hAnsi="Verdana"/>
          <w:bCs/>
          <w:sz w:val="20"/>
        </w:rPr>
      </w:pPr>
      <w:r w:rsidRPr="00CA63EE">
        <w:rPr>
          <w:rFonts w:ascii="Verdana" w:hAnsi="Verdana"/>
          <w:bCs/>
          <w:sz w:val="20"/>
        </w:rPr>
        <w:t xml:space="preserve">XXX.      Operaciones a Futuro, a las operaciones en las que se acuerde que las obligaciones a cargo de las partes se cumplirán en un plazo superior a cuatro días hábiles bancarios contados a partir de la fecha de su concertación. Tratándose de operaciones sobre los valores gubernamentales y títulos bancarios señalados en la Circular 3/2012 que contiene las Disposiciones aplicables a las operaciones de las Instituciones de Crédito y de la Financiera Nacional de Desarrollo Agropecuario, Rural, Forestal y Pesquero, así como sus respectivas modificaciones emitidas por el Banco de México, así como a aquellas en las que se acuerde que la entrega de éstos y de su contravalor o, en su caso, la entrega por diferencias, se cumplirá en un plazo superior a cuatro días hábiles bancarios contados a partir de su fecha de concertación. No se considerarán dentro de esta definición las operaciones con plazo de liquidación de tres días hábiles, contados a partir de la fecha de su concertación, que se efectúen con los siguientes Activos Objeto de Inversión: Acciones listadas, Vehículos y Vehículos de Inversión Inmobiliaria listados en </w:t>
      </w:r>
      <w:proofErr w:type="spellStart"/>
      <w:r w:rsidRPr="00CA63EE">
        <w:rPr>
          <w:rFonts w:ascii="Verdana" w:hAnsi="Verdana"/>
          <w:bCs/>
          <w:sz w:val="20"/>
        </w:rPr>
        <w:t>mercadosorganizados</w:t>
      </w:r>
      <w:proofErr w:type="spellEnd"/>
      <w:r w:rsidRPr="00CA63EE">
        <w:rPr>
          <w:rFonts w:ascii="Verdana" w:hAnsi="Verdana"/>
          <w:bCs/>
          <w:sz w:val="20"/>
        </w:rPr>
        <w:t xml:space="preserve"> de los Países Elegibles para Inversiones y las ofertas primarias de los Certificados Bursátiles que así lo prevean en su prospecto de colocación, colocados en el mercado local o en mercados de los Países Elegibles para Inversiones. Quedan excluidas de esta definición también las operaciones que el Banco de México señale en sus Reglas relativas a las operaciones con Derivados;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XXXI.     Operación de Opción, a la operación en virtud de la cual una de las partes, denominada comprador de la opción, mediante el pago de una prima adquiere el derecho de comprar (en el caso de una opción conocida en la práctica y en el idioma inglés como </w:t>
      </w:r>
      <w:r w:rsidRPr="00CA63EE">
        <w:rPr>
          <w:rFonts w:ascii="Verdana" w:hAnsi="Verdana"/>
          <w:bCs/>
          <w:i/>
          <w:iCs/>
          <w:sz w:val="20"/>
        </w:rPr>
        <w:t>"</w:t>
      </w:r>
      <w:proofErr w:type="spellStart"/>
      <w:r w:rsidRPr="00CA63EE">
        <w:rPr>
          <w:rFonts w:ascii="Verdana" w:hAnsi="Verdana"/>
          <w:bCs/>
          <w:i/>
          <w:iCs/>
          <w:sz w:val="20"/>
        </w:rPr>
        <w:t>Call</w:t>
      </w:r>
      <w:proofErr w:type="spellEnd"/>
      <w:r w:rsidRPr="00CA63EE">
        <w:rPr>
          <w:rFonts w:ascii="Verdana" w:hAnsi="Verdana"/>
          <w:bCs/>
          <w:i/>
          <w:iCs/>
          <w:sz w:val="20"/>
        </w:rPr>
        <w:t>"</w:t>
      </w:r>
      <w:r w:rsidRPr="00CA63EE">
        <w:rPr>
          <w:rFonts w:ascii="Verdana" w:hAnsi="Verdana"/>
          <w:bCs/>
          <w:sz w:val="20"/>
        </w:rPr>
        <w:t>) o vender (en el caso de una opción conocida en la práctica y en el idioma inglés como </w:t>
      </w:r>
      <w:r w:rsidRPr="00CA63EE">
        <w:rPr>
          <w:rFonts w:ascii="Verdana" w:hAnsi="Verdana"/>
          <w:bCs/>
          <w:i/>
          <w:iCs/>
          <w:sz w:val="20"/>
        </w:rPr>
        <w:t>"</w:t>
      </w:r>
      <w:proofErr w:type="spellStart"/>
      <w:r w:rsidRPr="00CA63EE">
        <w:rPr>
          <w:rFonts w:ascii="Verdana" w:hAnsi="Verdana"/>
          <w:bCs/>
          <w:i/>
          <w:iCs/>
          <w:sz w:val="20"/>
        </w:rPr>
        <w:t>Put</w:t>
      </w:r>
      <w:proofErr w:type="spellEnd"/>
      <w:r w:rsidRPr="00CA63EE">
        <w:rPr>
          <w:rFonts w:ascii="Verdana" w:hAnsi="Verdana"/>
          <w:bCs/>
          <w:i/>
          <w:iCs/>
          <w:sz w:val="20"/>
        </w:rPr>
        <w:t>"</w:t>
      </w:r>
      <w:r w:rsidRPr="00CA63EE">
        <w:rPr>
          <w:rFonts w:ascii="Verdana" w:hAnsi="Verdana"/>
          <w:bCs/>
          <w:sz w:val="20"/>
        </w:rPr>
        <w:t xml:space="preserve">) subyacentes autorizados a su Contraparte, esta última denominada vendedor de la opción, la cual es ejercible en una "Fecha de Ejercicio" y al "Precio de Ejercicio" previamente acordados. El pago de la prima puede también dar el derecho a recibir una cantidad de dinero o los subyacentes objeto de la operación previamente determinados sujetos a las condiciones que hayan determinado las partes negociadoras. Se entenderá por "Fecha de Ejercicio" al día o días en los cuales el comprador de la opción se encuentra facultado a ejercer su derecho. La "Fecha de Ejercicio" podrá ser una fecha específica o una serie de días hábiles bancarios consecutivos o </w:t>
      </w:r>
      <w:proofErr w:type="spellStart"/>
      <w:r w:rsidRPr="00CA63EE">
        <w:rPr>
          <w:rFonts w:ascii="Verdana" w:hAnsi="Verdana"/>
          <w:bCs/>
          <w:sz w:val="20"/>
        </w:rPr>
        <w:t>separados.Asimismo</w:t>
      </w:r>
      <w:proofErr w:type="spellEnd"/>
      <w:r w:rsidRPr="00CA63EE">
        <w:rPr>
          <w:rFonts w:ascii="Verdana" w:hAnsi="Verdana"/>
          <w:bCs/>
          <w:sz w:val="20"/>
        </w:rPr>
        <w:t>, por "Precio de Ejercicio" se entenderá aquel al que el comprador de la opción puede ejercer el derecho convenido, pudiendo ser de cero;</w:t>
      </w:r>
    </w:p>
    <w:p w:rsidR="00CA63EE" w:rsidRPr="00CA63EE" w:rsidRDefault="00CA63EE" w:rsidP="00CA63EE">
      <w:pPr>
        <w:jc w:val="both"/>
        <w:rPr>
          <w:rFonts w:ascii="Verdana" w:hAnsi="Verdana"/>
          <w:bCs/>
          <w:sz w:val="20"/>
        </w:rPr>
      </w:pPr>
      <w:r w:rsidRPr="00CA63EE">
        <w:rPr>
          <w:rFonts w:ascii="Verdana" w:hAnsi="Verdana"/>
          <w:bCs/>
          <w:sz w:val="20"/>
        </w:rPr>
        <w:lastRenderedPageBreak/>
        <w:t>XXXII.     Operación de Swap, al contrato mediante el cual las partes negociadoras se comprometen a intercambiar flujos de dinero en fechas futuras previstas al momento de concertar la operación;</w:t>
      </w:r>
    </w:p>
    <w:p w:rsidR="00CA63EE" w:rsidRPr="00CA63EE" w:rsidRDefault="00CA63EE" w:rsidP="00CA63EE">
      <w:pPr>
        <w:jc w:val="both"/>
        <w:rPr>
          <w:rFonts w:ascii="Verdana" w:hAnsi="Verdana"/>
          <w:bCs/>
          <w:sz w:val="20"/>
        </w:rPr>
      </w:pPr>
      <w:r w:rsidRPr="00CA63EE">
        <w:rPr>
          <w:rFonts w:ascii="Verdana" w:hAnsi="Verdana"/>
          <w:bCs/>
          <w:sz w:val="20"/>
        </w:rPr>
        <w:t>XXXIII.    Operador, a los Funcionarios adscritos al área de inversión de la Administradora que opere la Sociedad de Inversión que tengan a su cargo la ejecución de la Estrategia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XXXIV.   Órdenes de Concertación en Paquete, aquellas que ejecuta la Sociedad de Inversión con un Intermediario Financiero, en cumplimiento con las prácticas de ejecución previstas en las presentes Disposiciones y en apego a la normatividad aplicable a los mercados de valores o Bolsas de Derivados para realizar estas inversiones, cuya finalidad es formalizar la operación en una plataforma de negociación. Estas operaciones son conocidas en el idioma inglés como "</w:t>
      </w:r>
      <w:r w:rsidRPr="00CA63EE">
        <w:rPr>
          <w:rFonts w:ascii="Verdana" w:hAnsi="Verdana"/>
          <w:bCs/>
          <w:i/>
          <w:iCs/>
          <w:sz w:val="20"/>
        </w:rPr>
        <w:t xml:space="preserve">block </w:t>
      </w:r>
      <w:proofErr w:type="spellStart"/>
      <w:r w:rsidRPr="00CA63EE">
        <w:rPr>
          <w:rFonts w:ascii="Verdana" w:hAnsi="Verdana"/>
          <w:bCs/>
          <w:i/>
          <w:iCs/>
          <w:sz w:val="20"/>
        </w:rPr>
        <w:t>trade</w:t>
      </w:r>
      <w:proofErr w:type="spellEnd"/>
      <w:r w:rsidRPr="00CA63EE">
        <w:rPr>
          <w:rFonts w:ascii="Verdana" w:hAnsi="Verdana"/>
          <w:bCs/>
          <w:i/>
          <w:iCs/>
          <w:sz w:val="20"/>
        </w:rPr>
        <w:t>" </w:t>
      </w:r>
      <w:r w:rsidRPr="00CA63EE">
        <w:rPr>
          <w:rFonts w:ascii="Verdana" w:hAnsi="Verdana"/>
          <w:bCs/>
          <w:sz w:val="20"/>
        </w:rPr>
        <w:t xml:space="preserve">y pueden ejecutarse fuera del mercado listado de conformidad con las prácticas </w:t>
      </w:r>
      <w:proofErr w:type="spellStart"/>
      <w:r w:rsidRPr="00CA63EE">
        <w:rPr>
          <w:rFonts w:ascii="Verdana" w:hAnsi="Verdana"/>
          <w:bCs/>
          <w:sz w:val="20"/>
        </w:rPr>
        <w:t>demejor</w:t>
      </w:r>
      <w:proofErr w:type="spellEnd"/>
      <w:r w:rsidRPr="00CA63EE">
        <w:rPr>
          <w:rFonts w:ascii="Verdana" w:hAnsi="Verdana"/>
          <w:bCs/>
          <w:sz w:val="20"/>
        </w:rPr>
        <w:t xml:space="preserve"> ejecución;</w:t>
      </w:r>
    </w:p>
    <w:p w:rsidR="00CA63EE" w:rsidRPr="00CA63EE" w:rsidRDefault="00CA63EE" w:rsidP="00CA63EE">
      <w:pPr>
        <w:jc w:val="both"/>
        <w:rPr>
          <w:rFonts w:ascii="Verdana" w:hAnsi="Verdana"/>
          <w:bCs/>
          <w:sz w:val="20"/>
        </w:rPr>
      </w:pPr>
      <w:r w:rsidRPr="00CA63EE">
        <w:rPr>
          <w:rFonts w:ascii="Verdana" w:hAnsi="Verdana"/>
          <w:bCs/>
          <w:sz w:val="20"/>
        </w:rPr>
        <w:t>XXXV.    Órdenes de Concertación Ciegas, aquellas que ejecuta la Sociedad de Inversión a través de plataformas de negociación conocidas en el idioma inglés como "</w:t>
      </w:r>
      <w:proofErr w:type="spellStart"/>
      <w:r w:rsidRPr="00CA63EE">
        <w:rPr>
          <w:rFonts w:ascii="Verdana" w:hAnsi="Verdana"/>
          <w:bCs/>
          <w:i/>
          <w:iCs/>
          <w:sz w:val="20"/>
        </w:rPr>
        <w:t>dark</w:t>
      </w:r>
      <w:proofErr w:type="spellEnd"/>
      <w:r w:rsidRPr="00CA63EE">
        <w:rPr>
          <w:rFonts w:ascii="Verdana" w:hAnsi="Verdana"/>
          <w:bCs/>
          <w:i/>
          <w:iCs/>
          <w:sz w:val="20"/>
        </w:rPr>
        <w:t xml:space="preserve"> pool",</w:t>
      </w:r>
      <w:r w:rsidRPr="00CA63EE">
        <w:rPr>
          <w:rFonts w:ascii="Verdana" w:hAnsi="Verdana"/>
          <w:bCs/>
          <w:sz w:val="20"/>
        </w:rPr>
        <w:t> en las que no se conocen los Intermediarios Financieros ni ciertas características de las órdenes como lo son, el precio o el monto;</w:t>
      </w:r>
    </w:p>
    <w:p w:rsidR="00CA63EE" w:rsidRPr="00CA63EE" w:rsidRDefault="00CA63EE" w:rsidP="00CA63EE">
      <w:pPr>
        <w:jc w:val="both"/>
        <w:rPr>
          <w:rFonts w:ascii="Verdana" w:hAnsi="Verdana"/>
          <w:bCs/>
          <w:sz w:val="20"/>
        </w:rPr>
      </w:pPr>
      <w:r w:rsidRPr="00CA63EE">
        <w:rPr>
          <w:rFonts w:ascii="Verdana" w:hAnsi="Verdana"/>
          <w:bCs/>
          <w:sz w:val="20"/>
        </w:rPr>
        <w:t>XXXVI.   Parámetro, a la representación de una variable o Factor de Riesgo empleados en algún modelo de administración del riesgo operativo, de Administración del Riesgo Financiero o de valuación usado por la Administradora;</w:t>
      </w:r>
    </w:p>
    <w:p w:rsidR="00CA63EE" w:rsidRPr="00CA63EE" w:rsidRDefault="00CA63EE" w:rsidP="00CA63EE">
      <w:pPr>
        <w:jc w:val="both"/>
        <w:rPr>
          <w:rFonts w:ascii="Verdana" w:hAnsi="Verdana"/>
          <w:bCs/>
          <w:sz w:val="20"/>
        </w:rPr>
      </w:pPr>
      <w:r w:rsidRPr="00CA63EE">
        <w:rPr>
          <w:rFonts w:ascii="Verdana" w:hAnsi="Verdana"/>
          <w:bCs/>
          <w:sz w:val="20"/>
        </w:rPr>
        <w:t>XXXVII.   Plan de Funciones, al previsto en el artículo 30, cuarto párrafo de la Ley y en el artículo 154 del Reglamento, que contiene las actividades de evaluación y las medidas para preservar el cumplimiento del Programa de Autorregulación de la Administradora;</w:t>
      </w:r>
    </w:p>
    <w:p w:rsidR="00CA63EE" w:rsidRPr="00CA63EE" w:rsidRDefault="00CA63EE" w:rsidP="00CA63EE">
      <w:pPr>
        <w:jc w:val="both"/>
        <w:rPr>
          <w:rFonts w:ascii="Verdana" w:hAnsi="Verdana"/>
          <w:bCs/>
          <w:sz w:val="20"/>
        </w:rPr>
      </w:pPr>
      <w:r w:rsidRPr="00CA63EE">
        <w:rPr>
          <w:rFonts w:ascii="Verdana" w:hAnsi="Verdana"/>
          <w:bCs/>
          <w:sz w:val="20"/>
        </w:rPr>
        <w:t>XXXVIII.  Posición Pura en Divisas, a la posición en Divisas que no se derive de la inversión en algún Activo Objeto de Inversión denominado en una Divisa distinta a la moneda nacional;</w:t>
      </w:r>
    </w:p>
    <w:p w:rsidR="00CA63EE" w:rsidRPr="00CA63EE" w:rsidRDefault="00CA63EE" w:rsidP="00CA63EE">
      <w:pPr>
        <w:jc w:val="both"/>
        <w:rPr>
          <w:rFonts w:ascii="Verdana" w:hAnsi="Verdana"/>
          <w:bCs/>
          <w:sz w:val="20"/>
        </w:rPr>
      </w:pPr>
      <w:r w:rsidRPr="00CA63EE">
        <w:rPr>
          <w:rFonts w:ascii="Verdana" w:hAnsi="Verdana"/>
          <w:bCs/>
          <w:sz w:val="20"/>
        </w:rPr>
        <w:t>XXXIX.   Precio Actualizado para Valuación, al precio de mercado, o en su caso al precio teórico, obtenido con base en los algoritmos, criterios técnicos y estadísticos y modelos de valuación, aplicable a cada uno de los Activos Objeto de Inversión, previsto en una metodología desarrollada por un Proveedor de Precios;</w:t>
      </w:r>
    </w:p>
    <w:p w:rsidR="00CA63EE" w:rsidRPr="00CA63EE" w:rsidRDefault="00CA63EE" w:rsidP="00CA63EE">
      <w:pPr>
        <w:jc w:val="both"/>
        <w:rPr>
          <w:rFonts w:ascii="Verdana" w:hAnsi="Verdana"/>
          <w:bCs/>
          <w:sz w:val="20"/>
        </w:rPr>
      </w:pPr>
      <w:r w:rsidRPr="00CA63EE">
        <w:rPr>
          <w:rFonts w:ascii="Verdana" w:hAnsi="Verdana"/>
          <w:bCs/>
          <w:sz w:val="20"/>
        </w:rPr>
        <w:t>XL.        Prestador de Servicio Independiente, a la entidad externa a la Administradora o a las Empresas Operadoras, que se contrate para ejecutar actividades objeto de dichas entidades;</w:t>
      </w:r>
    </w:p>
    <w:p w:rsidR="00CA63EE" w:rsidRPr="00CA63EE" w:rsidRDefault="00CA63EE" w:rsidP="00CA63EE">
      <w:pPr>
        <w:jc w:val="both"/>
        <w:rPr>
          <w:rFonts w:ascii="Verdana" w:hAnsi="Verdana"/>
          <w:bCs/>
          <w:sz w:val="20"/>
        </w:rPr>
      </w:pPr>
      <w:r w:rsidRPr="00CA63EE">
        <w:rPr>
          <w:rFonts w:ascii="Verdana" w:hAnsi="Verdana"/>
          <w:bCs/>
          <w:sz w:val="20"/>
        </w:rPr>
        <w:t xml:space="preserve">XLI.        Prestadores de Servicios Financieros, a las personas o entidades facultadas para operar con Activos Objeto de Inversión por cuenta de terceros, así como para ofrecer otros servicios relacionados con los Activos Objeto de Inversión, como la asesoría en materia de inversiones, administración y gestión de activos, entre otros, </w:t>
      </w:r>
      <w:r w:rsidRPr="00CA63EE">
        <w:rPr>
          <w:rFonts w:ascii="Verdana" w:hAnsi="Verdana"/>
          <w:bCs/>
          <w:sz w:val="20"/>
        </w:rPr>
        <w:lastRenderedPageBreak/>
        <w:t>que se encuentren sujetos a la regulación y supervisión de agencias gubernamentales de los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XLII.       Proceso de Observación, a las actividades de revisión que realiza el Contralor Normativo respecto del cumplimiento a la normatividad interna y externa aplicable en materia financiera, la detección de las desviaciones observadas respecto de dicha normatividad, así como el seguimiento de las desviaciones mencionadas hasta su resolución. El Proceso de Observación no incluye actividades de auditoría ni de algún proceso operativo de gestión de recursos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XLIII.      Programa de Autorregulación, al programa previsto en el artículo 29, fracción I de la Ley;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XLIV.      Programas de Corrección, al informe previsto en el artículo 100 bis de la Ley, que la Administradora presentará a la Comisión por conducto del Contralor Normativo sobre la corrección de incumplimientos en que hubiera incurrido dicha entidad respecto a las normas que regulan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XLV.      Régimen de Inversión Autorizado, al previsto en las Disposiciones de carácter general que establecen el régimen de inversión al que deberán sujetarse las Sociedades de Inversión y en el prospecto de información elaborado conforme a lo establecido en las presentes Disposiciones, así como en los casos a que se refiere el artículo 178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XLVI.      Reglamento, al Reglamento de la Ley;</w:t>
      </w:r>
    </w:p>
    <w:p w:rsidR="00CA63EE" w:rsidRPr="00CA63EE" w:rsidRDefault="00CA63EE" w:rsidP="00CA63EE">
      <w:pPr>
        <w:jc w:val="both"/>
        <w:rPr>
          <w:rFonts w:ascii="Verdana" w:hAnsi="Verdana"/>
          <w:bCs/>
          <w:sz w:val="20"/>
        </w:rPr>
      </w:pPr>
      <w:r w:rsidRPr="00CA63EE">
        <w:rPr>
          <w:rFonts w:ascii="Verdana" w:hAnsi="Verdana"/>
          <w:bCs/>
          <w:sz w:val="20"/>
        </w:rPr>
        <w:t>XLVII.     Responsable del Área de Inversiones, al Funcionario de las Administradoras que designe el Comité de Inversión, que tenga a su cargo el área encargada de la ejecución de la Estrategia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XLVII </w:t>
      </w:r>
      <w:proofErr w:type="spellStart"/>
      <w:r w:rsidRPr="00CA63EE">
        <w:rPr>
          <w:rFonts w:ascii="Verdana" w:hAnsi="Verdana"/>
          <w:bCs/>
          <w:sz w:val="20"/>
        </w:rPr>
        <w:t>bis.Responsable</w:t>
      </w:r>
      <w:proofErr w:type="spellEnd"/>
      <w:r w:rsidRPr="00CA63EE">
        <w:rPr>
          <w:rFonts w:ascii="Verdana" w:hAnsi="Verdana"/>
          <w:bCs/>
          <w:sz w:val="20"/>
        </w:rPr>
        <w:t xml:space="preserve"> del Área de Riesgos, al Funcionario de las Administradoras que designe el Comité de Riesgos Financieros, que reporte directamente al Director General de la Administradora y asista al Comité de Riesgos;</w:t>
      </w:r>
    </w:p>
    <w:p w:rsidR="00CA63EE" w:rsidRPr="00CA63EE" w:rsidRDefault="00CA63EE" w:rsidP="00CA63EE">
      <w:pPr>
        <w:jc w:val="both"/>
        <w:rPr>
          <w:rFonts w:ascii="Verdana" w:hAnsi="Verdana"/>
          <w:bCs/>
          <w:sz w:val="20"/>
        </w:rPr>
      </w:pPr>
      <w:r w:rsidRPr="00CA63EE">
        <w:rPr>
          <w:rFonts w:ascii="Verdana" w:hAnsi="Verdana"/>
          <w:bCs/>
          <w:sz w:val="20"/>
        </w:rPr>
        <w:t>XLVIII.    Riesgo Financiero, a la posibilidad de ocurrencia de pérdidas o minusvalías en la cartera de inversión de la Sociedad de Inversión de que se trate, ocasionadas por alguna de las siguientes causas, o bien una combinación de ellas:</w:t>
      </w:r>
    </w:p>
    <w:p w:rsidR="00CA63EE" w:rsidRPr="00CA63EE" w:rsidRDefault="00CA63EE" w:rsidP="00CA63EE">
      <w:pPr>
        <w:jc w:val="both"/>
        <w:rPr>
          <w:rFonts w:ascii="Verdana" w:hAnsi="Verdana"/>
          <w:bCs/>
          <w:sz w:val="20"/>
        </w:rPr>
      </w:pPr>
      <w:r w:rsidRPr="00CA63EE">
        <w:rPr>
          <w:rFonts w:ascii="Verdana" w:hAnsi="Verdana"/>
          <w:bCs/>
          <w:sz w:val="20"/>
        </w:rPr>
        <w:t>a)   Riesgo de crédito o crediticio, el cual se refiere a la potencial pérdida o minusvalía ocasionada por la falta de pago total o parcial de una Contraparte o del emisor, de los compromisos establecidos en el prospecto de emisión o contrato de inversión de un Activo Objeto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b)   Riesgo de liquidez, el cual se refiere a la potencial pérdida o minusvalía ocasionada por la venta anticipada o forzosa de un Activo Objeto de Inversión realizada a descuentos inusuales para hacer frente a obligaciones, o bien, por el hecho de que una </w:t>
      </w:r>
      <w:r w:rsidRPr="00CA63EE">
        <w:rPr>
          <w:rFonts w:ascii="Verdana" w:hAnsi="Verdana"/>
          <w:bCs/>
          <w:sz w:val="20"/>
        </w:rPr>
        <w:lastRenderedPageBreak/>
        <w:t>posición no pueda ser oportunamente enajenada, adquirida o cubierta, esta última mediante el establecimiento de una posición contraria equivalente, y</w:t>
      </w:r>
    </w:p>
    <w:p w:rsidR="00CA63EE" w:rsidRPr="00CA63EE" w:rsidRDefault="00CA63EE" w:rsidP="00CA63EE">
      <w:pPr>
        <w:jc w:val="both"/>
        <w:rPr>
          <w:rFonts w:ascii="Verdana" w:hAnsi="Verdana"/>
          <w:bCs/>
          <w:sz w:val="20"/>
        </w:rPr>
      </w:pPr>
      <w:r w:rsidRPr="00CA63EE">
        <w:rPr>
          <w:rFonts w:ascii="Verdana" w:hAnsi="Verdana"/>
          <w:bCs/>
          <w:sz w:val="20"/>
        </w:rPr>
        <w:t>c)   Riesgo de mercado, el cual se refiere a la potencial pérdida o minusvalía ocasionada por cambios en los Factores de Riesgo que inciden sobre la valuación de los Activos Objeto de Inversión.</w:t>
      </w:r>
    </w:p>
    <w:p w:rsidR="00CA63EE" w:rsidRPr="00CA63EE" w:rsidRDefault="00CA63EE" w:rsidP="00CA63EE">
      <w:pPr>
        <w:jc w:val="both"/>
        <w:rPr>
          <w:rFonts w:ascii="Verdana" w:hAnsi="Verdana"/>
          <w:bCs/>
          <w:sz w:val="20"/>
        </w:rPr>
      </w:pPr>
      <w:r w:rsidRPr="00CA63EE">
        <w:rPr>
          <w:rFonts w:ascii="Verdana" w:hAnsi="Verdana"/>
          <w:bCs/>
          <w:sz w:val="20"/>
        </w:rPr>
        <w:t>XLIX.      Sistema Integral Automatizado, al sistema informático o conjunto de módulos interconectados de forma automatizada utilizados por la Administradora para realizar las actividades descritas en las presentes Disposiciones. Dicho sistema o conjunto de módulos deberán permitir realizar las siguientes actividades:</w:t>
      </w:r>
    </w:p>
    <w:p w:rsidR="00CA63EE" w:rsidRPr="00CA63EE" w:rsidRDefault="00CA63EE" w:rsidP="00CA63EE">
      <w:pPr>
        <w:jc w:val="both"/>
        <w:rPr>
          <w:rFonts w:ascii="Verdana" w:hAnsi="Verdana"/>
          <w:bCs/>
          <w:sz w:val="20"/>
        </w:rPr>
      </w:pPr>
      <w:r w:rsidRPr="00CA63EE">
        <w:rPr>
          <w:rFonts w:ascii="Verdana" w:hAnsi="Verdana"/>
          <w:bCs/>
          <w:sz w:val="20"/>
        </w:rPr>
        <w:t>a)   Adquisición y enajenación de Activos Objeto de Inversión;</w:t>
      </w:r>
    </w:p>
    <w:p w:rsidR="00CA63EE" w:rsidRPr="00CA63EE" w:rsidRDefault="00CA63EE" w:rsidP="00CA63EE">
      <w:pPr>
        <w:jc w:val="both"/>
        <w:rPr>
          <w:rFonts w:ascii="Verdana" w:hAnsi="Verdana"/>
          <w:bCs/>
          <w:sz w:val="20"/>
        </w:rPr>
      </w:pPr>
      <w:r w:rsidRPr="00CA63EE">
        <w:rPr>
          <w:rFonts w:ascii="Verdana" w:hAnsi="Verdana"/>
          <w:bCs/>
          <w:sz w:val="20"/>
        </w:rPr>
        <w:t>b)   Registro en línea de Activos Objeto de Inversión;</w:t>
      </w:r>
    </w:p>
    <w:p w:rsidR="00CA63EE" w:rsidRPr="00CA63EE" w:rsidRDefault="00CA63EE" w:rsidP="00CA63EE">
      <w:pPr>
        <w:jc w:val="both"/>
        <w:rPr>
          <w:rFonts w:ascii="Verdana" w:hAnsi="Verdana"/>
          <w:bCs/>
          <w:sz w:val="20"/>
        </w:rPr>
      </w:pPr>
      <w:r w:rsidRPr="00CA63EE">
        <w:rPr>
          <w:rFonts w:ascii="Verdana" w:hAnsi="Verdana"/>
          <w:bCs/>
          <w:sz w:val="20"/>
        </w:rPr>
        <w:t>c)   Administración de riesgos;</w:t>
      </w:r>
    </w:p>
    <w:p w:rsidR="00CA63EE" w:rsidRPr="00CA63EE" w:rsidRDefault="00CA63EE" w:rsidP="00CA63EE">
      <w:pPr>
        <w:jc w:val="both"/>
        <w:rPr>
          <w:rFonts w:ascii="Verdana" w:hAnsi="Verdana"/>
          <w:bCs/>
          <w:sz w:val="20"/>
        </w:rPr>
      </w:pPr>
      <w:r w:rsidRPr="00CA63EE">
        <w:rPr>
          <w:rFonts w:ascii="Verdana" w:hAnsi="Verdana"/>
          <w:bCs/>
          <w:sz w:val="20"/>
        </w:rPr>
        <w:t>d)   Confirmación de operaciones;</w:t>
      </w:r>
    </w:p>
    <w:p w:rsidR="00CA63EE" w:rsidRPr="00CA63EE" w:rsidRDefault="00CA63EE" w:rsidP="00CA63EE">
      <w:pPr>
        <w:jc w:val="both"/>
        <w:rPr>
          <w:rFonts w:ascii="Verdana" w:hAnsi="Verdana"/>
          <w:bCs/>
          <w:sz w:val="20"/>
        </w:rPr>
      </w:pPr>
      <w:r w:rsidRPr="00CA63EE">
        <w:rPr>
          <w:rFonts w:ascii="Verdana" w:hAnsi="Verdana"/>
          <w:bCs/>
          <w:sz w:val="20"/>
        </w:rPr>
        <w:t>e)   Asignación de operaciones;</w:t>
      </w:r>
    </w:p>
    <w:p w:rsidR="00CA63EE" w:rsidRPr="00CA63EE" w:rsidRDefault="00CA63EE" w:rsidP="00CA63EE">
      <w:pPr>
        <w:jc w:val="both"/>
        <w:rPr>
          <w:rFonts w:ascii="Verdana" w:hAnsi="Verdana"/>
          <w:bCs/>
          <w:sz w:val="20"/>
        </w:rPr>
      </w:pPr>
      <w:r w:rsidRPr="00CA63EE">
        <w:rPr>
          <w:rFonts w:ascii="Verdana" w:hAnsi="Verdana"/>
          <w:bCs/>
          <w:sz w:val="20"/>
        </w:rPr>
        <w:t>f)    Liquidación de operaciones;</w:t>
      </w:r>
    </w:p>
    <w:p w:rsidR="00CA63EE" w:rsidRPr="00CA63EE" w:rsidRDefault="00CA63EE" w:rsidP="00CA63EE">
      <w:pPr>
        <w:jc w:val="both"/>
        <w:rPr>
          <w:rFonts w:ascii="Verdana" w:hAnsi="Verdana"/>
          <w:bCs/>
          <w:sz w:val="20"/>
        </w:rPr>
      </w:pPr>
      <w:r w:rsidRPr="00CA63EE">
        <w:rPr>
          <w:rFonts w:ascii="Verdana" w:hAnsi="Verdana"/>
          <w:bCs/>
          <w:sz w:val="20"/>
        </w:rPr>
        <w:t>g)   </w:t>
      </w:r>
      <w:proofErr w:type="gramStart"/>
      <w:r w:rsidRPr="00CA63EE">
        <w:rPr>
          <w:rFonts w:ascii="Verdana" w:hAnsi="Verdana"/>
          <w:bCs/>
          <w:sz w:val="20"/>
        </w:rPr>
        <w:t>Registro</w:t>
      </w:r>
      <w:proofErr w:type="gramEnd"/>
      <w:r w:rsidRPr="00CA63EE">
        <w:rPr>
          <w:rFonts w:ascii="Verdana" w:hAnsi="Verdana"/>
          <w:bCs/>
          <w:sz w:val="20"/>
        </w:rPr>
        <w:t xml:space="preserve"> contable de la Sociedad de Inversión;</w:t>
      </w:r>
    </w:p>
    <w:p w:rsidR="00CA63EE" w:rsidRPr="00CA63EE" w:rsidRDefault="00CA63EE" w:rsidP="00CA63EE">
      <w:pPr>
        <w:jc w:val="both"/>
        <w:rPr>
          <w:rFonts w:ascii="Verdana" w:hAnsi="Verdana"/>
          <w:bCs/>
          <w:sz w:val="20"/>
        </w:rPr>
      </w:pPr>
      <w:r w:rsidRPr="00CA63EE">
        <w:rPr>
          <w:rFonts w:ascii="Verdana" w:hAnsi="Verdana"/>
          <w:bCs/>
          <w:sz w:val="20"/>
        </w:rPr>
        <w:t>h)   Generación de estados financieros de la Sociedad de Inversión, y</w:t>
      </w:r>
    </w:p>
    <w:p w:rsidR="00CA63EE" w:rsidRPr="00CA63EE" w:rsidRDefault="00CA63EE" w:rsidP="00CA63EE">
      <w:pPr>
        <w:jc w:val="both"/>
        <w:rPr>
          <w:rFonts w:ascii="Verdana" w:hAnsi="Verdana"/>
          <w:bCs/>
          <w:sz w:val="20"/>
        </w:rPr>
      </w:pPr>
      <w:r w:rsidRPr="00CA63EE">
        <w:rPr>
          <w:rFonts w:ascii="Verdana" w:hAnsi="Verdana"/>
          <w:bCs/>
          <w:sz w:val="20"/>
        </w:rPr>
        <w:t>i)    Las demás que se requieran para atender las necesidades en la gestión integral de las carteras de inversión de las Sociedades de Inversión operadas por la Administradora;</w:t>
      </w:r>
    </w:p>
    <w:p w:rsidR="00CA63EE" w:rsidRPr="00CA63EE" w:rsidRDefault="00CA63EE" w:rsidP="00CA63EE">
      <w:pPr>
        <w:jc w:val="both"/>
        <w:rPr>
          <w:rFonts w:ascii="Verdana" w:hAnsi="Verdana"/>
          <w:bCs/>
          <w:sz w:val="20"/>
        </w:rPr>
      </w:pPr>
      <w:r w:rsidRPr="00CA63EE">
        <w:rPr>
          <w:rFonts w:ascii="Verdana" w:hAnsi="Verdana"/>
          <w:bCs/>
          <w:sz w:val="20"/>
        </w:rPr>
        <w:t>             Asimismo, el Sistema Integral Automatizado deberá:</w:t>
      </w:r>
    </w:p>
    <w:p w:rsidR="00CA63EE" w:rsidRPr="00CA63EE" w:rsidRDefault="00CA63EE" w:rsidP="00CA63EE">
      <w:pPr>
        <w:jc w:val="both"/>
        <w:rPr>
          <w:rFonts w:ascii="Verdana" w:hAnsi="Verdana"/>
          <w:bCs/>
          <w:sz w:val="20"/>
        </w:rPr>
      </w:pPr>
      <w:r w:rsidRPr="00CA63EE">
        <w:rPr>
          <w:rFonts w:ascii="Verdana" w:hAnsi="Verdana"/>
          <w:bCs/>
          <w:sz w:val="20"/>
        </w:rPr>
        <w:t>i.    Permitir que los accesos a los servicios del Sistema Integral Automatizado se encuentren restringidos por usuarios y perfiles. Las políticas de seguridad en el acceso deberán estar documentadas y ser susceptibles de auditoría;</w:t>
      </w:r>
    </w:p>
    <w:p w:rsidR="00CA63EE" w:rsidRPr="00CA63EE" w:rsidRDefault="00CA63EE" w:rsidP="00CA63EE">
      <w:pPr>
        <w:jc w:val="both"/>
        <w:rPr>
          <w:rFonts w:ascii="Verdana" w:hAnsi="Verdana"/>
          <w:bCs/>
          <w:sz w:val="20"/>
        </w:rPr>
      </w:pPr>
      <w:r w:rsidRPr="00CA63EE">
        <w:rPr>
          <w:rFonts w:ascii="Verdana" w:hAnsi="Verdana"/>
          <w:bCs/>
          <w:sz w:val="20"/>
        </w:rPr>
        <w:t>ii.    Contar con la evidencia inviolable, incluyendo fecha y hora, que se encuentre registrada en el mismo sistema, conocida en la práctica como "huellas de auditoría", la cual permita identificar a los usuarios que participaron en las actividades descritas en los incisos a) al i) de la presente fracción y en sus respectivas funciones tales como, </w:t>
      </w:r>
      <w:proofErr w:type="spellStart"/>
      <w:r w:rsidRPr="00CA63EE">
        <w:rPr>
          <w:rFonts w:ascii="Verdana" w:hAnsi="Verdana"/>
          <w:bCs/>
          <w:sz w:val="20"/>
        </w:rPr>
        <w:t>parametrización</w:t>
      </w:r>
      <w:proofErr w:type="spellEnd"/>
      <w:r w:rsidRPr="00CA63EE">
        <w:rPr>
          <w:rFonts w:ascii="Verdana" w:hAnsi="Verdana"/>
          <w:bCs/>
          <w:sz w:val="20"/>
        </w:rPr>
        <w:t xml:space="preserve">, análisis previos a la operación que corresponda, </w:t>
      </w:r>
      <w:proofErr w:type="spellStart"/>
      <w:r w:rsidRPr="00CA63EE">
        <w:rPr>
          <w:rFonts w:ascii="Verdana" w:hAnsi="Verdana"/>
          <w:bCs/>
          <w:sz w:val="20"/>
        </w:rPr>
        <w:t>asignación,confirmación</w:t>
      </w:r>
      <w:proofErr w:type="spellEnd"/>
      <w:r w:rsidRPr="00CA63EE">
        <w:rPr>
          <w:rFonts w:ascii="Verdana" w:hAnsi="Verdana"/>
          <w:bCs/>
          <w:sz w:val="20"/>
        </w:rPr>
        <w:t>, liquidación, registro contable, generación de estados financieros, consultas, e integración de insumos;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Contar con soporte técnico permanente y oportuno para resolver problemas técnicos, operativos o de modelación para el Sistema Integral Automatizado, y</w:t>
      </w:r>
    </w:p>
    <w:p w:rsidR="00CA63EE" w:rsidRPr="00CA63EE" w:rsidRDefault="00CA63EE" w:rsidP="00CA63EE">
      <w:pPr>
        <w:jc w:val="both"/>
        <w:rPr>
          <w:rFonts w:ascii="Verdana" w:hAnsi="Verdana"/>
          <w:bCs/>
          <w:sz w:val="20"/>
        </w:rPr>
      </w:pPr>
      <w:r w:rsidRPr="00CA63EE">
        <w:rPr>
          <w:rFonts w:ascii="Verdana" w:hAnsi="Verdana"/>
          <w:bCs/>
          <w:sz w:val="20"/>
        </w:rPr>
        <w:lastRenderedPageBreak/>
        <w:t>iv.   Contar con una estructura de base de datos que permita dar cumplimiento con lo dispuesto en las presentes Disposiciones y en las Disposiciones de carácter general sobre el registro de la contabilidad, elaboración y presentación de estados financieros a las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L.          Tipo de Cambio, al tipo de cambio entre la moneda nacional y el dólar de los Estados Unidos de América, proporcionado por los Proveedores de Precios;</w:t>
      </w:r>
    </w:p>
    <w:p w:rsidR="00CA63EE" w:rsidRPr="00CA63EE" w:rsidRDefault="00CA63EE" w:rsidP="00CA63EE">
      <w:pPr>
        <w:jc w:val="both"/>
        <w:rPr>
          <w:rFonts w:ascii="Verdana" w:hAnsi="Verdana"/>
          <w:bCs/>
          <w:sz w:val="20"/>
        </w:rPr>
      </w:pPr>
      <w:r w:rsidRPr="00CA63EE">
        <w:rPr>
          <w:rFonts w:ascii="Verdana" w:hAnsi="Verdana"/>
          <w:bCs/>
          <w:sz w:val="20"/>
        </w:rPr>
        <w:t>LI.          Tipo de Cambio Cruzado de Valuación, al tipo de cambio aplicable entre dos Divisas diferentes del peso, proporcionado por los Proveedores de Precios;</w:t>
      </w:r>
    </w:p>
    <w:p w:rsidR="00CA63EE" w:rsidRPr="00CA63EE" w:rsidRDefault="00CA63EE" w:rsidP="00CA63EE">
      <w:pPr>
        <w:jc w:val="both"/>
        <w:rPr>
          <w:rFonts w:ascii="Verdana" w:hAnsi="Verdana"/>
          <w:bCs/>
          <w:sz w:val="20"/>
        </w:rPr>
      </w:pPr>
      <w:r w:rsidRPr="00CA63EE">
        <w:rPr>
          <w:rFonts w:ascii="Verdana" w:hAnsi="Verdana"/>
          <w:bCs/>
          <w:sz w:val="20"/>
        </w:rPr>
        <w:t xml:space="preserve">LII.         Tipo de Cambio </w:t>
      </w:r>
      <w:proofErr w:type="spellStart"/>
      <w:r w:rsidRPr="00CA63EE">
        <w:rPr>
          <w:rFonts w:ascii="Verdana" w:hAnsi="Verdana"/>
          <w:bCs/>
          <w:sz w:val="20"/>
        </w:rPr>
        <w:t>Fix</w:t>
      </w:r>
      <w:proofErr w:type="spellEnd"/>
      <w:r w:rsidRPr="00CA63EE">
        <w:rPr>
          <w:rFonts w:ascii="Verdana" w:hAnsi="Verdana"/>
          <w:bCs/>
          <w:sz w:val="20"/>
        </w:rPr>
        <w:t>, al tipo de cambio entre el peso y el dólar de los Estados Unidos de América, empleado para solventar obligaciones en dólares de los Estados Unidos de América pagaderas en los Estados Unidos Mexicanos, determinado por el Banco de México;</w:t>
      </w:r>
    </w:p>
    <w:p w:rsidR="00CA63EE" w:rsidRPr="00CA63EE" w:rsidRDefault="00CA63EE" w:rsidP="00CA63EE">
      <w:pPr>
        <w:jc w:val="both"/>
        <w:rPr>
          <w:rFonts w:ascii="Verdana" w:hAnsi="Verdana"/>
          <w:bCs/>
          <w:sz w:val="20"/>
        </w:rPr>
      </w:pPr>
      <w:r w:rsidRPr="00CA63EE">
        <w:rPr>
          <w:rFonts w:ascii="Verdana" w:hAnsi="Verdana"/>
          <w:bCs/>
          <w:sz w:val="20"/>
        </w:rPr>
        <w:t>LIII.        UAIR, a la Unidad de Administración Integral de Riesgos de la Administradora especializada en materia de riesgos financieros en la que se apoyan los Comités de Riesgos Financieros y los Comités de Inversión de las Sociedades de Inversión para llevar a cabo la Administración del Riesgo Financiero, de conformidad con las presentes Disposiciones y con las Reglas Prudenciales en materia de administración de riesgos emitidas por la Comisión;</w:t>
      </w:r>
    </w:p>
    <w:p w:rsidR="00CA63EE" w:rsidRPr="00CA63EE" w:rsidRDefault="00CA63EE" w:rsidP="00CA63EE">
      <w:pPr>
        <w:jc w:val="both"/>
        <w:rPr>
          <w:rFonts w:ascii="Verdana" w:hAnsi="Verdana"/>
          <w:bCs/>
          <w:sz w:val="20"/>
        </w:rPr>
      </w:pPr>
      <w:r w:rsidRPr="00CA63EE">
        <w:rPr>
          <w:rFonts w:ascii="Verdana" w:hAnsi="Verdana"/>
          <w:bCs/>
          <w:sz w:val="20"/>
        </w:rPr>
        <w:t>LIV.        Últimos Precios Actualizados para Valuación Conocidos, a los precios para la valuación de Activos Objeto de Inversión que se hayan dado a conocer por los Proveedores de Precios, las Sociedades Valuadoras, los Custodios, y en su caso, por la propia Administradora, según corresponda de conformidad con las presentes Disposiciones, determinados el día hábil inmediato anterior al Día de Valuación;</w:t>
      </w:r>
    </w:p>
    <w:p w:rsidR="00CA63EE" w:rsidRPr="00CA63EE" w:rsidRDefault="00CA63EE" w:rsidP="00CA63EE">
      <w:pPr>
        <w:jc w:val="both"/>
        <w:rPr>
          <w:rFonts w:ascii="Verdana" w:hAnsi="Verdana"/>
          <w:bCs/>
          <w:sz w:val="20"/>
        </w:rPr>
      </w:pPr>
      <w:r w:rsidRPr="00CA63EE">
        <w:rPr>
          <w:rFonts w:ascii="Verdana" w:hAnsi="Verdana"/>
          <w:bCs/>
          <w:sz w:val="20"/>
        </w:rPr>
        <w:t>LV.         Valor Delta Equivalente, al monto en moneda nacional o Divisa del Valor Delta para las Posiciones en Derivados equivalente a la posición directa en el subyacente en el valor a mercado, y</w:t>
      </w:r>
    </w:p>
    <w:p w:rsidR="00CA63EE" w:rsidRPr="00CA63EE" w:rsidRDefault="00CA63EE" w:rsidP="00CA63EE">
      <w:pPr>
        <w:jc w:val="both"/>
        <w:rPr>
          <w:rFonts w:ascii="Verdana" w:hAnsi="Verdana"/>
          <w:bCs/>
          <w:sz w:val="20"/>
        </w:rPr>
      </w:pPr>
      <w:r w:rsidRPr="00CA63EE">
        <w:rPr>
          <w:rFonts w:ascii="Verdana" w:hAnsi="Verdana"/>
          <w:bCs/>
          <w:sz w:val="20"/>
        </w:rPr>
        <w:t xml:space="preserve">LVI.        Valor Delta para las Posiciones en Derivados, al cambio en el valor </w:t>
      </w:r>
      <w:proofErr w:type="gramStart"/>
      <w:r w:rsidRPr="00CA63EE">
        <w:rPr>
          <w:rFonts w:ascii="Verdana" w:hAnsi="Verdana"/>
          <w:bCs/>
          <w:sz w:val="20"/>
        </w:rPr>
        <w:t>a</w:t>
      </w:r>
      <w:proofErr w:type="gramEnd"/>
      <w:r w:rsidRPr="00CA63EE">
        <w:rPr>
          <w:rFonts w:ascii="Verdana" w:hAnsi="Verdana"/>
          <w:bCs/>
          <w:sz w:val="20"/>
        </w:rPr>
        <w:t xml:space="preserve"> mercado de la posición cuando cambie el valor del subyacente.</w:t>
      </w:r>
    </w:p>
    <w:p w:rsidR="00CA63EE" w:rsidRPr="00CA63EE" w:rsidRDefault="00CA63EE" w:rsidP="00CA63EE">
      <w:pPr>
        <w:jc w:val="both"/>
        <w:rPr>
          <w:rFonts w:ascii="Verdana" w:hAnsi="Verdana"/>
          <w:bCs/>
          <w:sz w:val="20"/>
        </w:rPr>
      </w:pPr>
      <w:r w:rsidRPr="00CA63EE">
        <w:rPr>
          <w:rFonts w:ascii="Verdana" w:hAnsi="Verdana"/>
          <w:b/>
          <w:bCs/>
          <w:sz w:val="20"/>
        </w:rPr>
        <w:t>TÍTULO II</w:t>
      </w:r>
    </w:p>
    <w:p w:rsidR="00CA63EE" w:rsidRPr="00CA63EE" w:rsidRDefault="00CA63EE" w:rsidP="00CA63EE">
      <w:pPr>
        <w:jc w:val="both"/>
        <w:rPr>
          <w:rFonts w:ascii="Verdana" w:hAnsi="Verdana"/>
          <w:bCs/>
          <w:sz w:val="20"/>
        </w:rPr>
      </w:pPr>
      <w:r w:rsidRPr="00CA63EE">
        <w:rPr>
          <w:rFonts w:ascii="Verdana" w:hAnsi="Verdana"/>
          <w:b/>
          <w:bCs/>
          <w:sz w:val="20"/>
        </w:rPr>
        <w:t>DE LA ADMINISTRACIÓN DE RIESGOS FINANCIEROS DE LA SOCIEDAD DE INVERSIÓN</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DEL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t>Artículo 3.- </w:t>
      </w:r>
      <w:r w:rsidRPr="00CA63EE">
        <w:rPr>
          <w:rFonts w:ascii="Verdana" w:hAnsi="Verdana"/>
          <w:bCs/>
          <w:sz w:val="20"/>
        </w:rPr>
        <w:t xml:space="preserve">El Comité de Riesgos Financieros de cada Sociedad de Inversión deberá definir, aprobar y dar seguimiento, dentro de los límites autorizados por las Disposiciones de carácter general que establecen el régimen de inversión al que deberán sujetarse las Sociedades de Inversión y las Reglas Prudenciales en materia de </w:t>
      </w:r>
      <w:r w:rsidRPr="00CA63EE">
        <w:rPr>
          <w:rFonts w:ascii="Verdana" w:hAnsi="Verdana"/>
          <w:bCs/>
          <w:sz w:val="20"/>
        </w:rPr>
        <w:lastRenderedPageBreak/>
        <w:t>administración de riesgos que al efecto establezca la Comisión, contando con el visto bueno del Consejero Independiente que sea miembro de dicho Comité, a lo siguiente:</w:t>
      </w:r>
    </w:p>
    <w:p w:rsidR="00CA63EE" w:rsidRPr="00CA63EE" w:rsidRDefault="00CA63EE" w:rsidP="00CA63EE">
      <w:pPr>
        <w:jc w:val="both"/>
        <w:rPr>
          <w:rFonts w:ascii="Verdana" w:hAnsi="Verdana"/>
          <w:bCs/>
          <w:sz w:val="20"/>
        </w:rPr>
      </w:pPr>
      <w:r w:rsidRPr="00CA63EE">
        <w:rPr>
          <w:rFonts w:ascii="Verdana" w:hAnsi="Verdana"/>
          <w:bCs/>
          <w:sz w:val="20"/>
        </w:rPr>
        <w:t>I.           El establecimiento explícito de políticas cuyo objetivo sea administrar prudentemente los recursos de los Trabajadores. Para tales efectos deberá dar seguimiento a los Riesgos Financieros a que se encuentra expuesta la cartera de inversión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II.          Límites Prudenciales aplicables a las inversiones del Activo Total de la Sociedad de Inversión en Activos Objeto de Inversión, directamente o, a través de Vehículos o Vehículos de Inversión Inmobiliaria. Dichos límites podrán aplicarse a los Factores de Riesgos, a cada Clase de Activo, a cada Divisa o a las agrupaciones de Activos Objeto de Inversión con riesgos similares definidos por el Comité de Riesgos Financieros, así como podrán aplicarse como límites adicionales a los previstos en las Disposiciones de carácter general que establecen el régimen de inversión al que deberán sujetarse las Sociedades de Inversión o sub-límites de estos. El Comité de Riesgos Financieros podrá definir los Límites Prudenciales a los que se refiere la presente fracción con base en sus propias políticas de administración de riesgos y en las mejores prácticas internacionales observadas en el mercado. A efecto de determinar los presentes límites, el Comité de Riesgos Financieros deberá considerar la complejidad de la cartera de inversión de la Sociedad de Inversión, así como las capacidades técnicas, humanas y los procesos definidos por la Administradora para gestionar las carteras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III.          Límites Prudenciales de exposición máxima a cada Contraparte y a cada emisor, complementarios a los previstos en las Disposiciones que establecen el régimen de inversión de las Sociedades de Inversión. Para tales fines, dichos límites considerarán el plazo, el subyacente al que se adquiere exposición y la Clase de Activo. Se deberá considerar la calidad crediticia del emisor o de la Contraparte, con base en análisis internos u opiniones de terceros especialistas en la materia sobre los factores fundamentales que determinan la viabilidad del emisor o de </w:t>
      </w:r>
      <w:proofErr w:type="spellStart"/>
      <w:r w:rsidRPr="00CA63EE">
        <w:rPr>
          <w:rFonts w:ascii="Verdana" w:hAnsi="Verdana"/>
          <w:bCs/>
          <w:sz w:val="20"/>
        </w:rPr>
        <w:t>laContraparte</w:t>
      </w:r>
      <w:proofErr w:type="spellEnd"/>
      <w:r w:rsidRPr="00CA63EE">
        <w:rPr>
          <w:rFonts w:ascii="Verdana" w:hAnsi="Verdana"/>
          <w:bCs/>
          <w:sz w:val="20"/>
        </w:rPr>
        <w:t xml:space="preserve">. Dichos límites se deberán definir para cada Clase de Activo con la que la Sociedad de Inversión financie o mantenga exposición con la entidad en su carácter de emisor y de Contraparte. Asimismo, deberá preverse un límite agregado máximo que abarque simultáneamente todas las Clases de Activos autorizados para financiar o mantener exposición con la entidad en su carácter de emisor y Contraparte. Dichos límites aplicarán para operaciones directas, a través de Vehículos o Vehículos de Inversión Inmobiliaria y considerarán también </w:t>
      </w:r>
      <w:proofErr w:type="spellStart"/>
      <w:r w:rsidRPr="00CA63EE">
        <w:rPr>
          <w:rFonts w:ascii="Verdana" w:hAnsi="Verdana"/>
          <w:bCs/>
          <w:sz w:val="20"/>
        </w:rPr>
        <w:t>lasgarantías</w:t>
      </w:r>
      <w:proofErr w:type="spellEnd"/>
      <w:r w:rsidRPr="00CA63EE">
        <w:rPr>
          <w:rFonts w:ascii="Verdana" w:hAnsi="Verdana"/>
          <w:bCs/>
          <w:sz w:val="20"/>
        </w:rPr>
        <w:t xml:space="preserve"> recibidas por la Sociedad de Inversión. El Comité de Riesgos Financieros podrá definir los Límites Prudenciales a los que se refiere la presente fracción con base en sus propias políticas de administración de riesgos y en las mejores prácticas internacionales observadas en el mercado;</w:t>
      </w:r>
    </w:p>
    <w:p w:rsidR="00CA63EE" w:rsidRPr="00CA63EE" w:rsidRDefault="00CA63EE" w:rsidP="00CA63EE">
      <w:pPr>
        <w:jc w:val="both"/>
        <w:rPr>
          <w:rFonts w:ascii="Verdana" w:hAnsi="Verdana"/>
          <w:bCs/>
          <w:sz w:val="20"/>
        </w:rPr>
      </w:pPr>
      <w:r w:rsidRPr="00CA63EE">
        <w:rPr>
          <w:rFonts w:ascii="Verdana" w:hAnsi="Verdana"/>
          <w:bCs/>
          <w:sz w:val="20"/>
        </w:rPr>
        <w:t xml:space="preserve">IV.         Medidas para evaluar el apalancamiento máximo de la cartera de inversión, adicionales a las previstas en las Disposiciones de carácter general que establecen el régimen de inversión al que deberán sujetarse las Sociedades de Inversión, que deberá observar cada Sociedad de Inversión. Asimismo, el Comité de Riesgos </w:t>
      </w:r>
      <w:r w:rsidRPr="00CA63EE">
        <w:rPr>
          <w:rFonts w:ascii="Verdana" w:hAnsi="Verdana"/>
          <w:bCs/>
          <w:sz w:val="20"/>
        </w:rPr>
        <w:lastRenderedPageBreak/>
        <w:t>Financieros podrá definir medidas de apalancamiento por Clase de Activo, por Factor de Riesgo y por subyacente;</w:t>
      </w:r>
    </w:p>
    <w:p w:rsidR="00CA63EE" w:rsidRPr="00CA63EE" w:rsidRDefault="00CA63EE" w:rsidP="00CA63EE">
      <w:pPr>
        <w:jc w:val="both"/>
        <w:rPr>
          <w:rFonts w:ascii="Verdana" w:hAnsi="Verdana"/>
          <w:bCs/>
          <w:sz w:val="20"/>
        </w:rPr>
      </w:pPr>
      <w:r w:rsidRPr="00CA63EE">
        <w:rPr>
          <w:rFonts w:ascii="Verdana" w:hAnsi="Verdana"/>
          <w:bCs/>
          <w:sz w:val="20"/>
        </w:rPr>
        <w:t>V.          Políticas para recibir y entregar garantías que respalden operaciones autorizadas con Derivados, préstamo de valores y reportos. Dichas políticas deberán considerar el tipo de emisor de la garantía y su calidad crediticia con base en factores fundamentales que determinen su viabilidad, así como la estructura legal de la ejecución de garantías. Respecto a la garantía, las políticas deberán tomar en consideración el plazo a vencimiento, la liquidez, el descuento a aplicar y los mercados en que puede ser enajenada. Asimismo, las políticas deberán establecer lo siguiente:</w:t>
      </w:r>
    </w:p>
    <w:p w:rsidR="00CA63EE" w:rsidRPr="00CA63EE" w:rsidRDefault="00CA63EE" w:rsidP="00CA63EE">
      <w:pPr>
        <w:jc w:val="both"/>
        <w:rPr>
          <w:rFonts w:ascii="Verdana" w:hAnsi="Verdana"/>
          <w:bCs/>
          <w:sz w:val="20"/>
        </w:rPr>
      </w:pPr>
      <w:r w:rsidRPr="00CA63EE">
        <w:rPr>
          <w:rFonts w:ascii="Verdana" w:hAnsi="Verdana"/>
          <w:bCs/>
          <w:sz w:val="20"/>
        </w:rPr>
        <w:t>a)   Límites Prudenciales, y las medidas a emplear, referentes a la exposición máxima que la Sociedad de Inversión puede tener a través de cada una de las siguientes operaciones:</w:t>
      </w:r>
    </w:p>
    <w:p w:rsidR="00CA63EE" w:rsidRPr="00CA63EE" w:rsidRDefault="00CA63EE" w:rsidP="00CA63EE">
      <w:pPr>
        <w:jc w:val="both"/>
        <w:rPr>
          <w:rFonts w:ascii="Verdana" w:hAnsi="Verdana"/>
          <w:bCs/>
          <w:sz w:val="20"/>
        </w:rPr>
      </w:pPr>
      <w:r w:rsidRPr="00CA63EE">
        <w:rPr>
          <w:rFonts w:ascii="Verdana" w:hAnsi="Verdana"/>
          <w:bCs/>
          <w:sz w:val="20"/>
        </w:rPr>
        <w:t>i.    Derivados;</w:t>
      </w:r>
    </w:p>
    <w:p w:rsidR="00CA63EE" w:rsidRPr="00CA63EE" w:rsidRDefault="00CA63EE" w:rsidP="00CA63EE">
      <w:pPr>
        <w:jc w:val="both"/>
        <w:rPr>
          <w:rFonts w:ascii="Verdana" w:hAnsi="Verdana"/>
          <w:bCs/>
          <w:sz w:val="20"/>
        </w:rPr>
      </w:pPr>
      <w:r w:rsidRPr="00CA63EE">
        <w:rPr>
          <w:rFonts w:ascii="Verdana" w:hAnsi="Verdana"/>
          <w:bCs/>
          <w:sz w:val="20"/>
        </w:rPr>
        <w:t>ii.    Préstamo de valores, y</w:t>
      </w:r>
    </w:p>
    <w:p w:rsidR="00CA63EE" w:rsidRPr="00CA63EE" w:rsidRDefault="00CA63EE" w:rsidP="00CA63EE">
      <w:pPr>
        <w:jc w:val="both"/>
        <w:rPr>
          <w:rFonts w:ascii="Verdana" w:hAnsi="Verdana"/>
          <w:bCs/>
          <w:sz w:val="20"/>
        </w:rPr>
      </w:pPr>
      <w:r w:rsidRPr="00CA63EE">
        <w:rPr>
          <w:rFonts w:ascii="Verdana" w:hAnsi="Verdana"/>
          <w:bCs/>
          <w:sz w:val="20"/>
        </w:rPr>
        <w:t>iii.   Reporto;</w:t>
      </w:r>
    </w:p>
    <w:p w:rsidR="00CA63EE" w:rsidRPr="00CA63EE" w:rsidRDefault="00CA63EE" w:rsidP="00CA63EE">
      <w:pPr>
        <w:jc w:val="both"/>
        <w:rPr>
          <w:rFonts w:ascii="Verdana" w:hAnsi="Verdana"/>
          <w:bCs/>
          <w:sz w:val="20"/>
        </w:rPr>
      </w:pPr>
      <w:r w:rsidRPr="00CA63EE">
        <w:rPr>
          <w:rFonts w:ascii="Verdana" w:hAnsi="Verdana"/>
          <w:bCs/>
          <w:sz w:val="20"/>
        </w:rPr>
        <w:t>b)   Límites Prudenciales para la Sociedad de Inversión para cada tipo de subyacente autorizado en operaciones con Derivados, los cuales podrán ser agrupados conforme lo defina el Comité de Riesgos Financieros, y</w:t>
      </w:r>
    </w:p>
    <w:p w:rsidR="00CA63EE" w:rsidRPr="00CA63EE" w:rsidRDefault="00CA63EE" w:rsidP="00CA63EE">
      <w:pPr>
        <w:jc w:val="both"/>
        <w:rPr>
          <w:rFonts w:ascii="Verdana" w:hAnsi="Verdana"/>
          <w:bCs/>
          <w:sz w:val="20"/>
        </w:rPr>
      </w:pPr>
      <w:r w:rsidRPr="00CA63EE">
        <w:rPr>
          <w:rFonts w:ascii="Verdana" w:hAnsi="Verdana"/>
          <w:bCs/>
          <w:sz w:val="20"/>
        </w:rPr>
        <w:t>c)   Límite Prudencial agregado de exposición de la Sociedad de Inversión aplicable a cada entidad emisora, incluyendo todos los Activos Objetos de Inversión que emita, así como todas las operaciones en las que sea Contraparte;</w:t>
      </w:r>
    </w:p>
    <w:p w:rsidR="00CA63EE" w:rsidRPr="00CA63EE" w:rsidRDefault="00CA63EE" w:rsidP="00CA63EE">
      <w:pPr>
        <w:jc w:val="both"/>
        <w:rPr>
          <w:rFonts w:ascii="Verdana" w:hAnsi="Verdana"/>
          <w:bCs/>
          <w:sz w:val="20"/>
        </w:rPr>
      </w:pPr>
      <w:r w:rsidRPr="00CA63EE">
        <w:rPr>
          <w:rFonts w:ascii="Verdana" w:hAnsi="Verdana"/>
          <w:bCs/>
          <w:sz w:val="20"/>
        </w:rPr>
        <w:t>VI.         Metodologías para el cálculo de rendimiento observado, de rendimiento esperado, de rendimiento ajustado por riesgo, de sensibilidad y de riesgo de mercado, que serán aplicadas a la cartera de inversión del Activo Administrado por la Sociedad de Inversión y de forma agregada para cada uno de los siguientes tipos de inversiones o subyacentes:</w:t>
      </w:r>
    </w:p>
    <w:p w:rsidR="00CA63EE" w:rsidRPr="00CA63EE" w:rsidRDefault="00CA63EE" w:rsidP="00CA63EE">
      <w:pPr>
        <w:jc w:val="both"/>
        <w:rPr>
          <w:rFonts w:ascii="Verdana" w:hAnsi="Verdana"/>
          <w:bCs/>
          <w:sz w:val="20"/>
        </w:rPr>
      </w:pPr>
      <w:r w:rsidRPr="00CA63EE">
        <w:rPr>
          <w:rFonts w:ascii="Verdana" w:hAnsi="Verdana"/>
          <w:bCs/>
          <w:sz w:val="20"/>
        </w:rPr>
        <w:t>a)   Mercancías;</w:t>
      </w:r>
    </w:p>
    <w:p w:rsidR="00CA63EE" w:rsidRPr="00CA63EE" w:rsidRDefault="00CA63EE" w:rsidP="00CA63EE">
      <w:pPr>
        <w:jc w:val="both"/>
        <w:rPr>
          <w:rFonts w:ascii="Verdana" w:hAnsi="Verdana"/>
          <w:bCs/>
          <w:sz w:val="20"/>
        </w:rPr>
      </w:pPr>
      <w:r w:rsidRPr="00CA63EE">
        <w:rPr>
          <w:rFonts w:ascii="Verdana" w:hAnsi="Verdana"/>
          <w:bCs/>
          <w:sz w:val="20"/>
        </w:rPr>
        <w:t>b)   Divisas;</w:t>
      </w:r>
    </w:p>
    <w:p w:rsidR="00CA63EE" w:rsidRPr="00CA63EE" w:rsidRDefault="00CA63EE" w:rsidP="00CA63EE">
      <w:pPr>
        <w:jc w:val="both"/>
        <w:rPr>
          <w:rFonts w:ascii="Verdana" w:hAnsi="Verdana"/>
          <w:bCs/>
          <w:sz w:val="20"/>
        </w:rPr>
      </w:pPr>
      <w:r w:rsidRPr="00CA63EE">
        <w:rPr>
          <w:rFonts w:ascii="Verdana" w:hAnsi="Verdana"/>
          <w:bCs/>
          <w:sz w:val="20"/>
        </w:rPr>
        <w:t>c)   Instrumentos de Deuda y tasas de interés;</w:t>
      </w:r>
    </w:p>
    <w:p w:rsidR="00CA63EE" w:rsidRPr="00CA63EE" w:rsidRDefault="00CA63EE" w:rsidP="00CA63EE">
      <w:pPr>
        <w:jc w:val="both"/>
        <w:rPr>
          <w:rFonts w:ascii="Verdana" w:hAnsi="Verdana"/>
          <w:bCs/>
          <w:sz w:val="20"/>
        </w:rPr>
      </w:pPr>
      <w:r w:rsidRPr="00CA63EE">
        <w:rPr>
          <w:rFonts w:ascii="Verdana" w:hAnsi="Verdana"/>
          <w:bCs/>
          <w:sz w:val="20"/>
        </w:rPr>
        <w:t>d)   Valores Extranjeros de Deuda;</w:t>
      </w:r>
    </w:p>
    <w:p w:rsidR="00CA63EE" w:rsidRPr="00CA63EE" w:rsidRDefault="00CA63EE" w:rsidP="00CA63EE">
      <w:pPr>
        <w:jc w:val="both"/>
        <w:rPr>
          <w:rFonts w:ascii="Verdana" w:hAnsi="Verdana"/>
          <w:bCs/>
          <w:sz w:val="20"/>
        </w:rPr>
      </w:pPr>
      <w:r w:rsidRPr="00CA63EE">
        <w:rPr>
          <w:rFonts w:ascii="Verdana" w:hAnsi="Verdana"/>
          <w:bCs/>
          <w:sz w:val="20"/>
        </w:rPr>
        <w:t>e)   Componentes de Renta Variable;</w:t>
      </w:r>
    </w:p>
    <w:p w:rsidR="00CA63EE" w:rsidRPr="00CA63EE" w:rsidRDefault="00CA63EE" w:rsidP="00CA63EE">
      <w:pPr>
        <w:jc w:val="both"/>
        <w:rPr>
          <w:rFonts w:ascii="Verdana" w:hAnsi="Verdana"/>
          <w:bCs/>
          <w:sz w:val="20"/>
        </w:rPr>
      </w:pPr>
      <w:r w:rsidRPr="00CA63EE">
        <w:rPr>
          <w:rFonts w:ascii="Verdana" w:hAnsi="Verdana"/>
          <w:bCs/>
          <w:sz w:val="20"/>
        </w:rPr>
        <w:t>f)    FIBRAS, y</w:t>
      </w:r>
    </w:p>
    <w:p w:rsidR="00CA63EE" w:rsidRPr="00CA63EE" w:rsidRDefault="00CA63EE" w:rsidP="00CA63EE">
      <w:pPr>
        <w:jc w:val="both"/>
        <w:rPr>
          <w:rFonts w:ascii="Verdana" w:hAnsi="Verdana"/>
          <w:bCs/>
          <w:sz w:val="20"/>
        </w:rPr>
      </w:pPr>
      <w:r w:rsidRPr="00CA63EE">
        <w:rPr>
          <w:rFonts w:ascii="Verdana" w:hAnsi="Verdana"/>
          <w:bCs/>
          <w:sz w:val="20"/>
        </w:rPr>
        <w:t>g)   Vehículos de Inversión Inmobiliaria;</w:t>
      </w:r>
    </w:p>
    <w:p w:rsidR="00CA63EE" w:rsidRPr="00CA63EE" w:rsidRDefault="00CA63EE" w:rsidP="00CA63EE">
      <w:pPr>
        <w:jc w:val="both"/>
        <w:rPr>
          <w:rFonts w:ascii="Verdana" w:hAnsi="Verdana"/>
          <w:bCs/>
          <w:sz w:val="20"/>
        </w:rPr>
      </w:pPr>
      <w:r w:rsidRPr="00CA63EE">
        <w:rPr>
          <w:rFonts w:ascii="Verdana" w:hAnsi="Verdana"/>
          <w:bCs/>
          <w:sz w:val="20"/>
        </w:rPr>
        <w:lastRenderedPageBreak/>
        <w:t>             El Comité de Inversión o, en su caso, el Comité de Riesgos Financieros, según lo determine la Administradora, deberá definir las metodologías para realizar los cálculos de los rendimientos esperados a los que se refiere la presente fracción;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VII.        Metodologías para realizar la atribución de rendimiento y de riesgo de la cartera de inversión del Activo Administrado por la Sociedad de Inversión, así como de la cartera de inversión del Activo Total de la Sociedad de Inversión respecto al portafolio de referencia. Los Activos Administrados por los Mandatarios podrán ser excluidos de las metodologías. Definir políticas para presentar los resultados en la aplicación de dichas metodologías al nivel de desagregación por Clase de Activo, Factor de Riesgo o subyacente que defina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VIII.        Metodologías para dar seguimiento a la política de desviación respecto al portafolio de referencia, incluyendo el margen máximo de desviación, definido por el Comité de Inversión. Definir políticas para presentar los resultados anteriores en los reportes correspondientes con la desagregación por Clase de Activo, Factor de Riesgo o subyacente que defina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IX.         Exposición máxima para cada depositario autorizado, a través de depósitos. Para tales fines se considerará la calidad crediticia del depositario, el índice de capitalización, el plazo de la operación y la Divisa;</w:t>
      </w:r>
    </w:p>
    <w:p w:rsidR="00CA63EE" w:rsidRPr="00CA63EE" w:rsidRDefault="00CA63EE" w:rsidP="00CA63EE">
      <w:pPr>
        <w:jc w:val="both"/>
        <w:rPr>
          <w:rFonts w:ascii="Verdana" w:hAnsi="Verdana"/>
          <w:bCs/>
          <w:sz w:val="20"/>
        </w:rPr>
      </w:pPr>
      <w:r w:rsidRPr="00CA63EE">
        <w:rPr>
          <w:rFonts w:ascii="Verdana" w:hAnsi="Verdana"/>
          <w:bCs/>
          <w:sz w:val="20"/>
        </w:rPr>
        <w:t>X.          Políticas de control de Riesgos Financieros que deberán observar las Sociedades de Inversión respecto de los Mandatarios que contrate;</w:t>
      </w:r>
    </w:p>
    <w:p w:rsidR="00CA63EE" w:rsidRPr="00CA63EE" w:rsidRDefault="00CA63EE" w:rsidP="00CA63EE">
      <w:pPr>
        <w:jc w:val="both"/>
        <w:rPr>
          <w:rFonts w:ascii="Verdana" w:hAnsi="Verdana"/>
          <w:bCs/>
          <w:sz w:val="20"/>
        </w:rPr>
      </w:pPr>
      <w:r w:rsidRPr="00CA63EE">
        <w:rPr>
          <w:rFonts w:ascii="Verdana" w:hAnsi="Verdana"/>
          <w:bCs/>
          <w:sz w:val="20"/>
        </w:rPr>
        <w:t>XI.         Alarmas Tempranas para el Coeficiente de Liquidez, así como otros parámetros de liquidez mínima por posiciones en Derivados;</w:t>
      </w:r>
    </w:p>
    <w:p w:rsidR="00CA63EE" w:rsidRPr="00CA63EE" w:rsidRDefault="00CA63EE" w:rsidP="00CA63EE">
      <w:pPr>
        <w:jc w:val="both"/>
        <w:rPr>
          <w:rFonts w:ascii="Verdana" w:hAnsi="Verdana"/>
          <w:bCs/>
          <w:sz w:val="20"/>
        </w:rPr>
      </w:pPr>
      <w:r w:rsidRPr="00CA63EE">
        <w:rPr>
          <w:rFonts w:ascii="Verdana" w:hAnsi="Verdana"/>
          <w:bCs/>
          <w:sz w:val="20"/>
        </w:rPr>
        <w:t>XII.        Límites Prudenciales para el Valor en Riesgo, el Valor en Riesgo Condicional y el Diferencial de Valor en Riesgo Condicional;</w:t>
      </w:r>
    </w:p>
    <w:p w:rsidR="00CA63EE" w:rsidRPr="00CA63EE" w:rsidRDefault="00CA63EE" w:rsidP="00CA63EE">
      <w:pPr>
        <w:jc w:val="both"/>
        <w:rPr>
          <w:rFonts w:ascii="Verdana" w:hAnsi="Verdana"/>
          <w:bCs/>
          <w:sz w:val="20"/>
        </w:rPr>
      </w:pPr>
      <w:r w:rsidRPr="00CA63EE">
        <w:rPr>
          <w:rFonts w:ascii="Verdana" w:hAnsi="Verdana"/>
          <w:bCs/>
          <w:sz w:val="20"/>
        </w:rPr>
        <w:t xml:space="preserve">XIII.        Metodologías y elementos de medición, ya sean internos o externos, para la evaluación crediticia adicional a la provista por las instituciones calificadoras de valores. Para lo anterior, se deberá incluir, de forma enunciativa más no limitativa, modelos, información, procedimientos, insumos, en su caso elementos cualitativos, y aquellos que defina el Comité de Riesgos Financieros. En caso de que se consideren elementos cualitativos, el Comité de Riesgos Financieros deberá definir los criterios utilizados para su evaluación. La metodología y elementos de </w:t>
      </w:r>
      <w:proofErr w:type="spellStart"/>
      <w:r w:rsidRPr="00CA63EE">
        <w:rPr>
          <w:rFonts w:ascii="Verdana" w:hAnsi="Verdana"/>
          <w:bCs/>
          <w:sz w:val="20"/>
        </w:rPr>
        <w:t>mediciónreferidos</w:t>
      </w:r>
      <w:proofErr w:type="spellEnd"/>
      <w:r w:rsidRPr="00CA63EE">
        <w:rPr>
          <w:rFonts w:ascii="Verdana" w:hAnsi="Verdana"/>
          <w:bCs/>
          <w:sz w:val="20"/>
        </w:rPr>
        <w:t xml:space="preserve"> en la presente fracción, podrán integrar factores ambientales, sociales y de gobernanza corporativa (ESG por sus siglas en el idioma inglés);</w:t>
      </w:r>
    </w:p>
    <w:p w:rsidR="00CA63EE" w:rsidRPr="00CA63EE" w:rsidRDefault="00CA63EE" w:rsidP="00CA63EE">
      <w:pPr>
        <w:jc w:val="both"/>
        <w:rPr>
          <w:rFonts w:ascii="Verdana" w:hAnsi="Verdana"/>
          <w:bCs/>
          <w:sz w:val="20"/>
        </w:rPr>
      </w:pPr>
      <w:r w:rsidRPr="00CA63EE">
        <w:rPr>
          <w:rFonts w:ascii="Verdana" w:hAnsi="Verdana"/>
          <w:bCs/>
          <w:sz w:val="20"/>
        </w:rPr>
        <w:t>XIV.       Políticas para la determinación de límites de concentración para el Activo Administrado por la Sociedad de Inversión, que en su caso se definan, por Contraparte o emisor considerando para este último la estructura de cada emisión, de forma enunciativa más no limitativa, el tipo de prelación de pago, enaltecedores o los conocidos en la práctica y en el idioma inglés como </w:t>
      </w:r>
      <w:r w:rsidRPr="00CA63EE">
        <w:rPr>
          <w:rFonts w:ascii="Verdana" w:hAnsi="Verdana"/>
          <w:bCs/>
          <w:i/>
          <w:iCs/>
          <w:sz w:val="20"/>
        </w:rPr>
        <w:t>"</w:t>
      </w:r>
      <w:proofErr w:type="spellStart"/>
      <w:r w:rsidRPr="00CA63EE">
        <w:rPr>
          <w:rFonts w:ascii="Verdana" w:hAnsi="Verdana"/>
          <w:bCs/>
          <w:i/>
          <w:iCs/>
          <w:sz w:val="20"/>
        </w:rPr>
        <w:t>covenants</w:t>
      </w:r>
      <w:proofErr w:type="spellEnd"/>
      <w:r w:rsidRPr="00CA63EE">
        <w:rPr>
          <w:rFonts w:ascii="Verdana" w:hAnsi="Verdana"/>
          <w:bCs/>
          <w:i/>
          <w:iCs/>
          <w:sz w:val="20"/>
        </w:rPr>
        <w:t>"</w:t>
      </w:r>
      <w:r w:rsidRPr="00CA63EE">
        <w:rPr>
          <w:rFonts w:ascii="Verdana" w:hAnsi="Verdana"/>
          <w:bCs/>
          <w:sz w:val="20"/>
        </w:rPr>
        <w:t xml:space="preserve">, conforme a la </w:t>
      </w:r>
      <w:r w:rsidRPr="00CA63EE">
        <w:rPr>
          <w:rFonts w:ascii="Verdana" w:hAnsi="Verdana"/>
          <w:bCs/>
          <w:sz w:val="20"/>
        </w:rPr>
        <w:lastRenderedPageBreak/>
        <w:t xml:space="preserve">evaluación crediticia adicional a que se refiere la fracción </w:t>
      </w:r>
      <w:proofErr w:type="spellStart"/>
      <w:r w:rsidRPr="00CA63EE">
        <w:rPr>
          <w:rFonts w:ascii="Verdana" w:hAnsi="Verdana"/>
          <w:bCs/>
          <w:sz w:val="20"/>
        </w:rPr>
        <w:t>XIIIanterior</w:t>
      </w:r>
      <w:proofErr w:type="spellEnd"/>
      <w:r w:rsidRPr="00CA63EE">
        <w:rPr>
          <w:rFonts w:ascii="Verdana" w:hAnsi="Verdana"/>
          <w:bCs/>
          <w:sz w:val="20"/>
        </w:rPr>
        <w:t>. A efecto de lo anterior, el Comité de Riesgos Financieros deberá definir y aprobar lo siguiente:</w:t>
      </w:r>
    </w:p>
    <w:p w:rsidR="00CA63EE" w:rsidRPr="00CA63EE" w:rsidRDefault="00CA63EE" w:rsidP="00CA63EE">
      <w:pPr>
        <w:jc w:val="both"/>
        <w:rPr>
          <w:rFonts w:ascii="Verdana" w:hAnsi="Verdana"/>
          <w:bCs/>
          <w:sz w:val="20"/>
        </w:rPr>
      </w:pPr>
      <w:r w:rsidRPr="00CA63EE">
        <w:rPr>
          <w:rFonts w:ascii="Verdana" w:hAnsi="Verdana"/>
          <w:bCs/>
          <w:sz w:val="20"/>
        </w:rPr>
        <w:t>a)   Los límites de concentración y la periodicidad con la que revisarán dichos límites;</w:t>
      </w:r>
    </w:p>
    <w:p w:rsidR="00CA63EE" w:rsidRPr="00CA63EE" w:rsidRDefault="00CA63EE" w:rsidP="00CA63EE">
      <w:pPr>
        <w:jc w:val="both"/>
        <w:rPr>
          <w:rFonts w:ascii="Verdana" w:hAnsi="Verdana"/>
          <w:bCs/>
          <w:sz w:val="20"/>
        </w:rPr>
      </w:pPr>
      <w:r w:rsidRPr="00CA63EE">
        <w:rPr>
          <w:rFonts w:ascii="Verdana" w:hAnsi="Verdana"/>
          <w:bCs/>
          <w:sz w:val="20"/>
        </w:rPr>
        <w:t>b)   La periodicidad con la que se revisará la metodología y los elementos de medición a que se refiere la fracción XIII anterior;</w:t>
      </w:r>
    </w:p>
    <w:p w:rsidR="00CA63EE" w:rsidRPr="00CA63EE" w:rsidRDefault="00CA63EE" w:rsidP="00CA63EE">
      <w:pPr>
        <w:jc w:val="both"/>
        <w:rPr>
          <w:rFonts w:ascii="Verdana" w:hAnsi="Verdana"/>
          <w:bCs/>
          <w:sz w:val="20"/>
        </w:rPr>
      </w:pPr>
      <w:r w:rsidRPr="00CA63EE">
        <w:rPr>
          <w:rFonts w:ascii="Verdana" w:hAnsi="Verdana"/>
          <w:bCs/>
          <w:sz w:val="20"/>
        </w:rPr>
        <w:t>c)   La periodicidad con la que se actualizarán los insumos que utiliza la referida metodología y los elementos de medición;</w:t>
      </w:r>
    </w:p>
    <w:p w:rsidR="00CA63EE" w:rsidRPr="00CA63EE" w:rsidRDefault="00CA63EE" w:rsidP="00CA63EE">
      <w:pPr>
        <w:jc w:val="both"/>
        <w:rPr>
          <w:rFonts w:ascii="Verdana" w:hAnsi="Verdana"/>
          <w:bCs/>
          <w:sz w:val="20"/>
        </w:rPr>
      </w:pPr>
      <w:r w:rsidRPr="00CA63EE">
        <w:rPr>
          <w:rFonts w:ascii="Verdana" w:hAnsi="Verdana"/>
          <w:bCs/>
          <w:sz w:val="20"/>
        </w:rPr>
        <w:t>d)   La agrupación por evaluación crediticia adicional para cada límite de concentración. Asimismo, el Responsable del Área de Riesgos deberá presentar un comparativo de las calificaciones crediticias otorgadas a las emisiones y las Contrapartes por las instituciones calificadoras de valores y la evaluación crediticia adicional elaborada por la UAIR;</w:t>
      </w:r>
    </w:p>
    <w:p w:rsidR="00CA63EE" w:rsidRPr="00CA63EE" w:rsidRDefault="00CA63EE" w:rsidP="00CA63EE">
      <w:pPr>
        <w:jc w:val="both"/>
        <w:rPr>
          <w:rFonts w:ascii="Verdana" w:hAnsi="Verdana"/>
          <w:bCs/>
          <w:sz w:val="20"/>
        </w:rPr>
      </w:pPr>
      <w:r w:rsidRPr="00CA63EE">
        <w:rPr>
          <w:rFonts w:ascii="Verdana" w:hAnsi="Verdana"/>
          <w:bCs/>
          <w:sz w:val="20"/>
        </w:rPr>
        <w:t>e)   La periodicidad con que el Responsable del Área de Riesgos deberá presentar a este Comité, los resultados de la evaluación crediticia adicional de la emisión considerando al tipo de emisor y Contrapartes, de las revisiones a la metodología y elementos de medición, así como los criterios con los cuales se le presentará dicha información. Para el caso de los elementos cualitativos a que se refiere la fracción XIII anterior, se estará a lo previsto en el Artículo 11, fracción XII Bis de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f)    El Responsable del Área de Riesgos deberá presentar en cada sesión ordinaria de este Comité, los porcentajes de uso de los límites de concentración.</w:t>
      </w:r>
    </w:p>
    <w:p w:rsidR="00CA63EE" w:rsidRPr="00CA63EE" w:rsidRDefault="00CA63EE" w:rsidP="00CA63EE">
      <w:pPr>
        <w:jc w:val="both"/>
        <w:rPr>
          <w:rFonts w:ascii="Verdana" w:hAnsi="Verdana"/>
          <w:bCs/>
          <w:sz w:val="20"/>
        </w:rPr>
      </w:pPr>
      <w:r w:rsidRPr="00CA63EE">
        <w:rPr>
          <w:rFonts w:ascii="Verdana" w:hAnsi="Verdana"/>
          <w:bCs/>
          <w:sz w:val="20"/>
        </w:rPr>
        <w:t>             La periodicidad de los incisos a), b), d) y e) deberá ser anual o bien con una menor periodicidad. Para el caso del inciso c), la periodicidad deberá ser semestral o con una menor frecuencia.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XV.        Verificar y dar seguimiento al cumplimiento de los criterios emitidos y notificados por el Comité de Análisis de Riesgos, así como la evaluación, seguimiento y actualización del Sistema Integral Automatizado para las actividades de administración de riesgos;</w:t>
      </w:r>
    </w:p>
    <w:p w:rsidR="00CA63EE" w:rsidRPr="00CA63EE" w:rsidRDefault="00CA63EE" w:rsidP="00CA63EE">
      <w:pPr>
        <w:jc w:val="both"/>
        <w:rPr>
          <w:rFonts w:ascii="Verdana" w:hAnsi="Verdana"/>
          <w:bCs/>
          <w:sz w:val="20"/>
        </w:rPr>
      </w:pPr>
      <w:r w:rsidRPr="00CA63EE">
        <w:rPr>
          <w:rFonts w:ascii="Verdana" w:hAnsi="Verdana"/>
          <w:bCs/>
          <w:sz w:val="20"/>
        </w:rPr>
        <w:t>XVI.       Límites máximos para las inversiones en acciones individuales que podrán ejercer cada uno de los mandatos, sujetándose a los límites y criterios establecidos y notificados por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XVII.      Políticas de control de riesgos operacionales en la ejecución de Órdenes de Concertación en Paquete, Órdenes de Concertación Ciegas y otros mecanismos similares a éstos. Dichos controles deberán estar en el módulo de administración de riesgos del Sistema Integral Automatizado;</w:t>
      </w:r>
    </w:p>
    <w:p w:rsidR="00CA63EE" w:rsidRPr="00CA63EE" w:rsidRDefault="00CA63EE" w:rsidP="00CA63EE">
      <w:pPr>
        <w:jc w:val="both"/>
        <w:rPr>
          <w:rFonts w:ascii="Verdana" w:hAnsi="Verdana"/>
          <w:bCs/>
          <w:sz w:val="20"/>
        </w:rPr>
      </w:pPr>
      <w:r w:rsidRPr="00CA63EE">
        <w:rPr>
          <w:rFonts w:ascii="Verdana" w:hAnsi="Verdana"/>
          <w:bCs/>
          <w:sz w:val="20"/>
        </w:rPr>
        <w:lastRenderedPageBreak/>
        <w:t>XVIII.      Metodologías y elementos de medición, ya sean internos o externos, para la evaluación de riesgos de liquidez de la cartera de inversión del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XIX.       Políticas para el uso de los Instrumentos Genéricos quedando descritas en Actas Pormenorizadas, considerando las causales o condiciones de uso;</w:t>
      </w:r>
    </w:p>
    <w:p w:rsidR="00CA63EE" w:rsidRPr="00CA63EE" w:rsidRDefault="00CA63EE" w:rsidP="00CA63EE">
      <w:pPr>
        <w:jc w:val="both"/>
        <w:rPr>
          <w:rFonts w:ascii="Verdana" w:hAnsi="Verdana"/>
          <w:bCs/>
          <w:sz w:val="20"/>
        </w:rPr>
      </w:pPr>
      <w:r w:rsidRPr="00CA63EE">
        <w:rPr>
          <w:rFonts w:ascii="Verdana" w:hAnsi="Verdana"/>
          <w:bCs/>
          <w:sz w:val="20"/>
        </w:rPr>
        <w:t>XX.        Límites Prudenciales y Alarmas Tempranas aplicables a las inversiones del Activo Total de la Sociedad de Inversión en Instrumentos Estructurados considerando la totalidad de las llamadas de capital pendientes, y</w:t>
      </w:r>
    </w:p>
    <w:p w:rsidR="00CA63EE" w:rsidRPr="00CA63EE" w:rsidRDefault="00CA63EE" w:rsidP="00CA63EE">
      <w:pPr>
        <w:jc w:val="both"/>
        <w:rPr>
          <w:rFonts w:ascii="Verdana" w:hAnsi="Verdana"/>
          <w:bCs/>
          <w:sz w:val="20"/>
        </w:rPr>
      </w:pPr>
      <w:r w:rsidRPr="00CA63EE">
        <w:rPr>
          <w:rFonts w:ascii="Verdana" w:hAnsi="Verdana"/>
          <w:bCs/>
          <w:sz w:val="20"/>
        </w:rPr>
        <w:t>XXI.       Metodología de medición del nivel de cobertura de los Activos Objeto de Inversión denominados en las Divisas pertenecientes a los Grupos II y III del Anexo D de las presentes disposiciones, así como las desviaciones máximas respecto al nivel de cobertura definido.</w:t>
      </w:r>
    </w:p>
    <w:p w:rsidR="00CA63EE" w:rsidRPr="00CA63EE" w:rsidRDefault="00CA63EE" w:rsidP="00CA63EE">
      <w:pPr>
        <w:jc w:val="both"/>
        <w:rPr>
          <w:rFonts w:ascii="Verdana" w:hAnsi="Verdana"/>
          <w:bCs/>
          <w:sz w:val="20"/>
        </w:rPr>
      </w:pPr>
      <w:r w:rsidRPr="00CA63EE">
        <w:rPr>
          <w:rFonts w:ascii="Verdana" w:hAnsi="Verdana"/>
          <w:bCs/>
          <w:sz w:val="20"/>
        </w:rPr>
        <w:t>Para dar cumplimiento a los análisis o estudios previstos en los artículos 11, fracción III, 30, fracciones II, VII, y XIV, 36, fracción III y 139, fracción I de las presentes Disposiciones, la Administradora deberá definir como responsable al Comité de Riesgos Financieros o al Comité de Inversión. En caso de que la Administradora defina al Comité de Riesgos Financieros, éste deberá:</w:t>
      </w:r>
    </w:p>
    <w:p w:rsidR="00CA63EE" w:rsidRPr="00CA63EE" w:rsidRDefault="00CA63EE" w:rsidP="00CA63EE">
      <w:pPr>
        <w:jc w:val="both"/>
        <w:rPr>
          <w:rFonts w:ascii="Verdana" w:hAnsi="Verdana"/>
          <w:bCs/>
          <w:sz w:val="20"/>
        </w:rPr>
      </w:pPr>
      <w:r w:rsidRPr="00CA63EE">
        <w:rPr>
          <w:rFonts w:ascii="Verdana" w:hAnsi="Verdana"/>
          <w:bCs/>
          <w:sz w:val="20"/>
        </w:rPr>
        <w:t>1.1. Designar al Funcionario del área de riesgos responsable de dar cumplimiento a los análisis o estudios en comento, y</w:t>
      </w:r>
    </w:p>
    <w:p w:rsidR="00CA63EE" w:rsidRPr="00CA63EE" w:rsidRDefault="00CA63EE" w:rsidP="00CA63EE">
      <w:pPr>
        <w:jc w:val="both"/>
        <w:rPr>
          <w:rFonts w:ascii="Verdana" w:hAnsi="Verdana"/>
          <w:bCs/>
          <w:sz w:val="20"/>
        </w:rPr>
      </w:pPr>
      <w:r w:rsidRPr="00CA63EE">
        <w:rPr>
          <w:rFonts w:ascii="Verdana" w:hAnsi="Verdana"/>
          <w:bCs/>
          <w:sz w:val="20"/>
        </w:rPr>
        <w:t>1.2. Verificar que la designación y las actividades a realizar se incluyan en el Manual de Políticas y Procedimientos para la Administración del Riesgo Financiero.</w:t>
      </w:r>
    </w:p>
    <w:p w:rsidR="00CA63EE" w:rsidRPr="00CA63EE" w:rsidRDefault="00CA63EE" w:rsidP="00CA63EE">
      <w:pPr>
        <w:jc w:val="both"/>
        <w:rPr>
          <w:rFonts w:ascii="Verdana" w:hAnsi="Verdana"/>
          <w:bCs/>
          <w:sz w:val="20"/>
        </w:rPr>
      </w:pPr>
      <w:r w:rsidRPr="00CA63EE">
        <w:rPr>
          <w:rFonts w:ascii="Verdana" w:hAnsi="Verdana"/>
          <w:bCs/>
          <w:sz w:val="20"/>
        </w:rPr>
        <w:t>Las políticas previstas en el presente artículo únicamente aplicarán para los Activos Objeto de Inversión en los que las Sociedades de Inversión inviertan. Asimismo, dichas políticas podrán considerar factores ambientales, sociales y de gobernanza corporativa (ESG por sus siglas en el idioma inglés).</w:t>
      </w:r>
    </w:p>
    <w:p w:rsidR="00CA63EE" w:rsidRPr="00CA63EE" w:rsidRDefault="00CA63EE" w:rsidP="00CA63EE">
      <w:pPr>
        <w:jc w:val="both"/>
        <w:rPr>
          <w:rFonts w:ascii="Verdana" w:hAnsi="Verdana"/>
          <w:bCs/>
          <w:sz w:val="20"/>
        </w:rPr>
      </w:pPr>
      <w:r w:rsidRPr="00CA63EE">
        <w:rPr>
          <w:rFonts w:ascii="Verdana" w:hAnsi="Verdana"/>
          <w:bCs/>
          <w:sz w:val="20"/>
        </w:rPr>
        <w:t>El Comité de Riesgos Financieros deberá conocer la situación actual sobre las medidas, políticas y criterios previstos en el presente artículo, actualizadas por la UAIR, cuando menos una vez cada tres meses.</w:t>
      </w:r>
    </w:p>
    <w:p w:rsidR="00CA63EE" w:rsidRPr="00CA63EE" w:rsidRDefault="00CA63EE" w:rsidP="00CA63EE">
      <w:pPr>
        <w:jc w:val="both"/>
        <w:rPr>
          <w:rFonts w:ascii="Verdana" w:hAnsi="Verdana"/>
          <w:bCs/>
          <w:sz w:val="20"/>
        </w:rPr>
      </w:pPr>
      <w:r w:rsidRPr="00CA63EE">
        <w:rPr>
          <w:rFonts w:ascii="Verdana" w:hAnsi="Verdana"/>
          <w:b/>
          <w:bCs/>
          <w:sz w:val="20"/>
        </w:rPr>
        <w:t>Artículo 4.-</w:t>
      </w:r>
      <w:r w:rsidRPr="00CA63EE">
        <w:rPr>
          <w:rFonts w:ascii="Verdana" w:hAnsi="Verdana"/>
          <w:bCs/>
          <w:sz w:val="20"/>
        </w:rPr>
        <w:t> Los Comités de Riesgos Financieros deberán definir las políticas y periodicidad de actualización y mejora del Sistema Integral Automatizado que aplique a la administración de riesgos en términos del artículo 3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 Administradora deberá designar como responsable a alguno de los siguientes,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este no deberá tener conflicto de interés al realizar las referidas actividades.</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Los Comités de Riesgos Financieros o los Comités de Inversión deberán verificar que las políticas, periodicidad, así como las designaciones de los responsables referidas en el presente artículo sean incorporadas en el Manual de Políticas y Procedimientos para la Administración del Riesgo Financiero, el Manual de Inversión o en el manual descrito en el artículo 62 de las presentes Disposiciones, según corresponda, dependiendo de la designación que sea efectuada por la Administradora, en términos de </w:t>
      </w:r>
      <w:proofErr w:type="spellStart"/>
      <w:r w:rsidRPr="00CA63EE">
        <w:rPr>
          <w:rFonts w:ascii="Verdana" w:hAnsi="Verdana"/>
          <w:bCs/>
          <w:sz w:val="20"/>
        </w:rPr>
        <w:t>loprevisto</w:t>
      </w:r>
      <w:proofErr w:type="spellEnd"/>
      <w:r w:rsidRPr="00CA63EE">
        <w:rPr>
          <w:rFonts w:ascii="Verdana" w:hAnsi="Verdana"/>
          <w:bCs/>
          <w:sz w:val="20"/>
        </w:rPr>
        <w:t xml:space="preserve"> en el párrafo anterior.</w:t>
      </w:r>
    </w:p>
    <w:p w:rsidR="00CA63EE" w:rsidRPr="00CA63EE" w:rsidRDefault="00CA63EE" w:rsidP="00CA63EE">
      <w:pPr>
        <w:jc w:val="both"/>
        <w:rPr>
          <w:rFonts w:ascii="Verdana" w:hAnsi="Verdana"/>
          <w:bCs/>
          <w:sz w:val="20"/>
        </w:rPr>
      </w:pPr>
      <w:r w:rsidRPr="00CA63EE">
        <w:rPr>
          <w:rFonts w:ascii="Verdana" w:hAnsi="Verdana"/>
          <w:b/>
          <w:bCs/>
          <w:sz w:val="20"/>
        </w:rPr>
        <w:t>Artículo 5.-</w:t>
      </w:r>
      <w:r w:rsidRPr="00CA63EE">
        <w:rPr>
          <w:rFonts w:ascii="Verdana" w:hAnsi="Verdana"/>
          <w:bCs/>
          <w:sz w:val="20"/>
        </w:rPr>
        <w:t> El Comité de Riesgos Financieros de cada Sociedad de Inversión, deberá integrarse cuando menos por el Responsable del Área de Riesgos, un Consejero Independiente y uno no independiente de la Sociedad de Inversión de que se trate, los cuales no deberán ser miembros del Comité de Inversión de la misma Sociedad de Inversión, y el director general de la Administradora que opere a la Sociedad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Las Actas Pormenorizadas de las sesiones del Comité de Riesgos Financieros deberán estar a disposición de la Comisión, mismas que podrán presentarse en versión estenográfica o por medio de la grabación que cuente con los medios de seguridad necesarios que mantenga la integridad de la información y la transcripción correspondiente. Para tales efectos el secretario de dicho Comité deberá asegurarse de elaborar e integrar el Acta Pormenorizada correspondiente. La Comisión podrá requerir más información sobre las sesiones del Comité de Riesgos Financieros al secretario de dicho Comité. Las Actas </w:t>
      </w:r>
      <w:proofErr w:type="spellStart"/>
      <w:r w:rsidRPr="00CA63EE">
        <w:rPr>
          <w:rFonts w:ascii="Verdana" w:hAnsi="Verdana"/>
          <w:bCs/>
          <w:sz w:val="20"/>
        </w:rPr>
        <w:t>Pormenorizadasdeberán</w:t>
      </w:r>
      <w:proofErr w:type="spellEnd"/>
      <w:r w:rsidRPr="00CA63EE">
        <w:rPr>
          <w:rFonts w:ascii="Verdana" w:hAnsi="Verdana"/>
          <w:bCs/>
          <w:sz w:val="20"/>
        </w:rPr>
        <w:t xml:space="preserve"> estar debidamente firmadas por todos los integrantes que acudieron a la sesión del referido Comité en un plazo máximo de cuarenta y cinco días naturales posteriores a la celebración de la sesión.</w:t>
      </w:r>
    </w:p>
    <w:p w:rsidR="00CA63EE" w:rsidRPr="00CA63EE" w:rsidRDefault="00CA63EE" w:rsidP="00CA63EE">
      <w:pPr>
        <w:jc w:val="both"/>
        <w:rPr>
          <w:rFonts w:ascii="Verdana" w:hAnsi="Verdana"/>
          <w:bCs/>
          <w:sz w:val="20"/>
        </w:rPr>
      </w:pPr>
      <w:r w:rsidRPr="00CA63EE">
        <w:rPr>
          <w:rFonts w:ascii="Verdana" w:hAnsi="Verdana"/>
          <w:bCs/>
          <w:sz w:val="20"/>
        </w:rPr>
        <w:t>Este Comité deberá sesionar cuando menos una vez al mes y sus sesiones serán válidas sólo si cuentan con quórum del 80% de sus miembros que participen con voto, dentro de los cuales se requerirá la asistencia del director general de la Administradora y de un Consejero Independiente. La ausencia del Consejero Independiente o del director general de la Administradora sólo podrá excusarse en dos ocasiones por cada año calendario, debiendo designar el Comité a un responsable durante la ausencia de quien corresponda y únicamente para tales efectos.</w:t>
      </w:r>
    </w:p>
    <w:p w:rsidR="00CA63EE" w:rsidRPr="00CA63EE" w:rsidRDefault="00CA63EE" w:rsidP="00CA63EE">
      <w:pPr>
        <w:jc w:val="both"/>
        <w:rPr>
          <w:rFonts w:ascii="Verdana" w:hAnsi="Verdana"/>
          <w:bCs/>
          <w:sz w:val="20"/>
        </w:rPr>
      </w:pPr>
      <w:r w:rsidRPr="00CA63EE">
        <w:rPr>
          <w:rFonts w:ascii="Verdana" w:hAnsi="Verdana"/>
          <w:bCs/>
          <w:sz w:val="20"/>
        </w:rPr>
        <w:t>La aprobación de los acuerdos se hará por mayoría de votos, sin menoscabo de lo anterior se deberá cumplir con los requisitos de opinión de los Consejeros Independientes para los temas previstos en las presentes Disposiciones. Para el caso en que deban pronunciarse los Consejeros Independientes y estos tengan decisiones divididas empatadas, previamente a esta condición, este Comité debe definir quien tiene voto de calidad entre dichos consejeros.</w:t>
      </w:r>
    </w:p>
    <w:p w:rsidR="00CA63EE" w:rsidRPr="00CA63EE" w:rsidRDefault="00CA63EE" w:rsidP="00CA63EE">
      <w:pPr>
        <w:jc w:val="both"/>
        <w:rPr>
          <w:rFonts w:ascii="Verdana" w:hAnsi="Verdana"/>
          <w:bCs/>
          <w:sz w:val="20"/>
        </w:rPr>
      </w:pPr>
      <w:r w:rsidRPr="00CA63EE">
        <w:rPr>
          <w:rFonts w:ascii="Verdana" w:hAnsi="Verdana"/>
          <w:b/>
          <w:bCs/>
          <w:sz w:val="20"/>
        </w:rPr>
        <w:t>Artículo 6.- </w:t>
      </w:r>
      <w:r w:rsidRPr="00CA63EE">
        <w:rPr>
          <w:rFonts w:ascii="Verdana" w:hAnsi="Verdana"/>
          <w:bCs/>
          <w:sz w:val="20"/>
        </w:rPr>
        <w:t>El</w:t>
      </w:r>
      <w:r w:rsidRPr="00CA63EE">
        <w:rPr>
          <w:rFonts w:ascii="Verdana" w:hAnsi="Verdana"/>
          <w:b/>
          <w:bCs/>
          <w:sz w:val="20"/>
        </w:rPr>
        <w:t> </w:t>
      </w:r>
      <w:r w:rsidRPr="00CA63EE">
        <w:rPr>
          <w:rFonts w:ascii="Verdana" w:hAnsi="Verdana"/>
          <w:bCs/>
          <w:sz w:val="20"/>
        </w:rPr>
        <w:t>Comité de Riesgos Financieros podrá crear subcomités que tengan por objeto analizar los asuntos que sean presentados ante el Comité de Riesgos Financieros. Para tales efectos, los subcomités deberán cumplir con lo siguiente:</w:t>
      </w:r>
    </w:p>
    <w:p w:rsidR="00CA63EE" w:rsidRPr="00CA63EE" w:rsidRDefault="00CA63EE" w:rsidP="00CA63EE">
      <w:pPr>
        <w:jc w:val="both"/>
        <w:rPr>
          <w:rFonts w:ascii="Verdana" w:hAnsi="Verdana"/>
          <w:bCs/>
          <w:sz w:val="20"/>
        </w:rPr>
      </w:pPr>
      <w:r w:rsidRPr="00CA63EE">
        <w:rPr>
          <w:rFonts w:ascii="Verdana" w:hAnsi="Verdana"/>
          <w:bCs/>
          <w:sz w:val="20"/>
        </w:rPr>
        <w:lastRenderedPageBreak/>
        <w:t>I.           Que estén constituidos en los términos que determinen los Comités de Riesgos Financieros respectivos;</w:t>
      </w:r>
    </w:p>
    <w:p w:rsidR="00CA63EE" w:rsidRPr="00CA63EE" w:rsidRDefault="00CA63EE" w:rsidP="00CA63EE">
      <w:pPr>
        <w:jc w:val="both"/>
        <w:rPr>
          <w:rFonts w:ascii="Verdana" w:hAnsi="Verdana"/>
          <w:bCs/>
          <w:sz w:val="20"/>
        </w:rPr>
      </w:pPr>
      <w:r w:rsidRPr="00CA63EE">
        <w:rPr>
          <w:rFonts w:ascii="Verdana" w:hAnsi="Verdana"/>
          <w:bCs/>
          <w:sz w:val="20"/>
        </w:rPr>
        <w:t>II.          Que se documente la información relativa al funcionamiento de los subcomités, señalando los integrantes, invitados, facultades, políticas, estrategias y mecanismos de rendición de cuentas hacia el Comité de Riesgos Financieros, y</w:t>
      </w:r>
    </w:p>
    <w:p w:rsidR="00CA63EE" w:rsidRPr="00CA63EE" w:rsidRDefault="00CA63EE" w:rsidP="00CA63EE">
      <w:pPr>
        <w:jc w:val="both"/>
        <w:rPr>
          <w:rFonts w:ascii="Verdana" w:hAnsi="Verdana"/>
          <w:bCs/>
          <w:sz w:val="20"/>
        </w:rPr>
      </w:pPr>
      <w:r w:rsidRPr="00CA63EE">
        <w:rPr>
          <w:rFonts w:ascii="Verdana" w:hAnsi="Verdana"/>
          <w:bCs/>
          <w:sz w:val="20"/>
        </w:rPr>
        <w:t>III.          Las actividades que realicen los subcomités deberán ser aprobadas por el Comité de Riesgos Financieros, quedando asentadas en el Acta Pormenorizada del Comité de Riesgos Financieros, así como reveladas en el Manual de Políticas y Procedimientos para la Administración del Riesgo Financiero.</w:t>
      </w:r>
    </w:p>
    <w:p w:rsidR="00CA63EE" w:rsidRPr="00CA63EE" w:rsidRDefault="00CA63EE" w:rsidP="00CA63EE">
      <w:pPr>
        <w:jc w:val="both"/>
        <w:rPr>
          <w:rFonts w:ascii="Verdana" w:hAnsi="Verdana"/>
          <w:bCs/>
          <w:sz w:val="20"/>
        </w:rPr>
      </w:pPr>
      <w:r w:rsidRPr="00CA63EE">
        <w:rPr>
          <w:rFonts w:ascii="Verdana" w:hAnsi="Verdana"/>
          <w:bCs/>
          <w:sz w:val="20"/>
        </w:rPr>
        <w:t>Dentro de las actividades que realicen los subcomités se podrá contemplar la preparación de la documentación necesaria para la toma de decisiones del citado Comité de Riesgos Financieros, la cual deberá estar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La creación de subcomités no exime al Comité de Riesgos Financieros de contar con la información necesaria para su toma de decisiones y dar cabal cumplimiento, a lo previsto en la Ley, las presentes Disposiciones y lo previsto en las Reglas Prudenciales en materia de administración de riesgos.</w:t>
      </w:r>
    </w:p>
    <w:p w:rsidR="00CA63EE" w:rsidRPr="00CA63EE" w:rsidRDefault="00CA63EE" w:rsidP="00CA63EE">
      <w:pPr>
        <w:jc w:val="both"/>
        <w:rPr>
          <w:rFonts w:ascii="Verdana" w:hAnsi="Verdana"/>
          <w:bCs/>
          <w:sz w:val="20"/>
        </w:rPr>
      </w:pPr>
      <w:r w:rsidRPr="00CA63EE">
        <w:rPr>
          <w:rFonts w:ascii="Verdana" w:hAnsi="Verdana"/>
          <w:b/>
          <w:bCs/>
          <w:sz w:val="20"/>
        </w:rPr>
        <w:t>Artículo 7.-</w:t>
      </w:r>
      <w:r w:rsidRPr="00CA63EE">
        <w:rPr>
          <w:rFonts w:ascii="Verdana" w:hAnsi="Verdana"/>
          <w:bCs/>
          <w:sz w:val="20"/>
        </w:rPr>
        <w:t> El cumplimiento de los Límites Prudenciales previstos en el artículo 3 anterior, definidos por el Comité de Riesgos Financieros, deberán ser cumplidos utilizando las valuaciones proporcionadas por los Proveedores de Precios, y conforme al Manual de Políticas y Procedimientos para la Administración del Riesgo Financiero. La UAIR deberá dar seguimiento diario a dichos cálculos y deberán ser presentados mensualmente en el Comité de Riesgos Financieros. Asimismo, el Contralor Normativo deberá prever que el Plan de Funciones autorizado contenga un Proceso de Observación sobre las tareas descritas en el presente artículo.</w:t>
      </w:r>
    </w:p>
    <w:p w:rsidR="00CA63EE" w:rsidRPr="00CA63EE" w:rsidRDefault="00CA63EE" w:rsidP="00CA63EE">
      <w:pPr>
        <w:jc w:val="both"/>
        <w:rPr>
          <w:rFonts w:ascii="Verdana" w:hAnsi="Verdana"/>
          <w:bCs/>
          <w:sz w:val="20"/>
        </w:rPr>
      </w:pPr>
      <w:r w:rsidRPr="00CA63EE">
        <w:rPr>
          <w:rFonts w:ascii="Verdana" w:hAnsi="Verdana"/>
          <w:bCs/>
          <w:sz w:val="20"/>
        </w:rPr>
        <w:t>Sin perjuicio de lo anterior, el Comité de Riesgos Financieros podrá determinar que, para dar cumplimiento a los Límites Prudenciales referidos, se utilicen las valuaciones independientes generadas por cada Administradora en su Sistema Integral Automatizado. Lo anterior deberá quedar plasmado en el Manual de Políticas y Procedimientos para la Administración del Riesgo Financiero.</w:t>
      </w:r>
    </w:p>
    <w:p w:rsidR="00CA63EE" w:rsidRPr="00CA63EE" w:rsidRDefault="00CA63EE" w:rsidP="00CA63EE">
      <w:pPr>
        <w:jc w:val="both"/>
        <w:rPr>
          <w:rFonts w:ascii="Verdana" w:hAnsi="Verdana"/>
          <w:bCs/>
          <w:sz w:val="20"/>
        </w:rPr>
      </w:pPr>
      <w:r w:rsidRPr="00CA63EE">
        <w:rPr>
          <w:rFonts w:ascii="Verdana" w:hAnsi="Verdana"/>
          <w:bCs/>
          <w:sz w:val="20"/>
        </w:rPr>
        <w:t>Los lineamientos prudenciales en materia de capitalización a que hacen referencia las Disposiciones de carácter general que establecen el régimen patrimonial al que se sujetarán las administradoras de fondos para el retiro, el PENSIONISSSTE y las sociedades de inversión especializadas de fondos para el retiro y la reserva especial, se deberán acreditar con lo previsto en el presente artículo, así como en el artículo 3 anterior.</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DE LA UNIDAD DE ADMINISTRACIÓN INTEGRAL DE RIESGOS</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8.-</w:t>
      </w:r>
      <w:r w:rsidRPr="00CA63EE">
        <w:rPr>
          <w:rFonts w:ascii="Verdana" w:hAnsi="Verdana"/>
          <w:bCs/>
          <w:sz w:val="20"/>
        </w:rPr>
        <w:t> La UAIR, en materia de Riesgos Financieros, tiene como objeto identificar, medir, monitorear e informar sobre los Riesgos Financieros que enfrenten las Sociedades de Inversión al Comité de Riesgos Financieros, al Comité de Inversión, al director general de la Administradora, y al Contralor Normativo.</w:t>
      </w:r>
    </w:p>
    <w:p w:rsidR="00CA63EE" w:rsidRPr="00CA63EE" w:rsidRDefault="00CA63EE" w:rsidP="00CA63EE">
      <w:pPr>
        <w:jc w:val="both"/>
        <w:rPr>
          <w:rFonts w:ascii="Verdana" w:hAnsi="Verdana"/>
          <w:bCs/>
          <w:sz w:val="20"/>
        </w:rPr>
      </w:pPr>
      <w:r w:rsidRPr="00CA63EE">
        <w:rPr>
          <w:rFonts w:ascii="Verdana" w:hAnsi="Verdana"/>
          <w:bCs/>
          <w:sz w:val="20"/>
        </w:rPr>
        <w:t>La UAIR deberá constituirse dentro de la estructura de la Administradora y deberá ser conformada únicamente por Funcionarios de dicha Administradora. Dicha unidad deberá ser independiente de las áreas de inversión, a fin de evitar conflictos de interés y asegurar una adecuada separación de responsabilidades. El Comité de Riesgos Financieros y el Comité de Inversión se apoyarán en la UAIR.</w:t>
      </w:r>
    </w:p>
    <w:p w:rsidR="00CA63EE" w:rsidRPr="00CA63EE" w:rsidRDefault="00CA63EE" w:rsidP="00CA63EE">
      <w:pPr>
        <w:jc w:val="both"/>
        <w:rPr>
          <w:rFonts w:ascii="Verdana" w:hAnsi="Verdana"/>
          <w:bCs/>
          <w:sz w:val="20"/>
        </w:rPr>
      </w:pPr>
      <w:r w:rsidRPr="00CA63EE">
        <w:rPr>
          <w:rFonts w:ascii="Verdana" w:hAnsi="Verdana"/>
          <w:bCs/>
          <w:sz w:val="20"/>
        </w:rPr>
        <w:t>La Administradora deberá contar con un Responsable del Área de Riesgos.</w:t>
      </w:r>
    </w:p>
    <w:p w:rsidR="00CA63EE" w:rsidRPr="00CA63EE" w:rsidRDefault="00CA63EE" w:rsidP="00CA63EE">
      <w:pPr>
        <w:jc w:val="both"/>
        <w:rPr>
          <w:rFonts w:ascii="Verdana" w:hAnsi="Verdana"/>
          <w:bCs/>
          <w:sz w:val="20"/>
        </w:rPr>
      </w:pPr>
      <w:r w:rsidRPr="00CA63EE">
        <w:rPr>
          <w:rFonts w:ascii="Verdana" w:hAnsi="Verdana"/>
          <w:b/>
          <w:bCs/>
          <w:sz w:val="20"/>
        </w:rPr>
        <w:t>Artículo 9.-</w:t>
      </w:r>
      <w:r w:rsidRPr="00CA63EE">
        <w:rPr>
          <w:rFonts w:ascii="Verdana" w:hAnsi="Verdana"/>
          <w:bCs/>
          <w:sz w:val="20"/>
        </w:rPr>
        <w:t> Las Administradoras deberán contar con un Responsable del Área de Riesgos, que reporte directamente al director general de la Administradora.</w:t>
      </w:r>
    </w:p>
    <w:p w:rsidR="00CA63EE" w:rsidRPr="00CA63EE" w:rsidRDefault="00CA63EE" w:rsidP="00CA63EE">
      <w:pPr>
        <w:jc w:val="both"/>
        <w:rPr>
          <w:rFonts w:ascii="Verdana" w:hAnsi="Verdana"/>
          <w:bCs/>
          <w:sz w:val="20"/>
        </w:rPr>
      </w:pPr>
      <w:r w:rsidRPr="00CA63EE">
        <w:rPr>
          <w:rFonts w:ascii="Verdana" w:hAnsi="Verdana"/>
          <w:b/>
          <w:bCs/>
          <w:sz w:val="20"/>
        </w:rPr>
        <w:t>Artículo 10.- </w:t>
      </w:r>
      <w:r w:rsidRPr="00CA63EE">
        <w:rPr>
          <w:rFonts w:ascii="Verdana" w:hAnsi="Verdana"/>
          <w:bCs/>
          <w:sz w:val="20"/>
        </w:rPr>
        <w:t>La UAIR, en materia de Riesgo Financiero, desempeñará las siguientes funciones:</w:t>
      </w:r>
    </w:p>
    <w:p w:rsidR="00CA63EE" w:rsidRPr="00CA63EE" w:rsidRDefault="00CA63EE" w:rsidP="00CA63EE">
      <w:pPr>
        <w:jc w:val="both"/>
        <w:rPr>
          <w:rFonts w:ascii="Verdana" w:hAnsi="Verdana"/>
          <w:bCs/>
          <w:sz w:val="20"/>
        </w:rPr>
      </w:pPr>
      <w:r w:rsidRPr="00CA63EE">
        <w:rPr>
          <w:rFonts w:ascii="Verdana" w:hAnsi="Verdana"/>
          <w:bCs/>
          <w:sz w:val="20"/>
        </w:rPr>
        <w:t>I.           Proponer al Comité de Riesgos Financieros para su aprobación, la metodología para identificar, medir y monitorear los distintos tipos de Riesgos Financieros a que se encuentren expuestas las Sociedades de Inversión, así como los límites por tipo de Riesgo Financiero;</w:t>
      </w:r>
    </w:p>
    <w:p w:rsidR="00CA63EE" w:rsidRPr="00CA63EE" w:rsidRDefault="00CA63EE" w:rsidP="00CA63EE">
      <w:pPr>
        <w:jc w:val="both"/>
        <w:rPr>
          <w:rFonts w:ascii="Verdana" w:hAnsi="Verdana"/>
          <w:bCs/>
          <w:sz w:val="20"/>
        </w:rPr>
      </w:pPr>
      <w:r w:rsidRPr="00CA63EE">
        <w:rPr>
          <w:rFonts w:ascii="Verdana" w:hAnsi="Verdana"/>
          <w:bCs/>
          <w:sz w:val="20"/>
        </w:rPr>
        <w:t>II.          Aplicar la metodología a que se refiere la fracción I anterior utilizando, para tal efecto, los modelos, Parámetros y escenarios para la medición y control del riesgo establecidos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III.          Investigar y documentar las causas que originen desviaciones a los límites de riesgo establecidos cuando sucedan, identificando si dichas desviaciones se presentan en forma reiterada e informar de manera oportuna sus resultados a los Comités de Riesgos Financieros, a los Comités de Inversión, al director general de la Administradora y al Contralor Normativo;</w:t>
      </w:r>
    </w:p>
    <w:p w:rsidR="00CA63EE" w:rsidRPr="00CA63EE" w:rsidRDefault="00CA63EE" w:rsidP="00CA63EE">
      <w:pPr>
        <w:jc w:val="both"/>
        <w:rPr>
          <w:rFonts w:ascii="Verdana" w:hAnsi="Verdana"/>
          <w:bCs/>
          <w:sz w:val="20"/>
        </w:rPr>
      </w:pPr>
      <w:r w:rsidRPr="00CA63EE">
        <w:rPr>
          <w:rFonts w:ascii="Verdana" w:hAnsi="Verdana"/>
          <w:bCs/>
          <w:sz w:val="20"/>
        </w:rPr>
        <w:t>IV.         Proponer al Comité de Riesgos Financieros para su aprobación, la metodología que, en su caso, se aplicará para el cálculo del precio de valuación de las operaciones con Derivados que cada Sociedad de Inversión realice en mercados extrabursátiles, así como la metodología de valuación de otros Activos Objeto de Inversión que, de acuerdo con las presentes Disposiciones, la Administradora haya informado a la Comisión que realizará la valuación de dichos Activos Objeto de Inversión;</w:t>
      </w:r>
    </w:p>
    <w:p w:rsidR="00CA63EE" w:rsidRPr="00CA63EE" w:rsidRDefault="00CA63EE" w:rsidP="00CA63EE">
      <w:pPr>
        <w:jc w:val="both"/>
        <w:rPr>
          <w:rFonts w:ascii="Verdana" w:hAnsi="Verdana"/>
          <w:bCs/>
          <w:sz w:val="20"/>
        </w:rPr>
      </w:pPr>
      <w:r w:rsidRPr="00CA63EE">
        <w:rPr>
          <w:rFonts w:ascii="Verdana" w:hAnsi="Verdana"/>
          <w:bCs/>
          <w:sz w:val="20"/>
        </w:rPr>
        <w:t>V.          Dar seguimiento a la Estrategia de Inversión definida por el Comité de Inversión, de conformidad con el marco prudencial en materia de administración de riesgos que apruebe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 xml:space="preserve">VI.         Proponer al Comité de Riesgos Financieros para su aprobación, la metodología de valuación que se aplicará a los títulos opcionales a que se refiere el inciso d) de la fracción LII de la disposición Segunda de las Disposiciones de carácter general que establecen el régimen de inversión al que deberán sujetarse las sociedades de </w:t>
      </w:r>
      <w:r w:rsidRPr="00CA63EE">
        <w:rPr>
          <w:rFonts w:ascii="Verdana" w:hAnsi="Verdana"/>
          <w:bCs/>
          <w:sz w:val="20"/>
        </w:rPr>
        <w:lastRenderedPageBreak/>
        <w:t xml:space="preserve">inversión, así como a las acciones representativas del capital social de la misma Empresa Privada a la que se </w:t>
      </w:r>
      <w:proofErr w:type="spellStart"/>
      <w:r w:rsidRPr="00CA63EE">
        <w:rPr>
          <w:rFonts w:ascii="Verdana" w:hAnsi="Verdana"/>
          <w:bCs/>
          <w:sz w:val="20"/>
        </w:rPr>
        <w:t>encuentranadheridos</w:t>
      </w:r>
      <w:proofErr w:type="spellEnd"/>
      <w:r w:rsidRPr="00CA63EE">
        <w:rPr>
          <w:rFonts w:ascii="Verdana" w:hAnsi="Verdana"/>
          <w:bCs/>
          <w:sz w:val="20"/>
        </w:rPr>
        <w:t xml:space="preserve"> los referidos títulos opcionales, y</w:t>
      </w:r>
    </w:p>
    <w:p w:rsidR="00CA63EE" w:rsidRPr="00CA63EE" w:rsidRDefault="00CA63EE" w:rsidP="00CA63EE">
      <w:pPr>
        <w:jc w:val="both"/>
        <w:rPr>
          <w:rFonts w:ascii="Verdana" w:hAnsi="Verdana"/>
          <w:bCs/>
          <w:sz w:val="20"/>
        </w:rPr>
      </w:pPr>
      <w:r w:rsidRPr="00CA63EE">
        <w:rPr>
          <w:rFonts w:ascii="Verdana" w:hAnsi="Verdana"/>
          <w:bCs/>
          <w:sz w:val="20"/>
        </w:rPr>
        <w:t>VII.        Proponer al Comité de Riesgos Financieros para su aprobación, el resultado de la evaluación crediticia adicional de cada emisor y Contraparte, la cual deberá realizarse considerando las metodologías y los elementos de medición de riesgo crediticio a que se refieren los artículos 3, fracciones XIII, y XIV, y 11, fracción XII de las presentes disposiciones. En caso de que los elementos cualitativos de la evaluación crediticia adicional se encuentren integrados en el Sistema Integral Automatizado no será necesario lo previsto en la presente fracción. Los elementos cuantitativos de la evaluación crediticia adicional se deberán integrar al Sistema Integral Automatizado.</w:t>
      </w:r>
    </w:p>
    <w:p w:rsidR="00CA63EE" w:rsidRPr="00CA63EE" w:rsidRDefault="00CA63EE" w:rsidP="00CA63EE">
      <w:pPr>
        <w:jc w:val="both"/>
        <w:rPr>
          <w:rFonts w:ascii="Verdana" w:hAnsi="Verdana"/>
          <w:bCs/>
          <w:sz w:val="20"/>
        </w:rPr>
      </w:pPr>
      <w:r w:rsidRPr="00CA63EE">
        <w:rPr>
          <w:rFonts w:ascii="Verdana" w:hAnsi="Verdana"/>
          <w:b/>
          <w:bCs/>
          <w:sz w:val="20"/>
        </w:rPr>
        <w:t>Artículo 11.-</w:t>
      </w:r>
      <w:r w:rsidRPr="00CA63EE">
        <w:rPr>
          <w:rFonts w:ascii="Verdana" w:hAnsi="Verdana"/>
          <w:bCs/>
          <w:sz w:val="20"/>
        </w:rPr>
        <w:t> La UAIR, en materia de Riesgo Financiero, deberá informar mensualmente o bien con mayor frecuencia cuando sea necesario, a los Comités de Riesgos Financieros y Comités de Inversión, al director general de la Administradora y al Contralor Normativo, sobre los siguientes asuntos aplicables a la cartera de inversión del Activo Total de la Sociedad de Inversión, excepto cuando se señale lo contrario:</w:t>
      </w:r>
    </w:p>
    <w:p w:rsidR="00CA63EE" w:rsidRPr="00CA63EE" w:rsidRDefault="00CA63EE" w:rsidP="00CA63EE">
      <w:pPr>
        <w:jc w:val="both"/>
        <w:rPr>
          <w:rFonts w:ascii="Verdana" w:hAnsi="Verdana"/>
          <w:bCs/>
          <w:sz w:val="20"/>
        </w:rPr>
      </w:pPr>
      <w:r w:rsidRPr="00CA63EE">
        <w:rPr>
          <w:rFonts w:ascii="Verdana" w:hAnsi="Verdana"/>
          <w:bCs/>
          <w:sz w:val="20"/>
        </w:rPr>
        <w:t>I.           La exposición de la cartera de inversión del Activo Administrado por la Sociedad de Inversión y por tipo de riesgo. Los informes sobre la exposición de riesgo, deberán incluir:</w:t>
      </w:r>
    </w:p>
    <w:p w:rsidR="00CA63EE" w:rsidRPr="00CA63EE" w:rsidRDefault="00CA63EE" w:rsidP="00CA63EE">
      <w:pPr>
        <w:jc w:val="both"/>
        <w:rPr>
          <w:rFonts w:ascii="Verdana" w:hAnsi="Verdana"/>
          <w:bCs/>
          <w:sz w:val="20"/>
        </w:rPr>
      </w:pPr>
      <w:r w:rsidRPr="00CA63EE">
        <w:rPr>
          <w:rFonts w:ascii="Verdana" w:hAnsi="Verdana"/>
          <w:bCs/>
          <w:sz w:val="20"/>
        </w:rPr>
        <w:t>a)   Análisis de sensibilidad de la cartera de inversión, la cual se deberá desagregar por Factores de Riesgo y Clase de Activo, conforme a lo establecido en la metodología que defina el Comité de Riesgos Financieros, 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b)   Pruebas de cartera bajo escenarios de estrés, las cuales se deberán presentar para la cartera de inversión del Activo Administrado por la Sociedad de Inversión, así como por Factores de Riesgo y Clase de Activo.</w:t>
      </w:r>
    </w:p>
    <w:p w:rsidR="00CA63EE" w:rsidRPr="00CA63EE" w:rsidRDefault="00CA63EE" w:rsidP="00CA63EE">
      <w:pPr>
        <w:jc w:val="both"/>
        <w:rPr>
          <w:rFonts w:ascii="Verdana" w:hAnsi="Verdana"/>
          <w:bCs/>
          <w:sz w:val="20"/>
        </w:rPr>
      </w:pPr>
      <w:r w:rsidRPr="00CA63EE">
        <w:rPr>
          <w:rFonts w:ascii="Verdana" w:hAnsi="Verdana"/>
          <w:bCs/>
          <w:sz w:val="20"/>
        </w:rPr>
        <w:t>II.          Las desviaciones que en su caso se presenten respecto de los límites máximos de riesgo, establecidos por el Comité de Riesgos Financieros, proponiendo, cuando así corresponda, las acciones correctivas necesarias;</w:t>
      </w:r>
    </w:p>
    <w:p w:rsidR="00CA63EE" w:rsidRPr="00CA63EE" w:rsidRDefault="00CA63EE" w:rsidP="00CA63EE">
      <w:pPr>
        <w:jc w:val="both"/>
        <w:rPr>
          <w:rFonts w:ascii="Verdana" w:hAnsi="Verdana"/>
          <w:bCs/>
          <w:sz w:val="20"/>
        </w:rPr>
      </w:pPr>
      <w:r w:rsidRPr="00CA63EE">
        <w:rPr>
          <w:rFonts w:ascii="Verdana" w:hAnsi="Verdana"/>
          <w:bCs/>
          <w:sz w:val="20"/>
        </w:rPr>
        <w:t>III.          El rendimiento observado, rendimiento ajustado por riesgo y rendimiento esperado de la cartera de inversión del Activo Administrado por la Sociedad de Inversión y de forma agregada para cada uno de los siguientes tipos de inversiones o subyacentes:</w:t>
      </w:r>
    </w:p>
    <w:p w:rsidR="00CA63EE" w:rsidRPr="00CA63EE" w:rsidRDefault="00CA63EE" w:rsidP="00CA63EE">
      <w:pPr>
        <w:jc w:val="both"/>
        <w:rPr>
          <w:rFonts w:ascii="Verdana" w:hAnsi="Verdana"/>
          <w:bCs/>
          <w:sz w:val="20"/>
        </w:rPr>
      </w:pPr>
      <w:r w:rsidRPr="00CA63EE">
        <w:rPr>
          <w:rFonts w:ascii="Verdana" w:hAnsi="Verdana"/>
          <w:bCs/>
          <w:sz w:val="20"/>
        </w:rPr>
        <w:t>a)   Mercancías;</w:t>
      </w:r>
    </w:p>
    <w:p w:rsidR="00CA63EE" w:rsidRPr="00CA63EE" w:rsidRDefault="00CA63EE" w:rsidP="00CA63EE">
      <w:pPr>
        <w:jc w:val="both"/>
        <w:rPr>
          <w:rFonts w:ascii="Verdana" w:hAnsi="Verdana"/>
          <w:bCs/>
          <w:sz w:val="20"/>
        </w:rPr>
      </w:pPr>
      <w:r w:rsidRPr="00CA63EE">
        <w:rPr>
          <w:rFonts w:ascii="Verdana" w:hAnsi="Verdana"/>
          <w:bCs/>
          <w:sz w:val="20"/>
        </w:rPr>
        <w:t>b)   Divisas;</w:t>
      </w:r>
    </w:p>
    <w:p w:rsidR="00CA63EE" w:rsidRPr="00CA63EE" w:rsidRDefault="00CA63EE" w:rsidP="00CA63EE">
      <w:pPr>
        <w:jc w:val="both"/>
        <w:rPr>
          <w:rFonts w:ascii="Verdana" w:hAnsi="Verdana"/>
          <w:bCs/>
          <w:sz w:val="20"/>
        </w:rPr>
      </w:pPr>
      <w:r w:rsidRPr="00CA63EE">
        <w:rPr>
          <w:rFonts w:ascii="Verdana" w:hAnsi="Verdana"/>
          <w:bCs/>
          <w:sz w:val="20"/>
        </w:rPr>
        <w:t>c)   Instrumentos de Deuda y tasas de interés;</w:t>
      </w:r>
    </w:p>
    <w:p w:rsidR="00CA63EE" w:rsidRPr="00CA63EE" w:rsidRDefault="00CA63EE" w:rsidP="00CA63EE">
      <w:pPr>
        <w:jc w:val="both"/>
        <w:rPr>
          <w:rFonts w:ascii="Verdana" w:hAnsi="Verdana"/>
          <w:bCs/>
          <w:sz w:val="20"/>
        </w:rPr>
      </w:pPr>
      <w:r w:rsidRPr="00CA63EE">
        <w:rPr>
          <w:rFonts w:ascii="Verdana" w:hAnsi="Verdana"/>
          <w:bCs/>
          <w:sz w:val="20"/>
        </w:rPr>
        <w:t>d)   Valores Extranjeros de Deuda;</w:t>
      </w:r>
    </w:p>
    <w:p w:rsidR="00CA63EE" w:rsidRPr="00CA63EE" w:rsidRDefault="00CA63EE" w:rsidP="00CA63EE">
      <w:pPr>
        <w:jc w:val="both"/>
        <w:rPr>
          <w:rFonts w:ascii="Verdana" w:hAnsi="Verdana"/>
          <w:bCs/>
          <w:sz w:val="20"/>
        </w:rPr>
      </w:pPr>
      <w:r w:rsidRPr="00CA63EE">
        <w:rPr>
          <w:rFonts w:ascii="Verdana" w:hAnsi="Verdana"/>
          <w:bCs/>
          <w:sz w:val="20"/>
        </w:rPr>
        <w:lastRenderedPageBreak/>
        <w:t>e)   Componentes de Renta Variable;</w:t>
      </w:r>
    </w:p>
    <w:p w:rsidR="00CA63EE" w:rsidRPr="00CA63EE" w:rsidRDefault="00CA63EE" w:rsidP="00CA63EE">
      <w:pPr>
        <w:jc w:val="both"/>
        <w:rPr>
          <w:rFonts w:ascii="Verdana" w:hAnsi="Verdana"/>
          <w:bCs/>
          <w:sz w:val="20"/>
        </w:rPr>
      </w:pPr>
      <w:r w:rsidRPr="00CA63EE">
        <w:rPr>
          <w:rFonts w:ascii="Verdana" w:hAnsi="Verdana"/>
          <w:bCs/>
          <w:sz w:val="20"/>
        </w:rPr>
        <w:t>f)    FIBRAS, y</w:t>
      </w:r>
    </w:p>
    <w:p w:rsidR="00CA63EE" w:rsidRPr="00CA63EE" w:rsidRDefault="00CA63EE" w:rsidP="00CA63EE">
      <w:pPr>
        <w:jc w:val="both"/>
        <w:rPr>
          <w:rFonts w:ascii="Verdana" w:hAnsi="Verdana"/>
          <w:bCs/>
          <w:sz w:val="20"/>
        </w:rPr>
      </w:pPr>
      <w:r w:rsidRPr="00CA63EE">
        <w:rPr>
          <w:rFonts w:ascii="Verdana" w:hAnsi="Verdana"/>
          <w:bCs/>
          <w:sz w:val="20"/>
        </w:rPr>
        <w:t>g)   Vehículos de Inversión Inmobiliaria.</w:t>
      </w:r>
    </w:p>
    <w:p w:rsidR="00CA63EE" w:rsidRPr="00CA63EE" w:rsidRDefault="00CA63EE" w:rsidP="00CA63EE">
      <w:pPr>
        <w:jc w:val="both"/>
        <w:rPr>
          <w:rFonts w:ascii="Verdana" w:hAnsi="Verdana"/>
          <w:bCs/>
          <w:sz w:val="20"/>
        </w:rPr>
      </w:pPr>
      <w:r w:rsidRPr="00CA63EE">
        <w:rPr>
          <w:rFonts w:ascii="Verdana" w:hAnsi="Verdana"/>
          <w:bCs/>
          <w:sz w:val="20"/>
        </w:rPr>
        <w:t>             El rendimiento se deberá calcular para los distintos horizontes de tiempo que defina el Comité de Riesgos Financieros y deberá ser cuantificado contra el portafolio de referencia aplicable a la cartera de inversión del Activo Total de la Sociedad de Inversión. Los Activos Administrados por los Mandatarios podrán ser excluidos para los cálculos referidos en la presente fracción. El área de inversiones o, en su caso, el área de riesgos, deberán realizar los cálculos de los rendimientos esperados a los que se refiere la presente fracción;</w:t>
      </w:r>
    </w:p>
    <w:p w:rsidR="00CA63EE" w:rsidRPr="00CA63EE" w:rsidRDefault="00CA63EE" w:rsidP="00CA63EE">
      <w:pPr>
        <w:jc w:val="both"/>
        <w:rPr>
          <w:rFonts w:ascii="Verdana" w:hAnsi="Verdana"/>
          <w:bCs/>
          <w:sz w:val="20"/>
        </w:rPr>
      </w:pPr>
      <w:r w:rsidRPr="00CA63EE">
        <w:rPr>
          <w:rFonts w:ascii="Verdana" w:hAnsi="Verdana"/>
          <w:bCs/>
          <w:sz w:val="20"/>
        </w:rPr>
        <w:t>IV.         La atribución al rendimiento y la atribución al riesgo, con base en la metodología aprobada por el Comité de Riesgos Financieros. Para lo anterior, se deberá identificar la atribución al rendimiento y al riesgo de la cartera de inversión del Activo Administrado por la Sociedad de Inversión observado para cada Clase de Activo o Factor de Riesgo que conforma la cartera de la Sociedad de Inversión, lo cual deberá calcularse para distintos horizontes de tiempo. Para el caso de Derivados, se deberá calcular la atribución al riesgo considerando Factores de Riesgo. Para el caso del portafolio de referencia, se deberá calcular la atribución de rendimiento y del riesgo, con base en la metodología aprobada por el Comité de Riesgos Financieros, de la cartera de inversión del Activo Total de la Sociedad de Inversión respecto al portafolio de referencia y se deberán presentar de manera trimestral en las sesiones de los Comités de Inversión y de Riesgos Financieros. Los Activos Administrados por los Mandatarios podrán ser excluidos para el cálculo referido en la presente fracción;</w:t>
      </w:r>
    </w:p>
    <w:p w:rsidR="00CA63EE" w:rsidRPr="00CA63EE" w:rsidRDefault="00CA63EE" w:rsidP="00CA63EE">
      <w:pPr>
        <w:jc w:val="both"/>
        <w:rPr>
          <w:rFonts w:ascii="Verdana" w:hAnsi="Verdana"/>
          <w:bCs/>
          <w:sz w:val="20"/>
        </w:rPr>
      </w:pPr>
      <w:r w:rsidRPr="00CA63EE">
        <w:rPr>
          <w:rFonts w:ascii="Verdana" w:hAnsi="Verdana"/>
          <w:bCs/>
          <w:sz w:val="20"/>
        </w:rPr>
        <w:t>V.          La exposición de la cartera de inversión del Activo Administrado por la Sociedad de Inversión por tipo de riesgo incluyendo el Valor Delta Equivalente de las posiciones en Derivados, para todos los subyacentes;</w:t>
      </w:r>
    </w:p>
    <w:p w:rsidR="00CA63EE" w:rsidRPr="00CA63EE" w:rsidRDefault="00CA63EE" w:rsidP="00CA63EE">
      <w:pPr>
        <w:jc w:val="both"/>
        <w:rPr>
          <w:rFonts w:ascii="Verdana" w:hAnsi="Verdana"/>
          <w:bCs/>
          <w:sz w:val="20"/>
        </w:rPr>
      </w:pPr>
      <w:r w:rsidRPr="00CA63EE">
        <w:rPr>
          <w:rFonts w:ascii="Verdana" w:hAnsi="Verdana"/>
          <w:bCs/>
          <w:sz w:val="20"/>
        </w:rPr>
        <w:t>VI.         El porcentaje de uso de los límites del régimen de inversión y de los Límites Prudenciales, las capacidades disponibles en cada uno de los límites y, en su caso, si se detonaron Alarmas Tempranas;</w:t>
      </w:r>
    </w:p>
    <w:p w:rsidR="00CA63EE" w:rsidRPr="00CA63EE" w:rsidRDefault="00CA63EE" w:rsidP="00CA63EE">
      <w:pPr>
        <w:jc w:val="both"/>
        <w:rPr>
          <w:rFonts w:ascii="Verdana" w:hAnsi="Verdana"/>
          <w:bCs/>
          <w:sz w:val="20"/>
        </w:rPr>
      </w:pPr>
      <w:r w:rsidRPr="00CA63EE">
        <w:rPr>
          <w:rFonts w:ascii="Verdana" w:hAnsi="Verdana"/>
          <w:bCs/>
          <w:sz w:val="20"/>
        </w:rPr>
        <w:t>VII.         El porcentaje de uso de los límites de concentración y las capacidades disponibles en estos límites para el Activo Administrado por la Sociedad de Inversión, así como realizar la evaluación crediticia adicional, a que se refiere la fracción XIV del artículo 3;</w:t>
      </w:r>
    </w:p>
    <w:p w:rsidR="00CA63EE" w:rsidRPr="00CA63EE" w:rsidRDefault="00CA63EE" w:rsidP="00CA63EE">
      <w:pPr>
        <w:jc w:val="both"/>
        <w:rPr>
          <w:rFonts w:ascii="Verdana" w:hAnsi="Verdana"/>
          <w:bCs/>
          <w:sz w:val="20"/>
        </w:rPr>
      </w:pPr>
      <w:r w:rsidRPr="00CA63EE">
        <w:rPr>
          <w:rFonts w:ascii="Verdana" w:hAnsi="Verdana"/>
          <w:bCs/>
          <w:sz w:val="20"/>
        </w:rPr>
        <w:t>VIII.        Los resultados de las pruebas de carteras aplicables a la cartera de inversión del Activo Administrado por la Sociedad de Inversión bajo escenarios de estrés suponiendo ajustes en Factores de Riesgos como: Divisas, tasas de interés, volatilidades para el caso de opciones y para Estructuras Vinculadas a Subyacentes, inflación, precios de Componentes de Renta Variable, precios de Mercancías, así como los que el Comité de Riesgos Financieros </w:t>
      </w:r>
      <w:proofErr w:type="spellStart"/>
      <w:r w:rsidRPr="00CA63EE">
        <w:rPr>
          <w:rFonts w:ascii="Verdana" w:hAnsi="Verdana"/>
          <w:bCs/>
          <w:sz w:val="20"/>
        </w:rPr>
        <w:t>juzguerelevantes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lastRenderedPageBreak/>
        <w:t>IX.         Los resultados de las pruebas de carteras bajo escenarios de estrés definidos por el Comité de Riesgos Financieros aplicables a la cartera de inversión del Activo Administrado por la Sociedad de Inversión. Las magnitudes de los ajustes a los Factores de Riesgo de dichos escenarios deben ser equiparables a cuatro crisis financieras históricas;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          Los resultados de escenarios hipotéticos aplicables a la cartera de inversión del Activo Administrado por la Sociedad de Inversión, definidos por el Comité de Riesgos Financieros, conocidos en la práctica y en el idioma inglés como escenarios </w:t>
      </w:r>
      <w:r w:rsidRPr="00CA63EE">
        <w:rPr>
          <w:rFonts w:ascii="Verdana" w:hAnsi="Verdana"/>
          <w:bCs/>
          <w:i/>
          <w:iCs/>
          <w:sz w:val="20"/>
        </w:rPr>
        <w:t>"</w:t>
      </w:r>
      <w:proofErr w:type="spellStart"/>
      <w:r w:rsidRPr="00CA63EE">
        <w:rPr>
          <w:rFonts w:ascii="Verdana" w:hAnsi="Verdana"/>
          <w:bCs/>
          <w:i/>
          <w:iCs/>
          <w:sz w:val="20"/>
        </w:rPr>
        <w:t>what</w:t>
      </w:r>
      <w:proofErr w:type="spellEnd"/>
      <w:r w:rsidRPr="00CA63EE">
        <w:rPr>
          <w:rFonts w:ascii="Verdana" w:hAnsi="Verdana"/>
          <w:bCs/>
          <w:i/>
          <w:iCs/>
          <w:sz w:val="20"/>
        </w:rPr>
        <w:t xml:space="preserve"> </w:t>
      </w:r>
      <w:proofErr w:type="spellStart"/>
      <w:r w:rsidRPr="00CA63EE">
        <w:rPr>
          <w:rFonts w:ascii="Verdana" w:hAnsi="Verdana"/>
          <w:bCs/>
          <w:i/>
          <w:iCs/>
          <w:sz w:val="20"/>
        </w:rPr>
        <w:t>if</w:t>
      </w:r>
      <w:proofErr w:type="spellEnd"/>
      <w:r w:rsidRPr="00CA63EE">
        <w:rPr>
          <w:rFonts w:ascii="Verdana" w:hAnsi="Verdana"/>
          <w:bCs/>
          <w:i/>
          <w:iCs/>
          <w:sz w:val="20"/>
        </w:rPr>
        <w:t>"</w:t>
      </w:r>
      <w:r w:rsidRPr="00CA63EE">
        <w:rPr>
          <w:rFonts w:ascii="Verdana" w:hAnsi="Verdana"/>
          <w:bCs/>
          <w:sz w:val="20"/>
        </w:rPr>
        <w:t> bajo condiciones extremas;</w:t>
      </w:r>
    </w:p>
    <w:p w:rsidR="00CA63EE" w:rsidRPr="00CA63EE" w:rsidRDefault="00CA63EE" w:rsidP="00CA63EE">
      <w:pPr>
        <w:jc w:val="both"/>
        <w:rPr>
          <w:rFonts w:ascii="Verdana" w:hAnsi="Verdana"/>
          <w:bCs/>
          <w:sz w:val="20"/>
        </w:rPr>
      </w:pPr>
      <w:r w:rsidRPr="00CA63EE">
        <w:rPr>
          <w:rFonts w:ascii="Verdana" w:hAnsi="Verdana"/>
          <w:bCs/>
          <w:sz w:val="20"/>
        </w:rPr>
        <w:t xml:space="preserve">XI.         Los valores de las medidas de sensibilidad para la cartera de inversión del Activo Administrado por la Sociedad de Inversión deberán considerar las siguientes: duración, convexidad, Valor en Riesgo histórico, Valor en Riesgo paramétrico, Valor en Riesgo </w:t>
      </w:r>
      <w:proofErr w:type="spellStart"/>
      <w:r w:rsidRPr="00CA63EE">
        <w:rPr>
          <w:rFonts w:ascii="Verdana" w:hAnsi="Verdana"/>
          <w:bCs/>
          <w:sz w:val="20"/>
        </w:rPr>
        <w:t>montecarlo</w:t>
      </w:r>
      <w:proofErr w:type="spellEnd"/>
      <w:r w:rsidRPr="00CA63EE">
        <w:rPr>
          <w:rFonts w:ascii="Verdana" w:hAnsi="Verdana"/>
          <w:bCs/>
          <w:sz w:val="20"/>
        </w:rPr>
        <w:t xml:space="preserve">, Valor en Riesgo Condicional, Diferencial del Valor en Riesgo Condicional, griegas para Derivados, escenarios de estrés con base en una distribución de teoría de valores extremos, plazos promedio ponderados, volatilidad histórica, volatilidad implícita, valor precio de un punto base, sin perjuicio de </w:t>
      </w:r>
      <w:proofErr w:type="spellStart"/>
      <w:r w:rsidRPr="00CA63EE">
        <w:rPr>
          <w:rFonts w:ascii="Verdana" w:hAnsi="Verdana"/>
          <w:bCs/>
          <w:sz w:val="20"/>
        </w:rPr>
        <w:t>lasdemás</w:t>
      </w:r>
      <w:proofErr w:type="spellEnd"/>
      <w:r w:rsidRPr="00CA63EE">
        <w:rPr>
          <w:rFonts w:ascii="Verdana" w:hAnsi="Verdana"/>
          <w:bCs/>
          <w:sz w:val="20"/>
        </w:rPr>
        <w:t xml:space="preserve"> que defina el Comité de Riesgos Financieros en el Manual de Políticas y Procedimientos para la Administración del Riesgo Financiero, precisando qué medidas son aplicables para cada Activo Objeto de Inversión. En caso de que alguna de las medidas anteriores no sea aplicable para algunos Activos Objeto de Inversión, el Comité de Riesgos Financieros podrá definir las medidas de sensibilidad aplicables, debiendo contar con el visto bueno de la mayoría de los Consejeros Independientes, lo cual deberán hacerlo constar en el Acta Pormenorizada de la sesión en que sea aprobado por dicho Comité;</w:t>
      </w:r>
    </w:p>
    <w:p w:rsidR="00CA63EE" w:rsidRPr="00CA63EE" w:rsidRDefault="00CA63EE" w:rsidP="00CA63EE">
      <w:pPr>
        <w:jc w:val="both"/>
        <w:rPr>
          <w:rFonts w:ascii="Verdana" w:hAnsi="Verdana"/>
          <w:bCs/>
          <w:sz w:val="20"/>
        </w:rPr>
      </w:pPr>
      <w:r w:rsidRPr="00CA63EE">
        <w:rPr>
          <w:rFonts w:ascii="Verdana" w:hAnsi="Verdana"/>
          <w:bCs/>
          <w:sz w:val="20"/>
        </w:rPr>
        <w:t>XII.        Los elementos de medición de riesgo crédito o crediticio aplicables a la cartera de inversión del Activo Administrado por la Sociedad de Inversión, definidos por el Comité de Riesgos Financieros y los siguientes elementos: probabilidad de incumplimiento utilizando la metodología aprobada por el citado Comité, severidad potencial de la pérdida o minusvalía, concentración de cartera por grado de riesgo crédito o crediticio, revelación y estatus de instrumentos con calificaciones crediticias fuera del régimen de inversión. El Comité de Riesgos Financieros deberá definir el nivel de desagregación para aplicar los análisis previstos en el presente párrafo;</w:t>
      </w:r>
    </w:p>
    <w:p w:rsidR="00CA63EE" w:rsidRPr="00CA63EE" w:rsidRDefault="00CA63EE" w:rsidP="00CA63EE">
      <w:pPr>
        <w:jc w:val="both"/>
        <w:rPr>
          <w:rFonts w:ascii="Verdana" w:hAnsi="Verdana"/>
          <w:bCs/>
          <w:sz w:val="20"/>
        </w:rPr>
      </w:pPr>
      <w:r w:rsidRPr="00CA63EE">
        <w:rPr>
          <w:rFonts w:ascii="Verdana" w:hAnsi="Verdana"/>
          <w:bCs/>
          <w:sz w:val="20"/>
        </w:rPr>
        <w:t xml:space="preserve">XII BIS.   El resultado de la evaluación crediticia adicional por emisor y Contraparte, a que se refiere la fracción XIV del artículo 3, el cual deberá estar acompañado por la calificación crediticia provista por las instituciones calificadoras de valores, una opinión del Responsable del Área de Riesgos respecto a la viabilidad del emisor y Contraparte, así como límites máximos de inversión por cada emisor y Contraparte. La opinión del Responsable del Área de Riesgos deberá estar respaldada por modelos crediticios, información obtenida a través de sistemas y medios de suscripción autorizados por los Comités de Inversión, elementos cualitativos y cuantitativos que el Comité de Riesgos Financieros defina. En caso de que los elementos cualitativos de la evaluación crediticia adicional se encuentren integrados en el Sistema Integral Automatizado no será </w:t>
      </w:r>
      <w:r w:rsidRPr="00CA63EE">
        <w:rPr>
          <w:rFonts w:ascii="Verdana" w:hAnsi="Verdana"/>
          <w:bCs/>
          <w:sz w:val="20"/>
        </w:rPr>
        <w:lastRenderedPageBreak/>
        <w:t>necesario lo previsto en la presente fracción. Los elementos cuantitativos de la evaluación crediticia adicional se deberán integrar al Sistema Integral Automatizado;</w:t>
      </w:r>
    </w:p>
    <w:p w:rsidR="00CA63EE" w:rsidRPr="00CA63EE" w:rsidRDefault="00CA63EE" w:rsidP="00CA63EE">
      <w:pPr>
        <w:jc w:val="both"/>
        <w:rPr>
          <w:rFonts w:ascii="Verdana" w:hAnsi="Verdana"/>
          <w:bCs/>
          <w:sz w:val="20"/>
        </w:rPr>
      </w:pPr>
      <w:r w:rsidRPr="00CA63EE">
        <w:rPr>
          <w:rFonts w:ascii="Verdana" w:hAnsi="Verdana"/>
          <w:bCs/>
          <w:sz w:val="20"/>
        </w:rPr>
        <w:t>             La revisión, actualización y presentación del reporte referido en la presente fracción deberá realizarse al menos anualmente o bien, cuando existan eventos relevantes que impacten la evaluación crediticia adicional, cuando las Sociedades de Inversión adquieran una nueva emisión de Instrumentos de Deuda o Valores Extranjeros de Deuda u operen con una nueva Contraparte, así como cuando el Comité de Riesgos Financieros lo determine.</w:t>
      </w:r>
    </w:p>
    <w:p w:rsidR="00CA63EE" w:rsidRPr="00CA63EE" w:rsidRDefault="00CA63EE" w:rsidP="00CA63EE">
      <w:pPr>
        <w:jc w:val="both"/>
        <w:rPr>
          <w:rFonts w:ascii="Verdana" w:hAnsi="Verdana"/>
          <w:bCs/>
          <w:sz w:val="20"/>
        </w:rPr>
      </w:pPr>
      <w:r w:rsidRPr="00CA63EE">
        <w:rPr>
          <w:rFonts w:ascii="Verdana" w:hAnsi="Verdana"/>
          <w:bCs/>
          <w:sz w:val="20"/>
        </w:rPr>
        <w:t>             Para efectos de lo previsto en la presente fracción, la Administradora podrá determinar que el Responsable del Área de Inversiones sea quien presente la opinión referida;</w:t>
      </w:r>
    </w:p>
    <w:p w:rsidR="00CA63EE" w:rsidRPr="00CA63EE" w:rsidRDefault="00CA63EE" w:rsidP="00CA63EE">
      <w:pPr>
        <w:jc w:val="both"/>
        <w:rPr>
          <w:rFonts w:ascii="Verdana" w:hAnsi="Verdana"/>
          <w:bCs/>
          <w:sz w:val="20"/>
        </w:rPr>
      </w:pPr>
      <w:r w:rsidRPr="00CA63EE">
        <w:rPr>
          <w:rFonts w:ascii="Verdana" w:hAnsi="Verdana"/>
          <w:bCs/>
          <w:sz w:val="20"/>
        </w:rPr>
        <w:t>XIII.        Los elementos de medición de riesgo liquidez aplicables a la cartera de inversión del Activo Administrado por la Sociedad de Inversión, definidos por el Comité de Riesgos Financieros, considerando los siguientes elementos: distribución de recursos en cada Sociedad de Inversión por edad específica, perfil de vencimientos en los próximos diez años, estimaciones de entradas y salidas de recursos por procesos financieros y operativos, estos últimos previstos en las Disposiciones de carácter general en materia de operaciones que emita la Comisión. Los análisis referidos en el presente párrafo deberán realizarse con elementos demográficos, estadísticos, financieros y actuariales. La revisión y actualización de los elementos demográficos y actuariales deberá realizarse al menos anualmente;</w:t>
      </w:r>
    </w:p>
    <w:p w:rsidR="00CA63EE" w:rsidRPr="00CA63EE" w:rsidRDefault="00CA63EE" w:rsidP="00CA63EE">
      <w:pPr>
        <w:jc w:val="both"/>
        <w:rPr>
          <w:rFonts w:ascii="Verdana" w:hAnsi="Verdana"/>
          <w:bCs/>
          <w:sz w:val="20"/>
        </w:rPr>
      </w:pPr>
      <w:r w:rsidRPr="00CA63EE">
        <w:rPr>
          <w:rFonts w:ascii="Verdana" w:hAnsi="Verdana"/>
          <w:bCs/>
          <w:sz w:val="20"/>
        </w:rPr>
        <w:t xml:space="preserve">             Asimismo, para la cartera de inversión del Activo Total de la Sociedad de Inversión se deberá realizar una clasificación de los activos que conforman las carteras de inversión de las Sociedades de Inversión de acuerdo a las características de liquidez. Para operaciones con Derivados, se deberá dar seguimiento a la capacidad disponible y al porcentaje de uso de líneas de crédito con Contrapartes. Para efectos de lo previsto en el presente párrafo, </w:t>
      </w:r>
      <w:proofErr w:type="spellStart"/>
      <w:r w:rsidRPr="00CA63EE">
        <w:rPr>
          <w:rFonts w:ascii="Verdana" w:hAnsi="Verdana"/>
          <w:bCs/>
          <w:sz w:val="20"/>
        </w:rPr>
        <w:t>lasAdministradoras</w:t>
      </w:r>
      <w:proofErr w:type="spellEnd"/>
      <w:r w:rsidRPr="00CA63EE">
        <w:rPr>
          <w:rFonts w:ascii="Verdana" w:hAnsi="Verdana"/>
          <w:bCs/>
          <w:sz w:val="20"/>
        </w:rPr>
        <w:t xml:space="preserve"> podrán definir políticas aplicables al Activo Administrado por los Mandatarios;</w:t>
      </w:r>
    </w:p>
    <w:p w:rsidR="00CA63EE" w:rsidRPr="00CA63EE" w:rsidRDefault="00CA63EE" w:rsidP="00CA63EE">
      <w:pPr>
        <w:jc w:val="both"/>
        <w:rPr>
          <w:rFonts w:ascii="Verdana" w:hAnsi="Verdana"/>
          <w:bCs/>
          <w:sz w:val="20"/>
        </w:rPr>
      </w:pPr>
      <w:r w:rsidRPr="00CA63EE">
        <w:rPr>
          <w:rFonts w:ascii="Verdana" w:hAnsi="Verdana"/>
          <w:bCs/>
          <w:sz w:val="20"/>
        </w:rPr>
        <w:t>XIV.       Exposición de la cartera de inversión del Activo Administrado por la Sociedad de Inversión considerando los diferentes tipos de subyacentes identificados por la UAIR, operaciones y sectores o actividades económicas;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XV.        Medidas de apalancamiento, que comprenda el Diferencial del Valor en Riesgo Condicional de la cartera de inversión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XVI.       Medidas prudenciales de apalancamiento que defina el Comité de Riesgos Financieros distintas a las previstas en la fracción XV anterior;</w:t>
      </w:r>
    </w:p>
    <w:p w:rsidR="00CA63EE" w:rsidRPr="00CA63EE" w:rsidRDefault="00CA63EE" w:rsidP="00CA63EE">
      <w:pPr>
        <w:jc w:val="both"/>
        <w:rPr>
          <w:rFonts w:ascii="Verdana" w:hAnsi="Verdana"/>
          <w:bCs/>
          <w:sz w:val="20"/>
        </w:rPr>
      </w:pPr>
      <w:r w:rsidRPr="00CA63EE">
        <w:rPr>
          <w:rFonts w:ascii="Verdana" w:hAnsi="Verdana"/>
          <w:bCs/>
          <w:sz w:val="20"/>
        </w:rPr>
        <w:t xml:space="preserve">XVII.      Valor en Riesgo Condicional y Diferencial de Valor en Riesgo Condicional calculados bajo escenarios de estrés aplicados a la cartera de inversión del Activo </w:t>
      </w:r>
      <w:r w:rsidRPr="00CA63EE">
        <w:rPr>
          <w:rFonts w:ascii="Verdana" w:hAnsi="Verdana"/>
          <w:bCs/>
          <w:sz w:val="20"/>
        </w:rPr>
        <w:lastRenderedPageBreak/>
        <w:t>Administrado por la Sociedad de Inversión usando las fechas previstas en el Anexo A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XVIII.      El nivel diario del Coeficiente de Liquidez y, en su caso, de aquellos parámetros de liquidez mínima por posiciones en Derivados aplicables a la cartera de inversión del Activo Administrado por la Sociedad de Inversión, definidos por el Comité de Riesgos Financieros, así como las Alarmas Tempranas a distintos niveles definidas por el Comité de Riesgos Financieros. Adicionalmente, este reporte deberá informarse diariamente al Responsable del Área </w:t>
      </w:r>
      <w:proofErr w:type="spellStart"/>
      <w:r w:rsidRPr="00CA63EE">
        <w:rPr>
          <w:rFonts w:ascii="Verdana" w:hAnsi="Verdana"/>
          <w:bCs/>
          <w:sz w:val="20"/>
        </w:rPr>
        <w:t>deInversiones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XIX.       Desviaciones estándar de los rendimientos calculadas cuando menos a dos horizontes aplicables a las carteras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XX.        La exposición máxima y la calificación crediticia definida por el Comité de Riesgos Financieros para cada Emisor Nacional, Emisor Extranjero, Contraparte nacional o Contraparte extranjera;</w:t>
      </w:r>
    </w:p>
    <w:p w:rsidR="00CA63EE" w:rsidRPr="00CA63EE" w:rsidRDefault="00CA63EE" w:rsidP="00CA63EE">
      <w:pPr>
        <w:jc w:val="both"/>
        <w:rPr>
          <w:rFonts w:ascii="Verdana" w:hAnsi="Verdana"/>
          <w:bCs/>
          <w:sz w:val="20"/>
        </w:rPr>
      </w:pPr>
      <w:r w:rsidRPr="00CA63EE">
        <w:rPr>
          <w:rFonts w:ascii="Verdana" w:hAnsi="Verdana"/>
          <w:bCs/>
          <w:sz w:val="20"/>
        </w:rPr>
        <w:t>XXI.       La exposición máxima y calificación crediticia aplicables a las cámaras de compensación de las Bolsas de Derivados en los cuales operen las Sociedades de Inversión y, en su caso, los Mandatarios;</w:t>
      </w:r>
    </w:p>
    <w:p w:rsidR="00CA63EE" w:rsidRPr="00CA63EE" w:rsidRDefault="00CA63EE" w:rsidP="00CA63EE">
      <w:pPr>
        <w:jc w:val="both"/>
        <w:rPr>
          <w:rFonts w:ascii="Verdana" w:hAnsi="Verdana"/>
          <w:bCs/>
          <w:sz w:val="20"/>
        </w:rPr>
      </w:pPr>
      <w:r w:rsidRPr="00CA63EE">
        <w:rPr>
          <w:rFonts w:ascii="Verdana" w:hAnsi="Verdana"/>
          <w:bCs/>
          <w:sz w:val="20"/>
        </w:rPr>
        <w:t xml:space="preserve">XXII.      La exposición de la cartera de inversión del Activo Administrado por la Sociedad de Inversión por tipo de subyacente para las operaciones de préstamo de valores y reporto. El rendimiento de estas operaciones, informe sobre los cambios en los niveles de las garantías, calificación crediticia de las Contrapartes, porcentaje de uso de los límites de concentración, liquidez, incumplimiento a cualquier política determinada por el Comité de Riesgos de </w:t>
      </w:r>
      <w:proofErr w:type="spellStart"/>
      <w:r w:rsidRPr="00CA63EE">
        <w:rPr>
          <w:rFonts w:ascii="Verdana" w:hAnsi="Verdana"/>
          <w:bCs/>
          <w:sz w:val="20"/>
        </w:rPr>
        <w:t>Financieros.El</w:t>
      </w:r>
      <w:proofErr w:type="spellEnd"/>
      <w:r w:rsidRPr="00CA63EE">
        <w:rPr>
          <w:rFonts w:ascii="Verdana" w:hAnsi="Verdana"/>
          <w:bCs/>
          <w:sz w:val="20"/>
        </w:rPr>
        <w:t> referido Comité podrá definir elementos adicionales a los previstos en la presente fracción;</w:t>
      </w:r>
    </w:p>
    <w:p w:rsidR="00CA63EE" w:rsidRPr="00CA63EE" w:rsidRDefault="00CA63EE" w:rsidP="00CA63EE">
      <w:pPr>
        <w:jc w:val="both"/>
        <w:rPr>
          <w:rFonts w:ascii="Verdana" w:hAnsi="Verdana"/>
          <w:bCs/>
          <w:sz w:val="20"/>
        </w:rPr>
      </w:pPr>
      <w:r w:rsidRPr="00CA63EE">
        <w:rPr>
          <w:rFonts w:ascii="Verdana" w:hAnsi="Verdana"/>
          <w:bCs/>
          <w:sz w:val="20"/>
        </w:rPr>
        <w:t>XXIII.      Desviación de la cartera de inversión del Activo Total Administrado por la Sociedad de Inversión respecto al portafolio de referencia y del margen máximo de desviación definido por el Comité de Inversión. Los Activos Administrados por los Mandatarios podrán ser excluidos para los cálculos referidos en la presente fracción;</w:t>
      </w:r>
    </w:p>
    <w:p w:rsidR="00CA63EE" w:rsidRPr="00CA63EE" w:rsidRDefault="00CA63EE" w:rsidP="00CA63EE">
      <w:pPr>
        <w:jc w:val="both"/>
        <w:rPr>
          <w:rFonts w:ascii="Verdana" w:hAnsi="Verdana"/>
          <w:bCs/>
          <w:sz w:val="20"/>
        </w:rPr>
      </w:pPr>
      <w:r w:rsidRPr="00CA63EE">
        <w:rPr>
          <w:rFonts w:ascii="Verdana" w:hAnsi="Verdana"/>
          <w:bCs/>
          <w:sz w:val="20"/>
        </w:rPr>
        <w:t>XXIV.      Las actividades descritas en el artículo 14 de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XXV.      El nivel de cobertura de los Activos Objeto de Inversión denominados en Divisas y las desviaciones a que se refiere la fracción XXI, del artículo 3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12.-</w:t>
      </w:r>
      <w:r w:rsidRPr="00CA63EE">
        <w:rPr>
          <w:rFonts w:ascii="Verdana" w:hAnsi="Verdana"/>
          <w:bCs/>
          <w:sz w:val="20"/>
        </w:rPr>
        <w:t> La UAIR entregará diariamente al director general de la Administradora, al Contralor Normativo y al Responsable del Área de Inversiones, un informe ejecutivo sobre el comportamiento de los Riesgos Financieros de las Sociedades de Inversión que opere la Administradora. El director general de la Administradora, podrá determinar una periodicidad distinta a la prevista en el presente párrafo para recibir dicho informe, dejando esta decisión asentada en las Actas Pormenorizadas del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13.-</w:t>
      </w:r>
      <w:r w:rsidRPr="00CA63EE">
        <w:rPr>
          <w:rFonts w:ascii="Verdana" w:hAnsi="Verdana"/>
          <w:bCs/>
          <w:sz w:val="20"/>
        </w:rPr>
        <w:t> La UAIR, para llevar a cabo la medición, seguimiento y control de los diversos tipos de Riesgos Financieros, así como la valuación de las posiciones de las Sociedades de Inversión que opere la Administradora, deberá:</w:t>
      </w:r>
    </w:p>
    <w:p w:rsidR="00CA63EE" w:rsidRPr="00CA63EE" w:rsidRDefault="00CA63EE" w:rsidP="00CA63EE">
      <w:pPr>
        <w:jc w:val="both"/>
        <w:rPr>
          <w:rFonts w:ascii="Verdana" w:hAnsi="Verdana"/>
          <w:bCs/>
          <w:sz w:val="20"/>
        </w:rPr>
      </w:pPr>
      <w:r w:rsidRPr="00CA63EE">
        <w:rPr>
          <w:rFonts w:ascii="Verdana" w:hAnsi="Verdana"/>
          <w:bCs/>
          <w:sz w:val="20"/>
        </w:rPr>
        <w:t>I.           Contar con modelos y metodologías para la administración de riesgos;</w:t>
      </w:r>
    </w:p>
    <w:p w:rsidR="00CA63EE" w:rsidRPr="00CA63EE" w:rsidRDefault="00CA63EE" w:rsidP="00CA63EE">
      <w:pPr>
        <w:jc w:val="both"/>
        <w:rPr>
          <w:rFonts w:ascii="Verdana" w:hAnsi="Verdana"/>
          <w:bCs/>
          <w:sz w:val="20"/>
        </w:rPr>
      </w:pPr>
      <w:r w:rsidRPr="00CA63EE">
        <w:rPr>
          <w:rFonts w:ascii="Verdana" w:hAnsi="Verdana"/>
          <w:bCs/>
          <w:sz w:val="20"/>
        </w:rPr>
        <w:t>II.          Realizar la administración de riesgos en el Sistema Integral Automatizado;</w:t>
      </w:r>
    </w:p>
    <w:p w:rsidR="00CA63EE" w:rsidRPr="00CA63EE" w:rsidRDefault="00CA63EE" w:rsidP="00CA63EE">
      <w:pPr>
        <w:jc w:val="both"/>
        <w:rPr>
          <w:rFonts w:ascii="Verdana" w:hAnsi="Verdana"/>
          <w:bCs/>
          <w:sz w:val="20"/>
        </w:rPr>
      </w:pPr>
      <w:r w:rsidRPr="00CA63EE">
        <w:rPr>
          <w:rFonts w:ascii="Verdana" w:hAnsi="Verdana"/>
          <w:bCs/>
          <w:sz w:val="20"/>
        </w:rPr>
        <w:t xml:space="preserve">III.          Prever que el Sistema Integral Automatizado para la actividad de registro de operaciones informe al Operador, previo a la concertación, cuando el nivel de riesgo asociado a determinados Activos Objeto de Inversión llegue a los límites que al efecto se prevean en las Disposiciones de carácter general que establecen el régimen de inversión al que deberán sujetarse las Sociedades de Inversión, los Límites Prudenciales y las Alarmas Tempranas. Dicho nivel </w:t>
      </w:r>
      <w:proofErr w:type="spellStart"/>
      <w:r w:rsidRPr="00CA63EE">
        <w:rPr>
          <w:rFonts w:ascii="Verdana" w:hAnsi="Verdana"/>
          <w:bCs/>
          <w:sz w:val="20"/>
        </w:rPr>
        <w:t>deriesgo</w:t>
      </w:r>
      <w:proofErr w:type="spellEnd"/>
      <w:r w:rsidRPr="00CA63EE">
        <w:rPr>
          <w:rFonts w:ascii="Verdana" w:hAnsi="Verdana"/>
          <w:bCs/>
          <w:sz w:val="20"/>
        </w:rPr>
        <w:t xml:space="preserve"> deberá calcularse en el Sistema Integral Automatizado para la actividad de administración de riesgos y, en su caso, transmitir las alertas que le apliquen al Operador a través del Sistema Integral Automatizado. Se deberá documentar en el Manual de Políticas y Procedimientos para la Administración del Riesgo Financiero, el procedimiento que se seguirá para detectar lo descrito en el presente párrafo. El Comité de Riesgos Financieros deberá definir el tiempo máximo para la vigencia de lo previsto en el presente párrafo.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En el caso de los Activos Objeto de Inversión que no cuenten con precios de mercado o Factores de Riesgo, se podrán utilizar Instrumentos Genéricos, con base en las políticas definidas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IV.         Asegurarse de que la información que sirva de base para calcular las posiciones de las Sociedades de Inversión utilizada en los modelos y en el Sistema Integral Automatizado para la actividad de administración de riesgos, sea precisa, íntegra y oportuna. Toda modificación a la citada información, así como la causa que la originó deberá quedar documentada;</w:t>
      </w:r>
    </w:p>
    <w:p w:rsidR="00CA63EE" w:rsidRPr="00CA63EE" w:rsidRDefault="00CA63EE" w:rsidP="00CA63EE">
      <w:pPr>
        <w:jc w:val="both"/>
        <w:rPr>
          <w:rFonts w:ascii="Verdana" w:hAnsi="Verdana"/>
          <w:bCs/>
          <w:sz w:val="20"/>
        </w:rPr>
      </w:pPr>
      <w:r w:rsidRPr="00CA63EE">
        <w:rPr>
          <w:rFonts w:ascii="Verdana" w:hAnsi="Verdana"/>
          <w:bCs/>
          <w:sz w:val="20"/>
        </w:rPr>
        <w:t xml:space="preserve">V.          Efectuar revisiones semestrales, o con mayor frecuencia cuando el Comité de Riesgos Financieros así lo defina, a los supuestos contenidos en los modelos de valuación y Parámetros de los Activos Objeto de Inversión. Los hallazgos detectados en la revisión, deberán informarse al Comité de Riesgos Financieros en la sesión inmediata posterior a la fecha en que se cumpla la periodicidad antes señalada. Asimismo deberá revisar y emitir una opinión respecto a </w:t>
      </w:r>
      <w:proofErr w:type="spellStart"/>
      <w:r w:rsidRPr="00CA63EE">
        <w:rPr>
          <w:rFonts w:ascii="Verdana" w:hAnsi="Verdana"/>
          <w:bCs/>
          <w:sz w:val="20"/>
        </w:rPr>
        <w:t>lasactualizaciones</w:t>
      </w:r>
      <w:proofErr w:type="spellEnd"/>
      <w:r w:rsidRPr="00CA63EE">
        <w:rPr>
          <w:rFonts w:ascii="Verdana" w:hAnsi="Verdana"/>
          <w:bCs/>
          <w:sz w:val="20"/>
        </w:rPr>
        <w:t xml:space="preserve"> del Sistema Integral Automatizado para la actividad de administración de riesgos de conformidad con la política y la periodicidad que defina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 xml:space="preserve">VI.         Generar una valuación independiente a la proporcionada por los Proveedores de Precios para cada uno de los Activos Objeto de Inversión que conforman la cartera de inversión gestionada directamente por la Sociedad de Inversión, con excepción de las inversiones en Componentes de Renta Variable, Mercancías, Divisas, FIBRAS, valores gubernamentales y Derivados de mercados listados. En el caso de los Activos Objeto de Inversión que no cuenten con precios de mercado o Factores de Riesgo, se </w:t>
      </w:r>
      <w:r w:rsidRPr="00CA63EE">
        <w:rPr>
          <w:rFonts w:ascii="Verdana" w:hAnsi="Verdana"/>
          <w:bCs/>
          <w:sz w:val="20"/>
        </w:rPr>
        <w:lastRenderedPageBreak/>
        <w:t xml:space="preserve">podrán utilizar Instrumentos Genéricos para realizar </w:t>
      </w:r>
      <w:proofErr w:type="spellStart"/>
      <w:r w:rsidRPr="00CA63EE">
        <w:rPr>
          <w:rFonts w:ascii="Verdana" w:hAnsi="Verdana"/>
          <w:bCs/>
          <w:sz w:val="20"/>
        </w:rPr>
        <w:t>lavaluación</w:t>
      </w:r>
      <w:proofErr w:type="spellEnd"/>
      <w:r w:rsidRPr="00CA63EE">
        <w:rPr>
          <w:rFonts w:ascii="Verdana" w:hAnsi="Verdana"/>
          <w:bCs/>
          <w:sz w:val="20"/>
        </w:rPr>
        <w:t xml:space="preserve"> en comento. Tanto los insumos para el cálculo de la valuación independiente como los modelos definidos para estos fines, serán determinados por el Comité de Riesgos Financieros. Los insumos para la valuación independiente y los precios de mercado distintos de los Componentes de Renta Variable, Mercancías, Divisas, FIBRAS, valores gubernamentales y Derivados de mercados listados, se deberán obtener a través de los sistemas y medios de suscripción, distintos a los Proveedores de Precios, que sean autorizados por los Comités de Inversión. Sin menoscabo de lo anterior, para la adquisición de FIBRAS, las Sociedades de Inversión deberán apegarse a lo establecido en el artículo 139, fracción I, apartado A, numeral vi. </w:t>
      </w:r>
      <w:proofErr w:type="gramStart"/>
      <w:r w:rsidRPr="00CA63EE">
        <w:rPr>
          <w:rFonts w:ascii="Verdana" w:hAnsi="Verdana"/>
          <w:bCs/>
          <w:sz w:val="20"/>
        </w:rPr>
        <w:t>de</w:t>
      </w:r>
      <w:proofErr w:type="gramEnd"/>
      <w:r w:rsidRPr="00CA63EE">
        <w:rPr>
          <w:rFonts w:ascii="Verdana" w:hAnsi="Verdana"/>
          <w:bCs/>
          <w:sz w:val="20"/>
        </w:rPr>
        <w:t xml:space="preserve"> las presentes disposiciones; asimismo para la inversión en Componentes de Renta Variable deberán sujetarse a lo previsto en el artículo 31, fracción III de </w:t>
      </w:r>
      <w:proofErr w:type="spellStart"/>
      <w:r w:rsidRPr="00CA63EE">
        <w:rPr>
          <w:rFonts w:ascii="Verdana" w:hAnsi="Verdana"/>
          <w:bCs/>
          <w:sz w:val="20"/>
        </w:rPr>
        <w:t>laspresentes</w:t>
      </w:r>
      <w:proofErr w:type="spellEnd"/>
      <w:r w:rsidRPr="00CA63EE">
        <w:rPr>
          <w:rFonts w:ascii="Verdana" w:hAnsi="Verdana"/>
          <w:bCs/>
          <w:sz w:val="20"/>
        </w:rPr>
        <w:t> disposiciones;</w:t>
      </w:r>
    </w:p>
    <w:p w:rsidR="00CA63EE" w:rsidRPr="00CA63EE" w:rsidRDefault="00CA63EE" w:rsidP="00CA63EE">
      <w:pPr>
        <w:jc w:val="both"/>
        <w:rPr>
          <w:rFonts w:ascii="Verdana" w:hAnsi="Verdana"/>
          <w:bCs/>
          <w:sz w:val="20"/>
        </w:rPr>
      </w:pPr>
      <w:r w:rsidRPr="00CA63EE">
        <w:rPr>
          <w:rFonts w:ascii="Verdana" w:hAnsi="Verdana"/>
          <w:bCs/>
          <w:sz w:val="20"/>
        </w:rPr>
        <w:t>VII.        Aplicar diariamente pruebas de cartera bajo escenarios de estrés para la medición de todos los Riesgos Financieros cuantificables incluyendo el Valor en Riesgo, el Valor en Riesgo Condicional y el Diferencial del Valor en Riesgo Condicional usando las fechas previstas en el Anexo A de las presentes Disposiciones, a que estén expuestas las Sociedades de Inversión, y</w:t>
      </w:r>
    </w:p>
    <w:p w:rsidR="00CA63EE" w:rsidRPr="00CA63EE" w:rsidRDefault="00CA63EE" w:rsidP="00CA63EE">
      <w:pPr>
        <w:jc w:val="both"/>
        <w:rPr>
          <w:rFonts w:ascii="Verdana" w:hAnsi="Verdana"/>
          <w:bCs/>
          <w:sz w:val="20"/>
        </w:rPr>
      </w:pPr>
      <w:r w:rsidRPr="00CA63EE">
        <w:rPr>
          <w:rFonts w:ascii="Verdana" w:hAnsi="Verdana"/>
          <w:bCs/>
          <w:sz w:val="20"/>
        </w:rPr>
        <w:t>VIII.        Realizar las pruebas adicionales que deriven de las actividades previstas en el artículo 14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Los informes de la UAIR en relación a los Riesgos Financieros, podrán ser presentados de manera agregada por la cartera de inversión, por Clase de Activo o Factor de Riesgo, con independencia de que el Sistema Integral Automatizado en la actividad para la administración de riesgos tenga la capacidad de generar los cálculos que prevé el presente artículo para cada Activo Objeto de Inversión que conforma la cartera de inversión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14.-</w:t>
      </w:r>
      <w:r w:rsidRPr="00CA63EE">
        <w:rPr>
          <w:rFonts w:ascii="Verdana" w:hAnsi="Verdana"/>
          <w:bCs/>
          <w:sz w:val="20"/>
        </w:rPr>
        <w:t> El Sistema Integral Automatizado deberá permitir a la UAIR realizar las siguientes actividades:</w:t>
      </w:r>
    </w:p>
    <w:p w:rsidR="00CA63EE" w:rsidRPr="00CA63EE" w:rsidRDefault="00CA63EE" w:rsidP="00CA63EE">
      <w:pPr>
        <w:jc w:val="both"/>
        <w:rPr>
          <w:rFonts w:ascii="Verdana" w:hAnsi="Verdana"/>
          <w:bCs/>
          <w:sz w:val="20"/>
        </w:rPr>
      </w:pPr>
      <w:r w:rsidRPr="00CA63EE">
        <w:rPr>
          <w:rFonts w:ascii="Verdana" w:hAnsi="Verdana"/>
          <w:bCs/>
          <w:sz w:val="20"/>
        </w:rPr>
        <w:t>I.           Evaluar el Riesgo Financiero de la cartera de inversión del Activo Administrado por la Sociedad de Inversión. Esta evaluación deberá poder efectuarse para cada Activo Objeto de Inversión, así como para cada Clase de Activo o Factor de Riesgo y para la cartera de inversión del Activo Administrado por la Sociedad de Inversión. Asimismo, deberá permitir el cálculo de diversas medidas de sensibilidad, entre las cuales se encuentran las referidas en el artículo 11, fracción XI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xml:space="preserve">II.          Realizar las pruebas de cartera bajo escenarios de estrés aplicadas a la cartera de inversión del Activo Administrado por las Sociedades de Inversión, así como a </w:t>
      </w:r>
      <w:proofErr w:type="spellStart"/>
      <w:r w:rsidRPr="00CA63EE">
        <w:rPr>
          <w:rFonts w:ascii="Verdana" w:hAnsi="Verdana"/>
          <w:bCs/>
          <w:sz w:val="20"/>
        </w:rPr>
        <w:t>subcarteras</w:t>
      </w:r>
      <w:proofErr w:type="spellEnd"/>
      <w:r w:rsidRPr="00CA63EE">
        <w:rPr>
          <w:rFonts w:ascii="Verdana" w:hAnsi="Verdana"/>
          <w:bCs/>
          <w:sz w:val="20"/>
        </w:rPr>
        <w:t xml:space="preserve"> definidas por el Comité de Riesgos Financieros y a los Activos Objeto de Inversión específicos que formen parte de la cartera de inversión del Activo Administrado por la Sociedad de Inversión. Dichas pruebas de cartera bajo escenarios de estrés deberán considerar cuando menos lo siguiente:</w:t>
      </w:r>
    </w:p>
    <w:p w:rsidR="00CA63EE" w:rsidRPr="00CA63EE" w:rsidRDefault="00CA63EE" w:rsidP="00CA63EE">
      <w:pPr>
        <w:jc w:val="both"/>
        <w:rPr>
          <w:rFonts w:ascii="Verdana" w:hAnsi="Verdana"/>
          <w:bCs/>
          <w:sz w:val="20"/>
        </w:rPr>
      </w:pPr>
      <w:r w:rsidRPr="00CA63EE">
        <w:rPr>
          <w:rFonts w:ascii="Verdana" w:hAnsi="Verdana"/>
          <w:bCs/>
          <w:sz w:val="20"/>
        </w:rPr>
        <w:lastRenderedPageBreak/>
        <w:t>a)   Eventos extremos sobre distintos Factores de Riesgo que el Comité de Riesgos Financieros juzgue relevantes, y</w:t>
      </w:r>
    </w:p>
    <w:p w:rsidR="00CA63EE" w:rsidRPr="00CA63EE" w:rsidRDefault="00CA63EE" w:rsidP="00CA63EE">
      <w:pPr>
        <w:jc w:val="both"/>
        <w:rPr>
          <w:rFonts w:ascii="Verdana" w:hAnsi="Verdana"/>
          <w:bCs/>
          <w:sz w:val="20"/>
        </w:rPr>
      </w:pPr>
      <w:r w:rsidRPr="00CA63EE">
        <w:rPr>
          <w:rFonts w:ascii="Verdana" w:hAnsi="Verdana"/>
          <w:bCs/>
          <w:sz w:val="20"/>
        </w:rPr>
        <w:t>b)   Los escenarios de estrés equiparables a las cuatro crisis financieras históricas definidas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Monitorear el porcentaje de uso de los Límites Prudenciales y Alarmas Tempranas que haya aprobado el Comité de Riesgos Financieros de la Sociedad de Inversión, por Clase de Activo, por emisor o Contraparte, por subyacente, para Valores Extranjeros, por regiones y por sectores económicos;</w:t>
      </w:r>
    </w:p>
    <w:p w:rsidR="00CA63EE" w:rsidRPr="00CA63EE" w:rsidRDefault="00CA63EE" w:rsidP="00CA63EE">
      <w:pPr>
        <w:jc w:val="both"/>
        <w:rPr>
          <w:rFonts w:ascii="Verdana" w:hAnsi="Verdana"/>
          <w:bCs/>
          <w:sz w:val="20"/>
        </w:rPr>
      </w:pPr>
      <w:r w:rsidRPr="00CA63EE">
        <w:rPr>
          <w:rFonts w:ascii="Verdana" w:hAnsi="Verdana"/>
          <w:bCs/>
          <w:sz w:val="20"/>
        </w:rPr>
        <w:t xml:space="preserve">IV.         Analizar el impacto en los límites que al efecto se prevean en las Disposiciones de carácter general que establecen el régimen de inversión al que deberán sujetarse las Sociedades de Inversión, los Límites Prudenciales y las Alarmas Tempranas ante la incorporación de nuevos Activos Objeto de Inversión en la cartera de inversión de las Sociedades de Inversión, con la antelación que al efecto defina el Comité de Riesgos Financieros. Los cálculos a los que </w:t>
      </w:r>
      <w:proofErr w:type="spellStart"/>
      <w:r w:rsidRPr="00CA63EE">
        <w:rPr>
          <w:rFonts w:ascii="Verdana" w:hAnsi="Verdana"/>
          <w:bCs/>
          <w:sz w:val="20"/>
        </w:rPr>
        <w:t>serefiere</w:t>
      </w:r>
      <w:proofErr w:type="spellEnd"/>
      <w:r w:rsidRPr="00CA63EE">
        <w:rPr>
          <w:rFonts w:ascii="Verdana" w:hAnsi="Verdana"/>
          <w:bCs/>
          <w:sz w:val="20"/>
        </w:rPr>
        <w:t xml:space="preserve"> la presente fracción se </w:t>
      </w:r>
      <w:proofErr w:type="gramStart"/>
      <w:r w:rsidRPr="00CA63EE">
        <w:rPr>
          <w:rFonts w:ascii="Verdana" w:hAnsi="Verdana"/>
          <w:bCs/>
          <w:sz w:val="20"/>
        </w:rPr>
        <w:t>deberán</w:t>
      </w:r>
      <w:proofErr w:type="gramEnd"/>
      <w:r w:rsidRPr="00CA63EE">
        <w:rPr>
          <w:rFonts w:ascii="Verdana" w:hAnsi="Verdana"/>
          <w:bCs/>
          <w:sz w:val="20"/>
        </w:rPr>
        <w:t xml:space="preserve"> realizar utilizando la </w:t>
      </w:r>
      <w:proofErr w:type="spellStart"/>
      <w:r w:rsidRPr="00CA63EE">
        <w:rPr>
          <w:rFonts w:ascii="Verdana" w:hAnsi="Verdana"/>
          <w:bCs/>
          <w:sz w:val="20"/>
        </w:rPr>
        <w:t>parametrización</w:t>
      </w:r>
      <w:proofErr w:type="spellEnd"/>
      <w:r w:rsidRPr="00CA63EE">
        <w:rPr>
          <w:rFonts w:ascii="Verdana" w:hAnsi="Verdana"/>
          <w:bCs/>
          <w:sz w:val="20"/>
        </w:rPr>
        <w:t xml:space="preserve"> definida por el área de riesgos en el Sistema Integral Automatizado, para lo cual se deberá contar con evidencia inviolable registrada en el Sistema Integral Automatizado que permita identificar a los usuarios que realizaron los cálculos previstos en la presente fracción. En caso de que no se cuente con precios de mercado o Factores de Riesgo, se podrán utilizar Instrumentos Genéricos. El área de inversiones podrá realizar los cálculos previstos en la presente fracción;</w:t>
      </w:r>
    </w:p>
    <w:p w:rsidR="00CA63EE" w:rsidRPr="00CA63EE" w:rsidRDefault="00CA63EE" w:rsidP="00CA63EE">
      <w:pPr>
        <w:jc w:val="both"/>
        <w:rPr>
          <w:rFonts w:ascii="Verdana" w:hAnsi="Verdana"/>
          <w:bCs/>
          <w:sz w:val="20"/>
        </w:rPr>
      </w:pPr>
      <w:r w:rsidRPr="00CA63EE">
        <w:rPr>
          <w:rFonts w:ascii="Verdana" w:hAnsi="Verdana"/>
          <w:bCs/>
          <w:sz w:val="20"/>
        </w:rPr>
        <w:t>V.          Calcular la exposición de los Activos Objeto de Inversión, considerando distintas agrupaciones, entre las cuales deben considerarse las siguientes: Clase de Activo, tipo de subyacente, tipo de emisor o Contraparte y las que defina el Comité de Riesgos Financieros. Esta exposición debe considerar el valor a mercado para las posiciones en directo y el Valor Delta Equivalente para las posiciones en Derivados;</w:t>
      </w:r>
    </w:p>
    <w:p w:rsidR="00CA63EE" w:rsidRPr="00CA63EE" w:rsidRDefault="00CA63EE" w:rsidP="00CA63EE">
      <w:pPr>
        <w:jc w:val="both"/>
        <w:rPr>
          <w:rFonts w:ascii="Verdana" w:hAnsi="Verdana"/>
          <w:bCs/>
          <w:sz w:val="20"/>
        </w:rPr>
      </w:pPr>
      <w:r w:rsidRPr="00CA63EE">
        <w:rPr>
          <w:rFonts w:ascii="Verdana" w:hAnsi="Verdana"/>
          <w:bCs/>
          <w:sz w:val="20"/>
        </w:rPr>
        <w:t xml:space="preserve">VI.         Calcular el Valor en Riesgo de mercado, a través de distintas metodologías, de la cartera de inversión completa, así como dichas medidas aplicadas a </w:t>
      </w:r>
      <w:proofErr w:type="spellStart"/>
      <w:r w:rsidRPr="00CA63EE">
        <w:rPr>
          <w:rFonts w:ascii="Verdana" w:hAnsi="Verdana"/>
          <w:bCs/>
          <w:sz w:val="20"/>
        </w:rPr>
        <w:t>subcarteras</w:t>
      </w:r>
      <w:proofErr w:type="spellEnd"/>
      <w:r w:rsidRPr="00CA63EE">
        <w:rPr>
          <w:rFonts w:ascii="Verdana" w:hAnsi="Verdana"/>
          <w:bCs/>
          <w:sz w:val="20"/>
        </w:rPr>
        <w:t xml:space="preserve"> definidas por el Comité de Riesgos Financieros y a los Activos Objeto de Inversión específicos;</w:t>
      </w:r>
    </w:p>
    <w:p w:rsidR="00CA63EE" w:rsidRPr="00CA63EE" w:rsidRDefault="00CA63EE" w:rsidP="00CA63EE">
      <w:pPr>
        <w:jc w:val="both"/>
        <w:rPr>
          <w:rFonts w:ascii="Verdana" w:hAnsi="Verdana"/>
          <w:bCs/>
          <w:sz w:val="20"/>
        </w:rPr>
      </w:pPr>
      <w:r w:rsidRPr="00CA63EE">
        <w:rPr>
          <w:rFonts w:ascii="Verdana" w:hAnsi="Verdana"/>
          <w:bCs/>
          <w:sz w:val="20"/>
        </w:rPr>
        <w:t xml:space="preserve">VII.        Generar simulaciones estocásticas tipo </w:t>
      </w:r>
      <w:proofErr w:type="spellStart"/>
      <w:r w:rsidRPr="00CA63EE">
        <w:rPr>
          <w:rFonts w:ascii="Verdana" w:hAnsi="Verdana"/>
          <w:bCs/>
          <w:sz w:val="20"/>
        </w:rPr>
        <w:t>montecarlo</w:t>
      </w:r>
      <w:proofErr w:type="spellEnd"/>
      <w:r w:rsidRPr="00CA63EE">
        <w:rPr>
          <w:rFonts w:ascii="Verdana" w:hAnsi="Verdana"/>
          <w:bCs/>
          <w:sz w:val="20"/>
        </w:rPr>
        <w:t xml:space="preserve"> a los precios de valuación de los distintos Activos Objeto de Inversión y los correspondientes Factores de Riesgo;</w:t>
      </w:r>
    </w:p>
    <w:p w:rsidR="00CA63EE" w:rsidRPr="00CA63EE" w:rsidRDefault="00CA63EE" w:rsidP="00CA63EE">
      <w:pPr>
        <w:jc w:val="both"/>
        <w:rPr>
          <w:rFonts w:ascii="Verdana" w:hAnsi="Verdana"/>
          <w:bCs/>
          <w:sz w:val="20"/>
        </w:rPr>
      </w:pPr>
      <w:r w:rsidRPr="00CA63EE">
        <w:rPr>
          <w:rFonts w:ascii="Verdana" w:hAnsi="Verdana"/>
          <w:bCs/>
          <w:sz w:val="20"/>
        </w:rPr>
        <w:t xml:space="preserve">VIII.        Permitir la </w:t>
      </w:r>
      <w:proofErr w:type="spellStart"/>
      <w:r w:rsidRPr="00CA63EE">
        <w:rPr>
          <w:rFonts w:ascii="Verdana" w:hAnsi="Verdana"/>
          <w:bCs/>
          <w:sz w:val="20"/>
        </w:rPr>
        <w:t>parametrización</w:t>
      </w:r>
      <w:proofErr w:type="spellEnd"/>
      <w:r w:rsidRPr="00CA63EE">
        <w:rPr>
          <w:rFonts w:ascii="Verdana" w:hAnsi="Verdana"/>
          <w:bCs/>
          <w:sz w:val="20"/>
        </w:rPr>
        <w:t xml:space="preserve"> de los distintos Factores de Riesgo de cada Activo Objeto de Inversión. En caso de que no se cuente con precios de mercado o Factores de Riesgo, se podrán utilizar Instrumentos Genéricos para estimar los Factores de Riesgo;</w:t>
      </w:r>
    </w:p>
    <w:p w:rsidR="00CA63EE" w:rsidRPr="00CA63EE" w:rsidRDefault="00CA63EE" w:rsidP="00CA63EE">
      <w:pPr>
        <w:jc w:val="both"/>
        <w:rPr>
          <w:rFonts w:ascii="Verdana" w:hAnsi="Verdana"/>
          <w:bCs/>
          <w:sz w:val="20"/>
        </w:rPr>
      </w:pPr>
      <w:r w:rsidRPr="00CA63EE">
        <w:rPr>
          <w:rFonts w:ascii="Verdana" w:hAnsi="Verdana"/>
          <w:bCs/>
          <w:sz w:val="20"/>
        </w:rPr>
        <w:t>IX.         Asegurarse que el Sistema Integral Automatizado en la actividad de administración de riesgos tenga restricciones de acceso para diferentes usuarios;</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X.          Documentar la </w:t>
      </w:r>
      <w:proofErr w:type="spellStart"/>
      <w:r w:rsidRPr="00CA63EE">
        <w:rPr>
          <w:rFonts w:ascii="Verdana" w:hAnsi="Verdana"/>
          <w:bCs/>
          <w:sz w:val="20"/>
        </w:rPr>
        <w:t>parametrización</w:t>
      </w:r>
      <w:proofErr w:type="spellEnd"/>
      <w:r w:rsidRPr="00CA63EE">
        <w:rPr>
          <w:rFonts w:ascii="Verdana" w:hAnsi="Verdana"/>
          <w:bCs/>
          <w:sz w:val="20"/>
        </w:rPr>
        <w:t xml:space="preserve"> de cada Activo Objeto de Inversión;</w:t>
      </w:r>
    </w:p>
    <w:p w:rsidR="00CA63EE" w:rsidRPr="00CA63EE" w:rsidRDefault="00CA63EE" w:rsidP="00CA63EE">
      <w:pPr>
        <w:jc w:val="both"/>
        <w:rPr>
          <w:rFonts w:ascii="Verdana" w:hAnsi="Verdana"/>
          <w:bCs/>
          <w:sz w:val="20"/>
        </w:rPr>
      </w:pPr>
      <w:r w:rsidRPr="00CA63EE">
        <w:rPr>
          <w:rFonts w:ascii="Verdana" w:hAnsi="Verdana"/>
          <w:bCs/>
          <w:sz w:val="20"/>
        </w:rPr>
        <w:t>XI.         Permitir al Responsable del Área de Riesgos o aquel Funcionario que designe, la integración de nuevas fórmulas o modelos de valuación para Activos Objeto de Inversión que conformen las carteras de inversión de las Sociedades de Inversión, así como nuevos métodos de estimación de métricas de Riesgos Financieros o nuevos módulos de análisis financiero de las carteras de inversión, de acuerdo con las políticas definidas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XII.        Calcular las Alarmas Tempranas a distintos niveles para el Coeficiente de Liquidez, así como otros parámetros de liquidez mínima por posiciones en Derivados definidos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XIII.        Calcular el Valor en Riesgo Condicional y Diferencial de Valor en Riesgo Condicional bajo escenarios de estrés aplicados a la cartera de inversión del Activo Administrado por la Sociedad de Inversión usando las fechas previstas en el Anexo A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XIV.       Monitorear el porcentaje de uso de los Límites Prudenciales que haya aprobado el Comité de Riesgos Financieros aplicables a las operaciones de préstamo de valores y reporto, por exposición a la cartera de inversión del Activo Administrado por la Sociedad de Inversión, Clase de Activo y tipo de subyacente, rendimiento de estas operaciones, nivel de las garantías, calificación crediticia de las Contrapartes, límites de concentración, liquidez y apalancamiento, y</w:t>
      </w:r>
    </w:p>
    <w:p w:rsidR="00CA63EE" w:rsidRPr="00CA63EE" w:rsidRDefault="00CA63EE" w:rsidP="00CA63EE">
      <w:pPr>
        <w:jc w:val="both"/>
        <w:rPr>
          <w:rFonts w:ascii="Verdana" w:hAnsi="Verdana"/>
          <w:bCs/>
          <w:sz w:val="20"/>
        </w:rPr>
      </w:pPr>
      <w:r w:rsidRPr="00CA63EE">
        <w:rPr>
          <w:rFonts w:ascii="Verdana" w:hAnsi="Verdana"/>
          <w:bCs/>
          <w:sz w:val="20"/>
        </w:rPr>
        <w:t>XV.        Calcular los elementos de medición para la evaluación crediticia adicional descritos en el artículo 3, fracción XIII de las presentes disposiciones. El Sistema Integral Automatizado deberá incluir, al menos, los elementos cuantitativos correspondientes a la evaluación crediticia adicional.</w:t>
      </w:r>
    </w:p>
    <w:p w:rsidR="00CA63EE" w:rsidRPr="00CA63EE" w:rsidRDefault="00CA63EE" w:rsidP="00CA63EE">
      <w:pPr>
        <w:jc w:val="both"/>
        <w:rPr>
          <w:rFonts w:ascii="Verdana" w:hAnsi="Verdana"/>
          <w:bCs/>
          <w:sz w:val="20"/>
        </w:rPr>
      </w:pPr>
      <w:r w:rsidRPr="00CA63EE">
        <w:rPr>
          <w:rFonts w:ascii="Verdana" w:hAnsi="Verdana"/>
          <w:bCs/>
          <w:sz w:val="20"/>
        </w:rPr>
        <w:t>El Comité de Riesgos Financieros podrá optar por un conjunto de variables, Factores de Riesgo y análisis diferentes a los previstos en las fracciones V, VI y VII del presente artículo, debiendo contar con el visto bueno de la mayoría de los Consejeros Independientes del referido Comité, para lo cual deberán hacerlo constar en el Acta Pormenorizada de la sesión en que sea aprobado por dicho Comité.</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Cuando algún Consejero Independiente del Comité de Riesgos Financieros sea incorporado, dicho Consejero en un plazo no mayor a 60 días hábiles posteriores a la sesión en la que participe por primera vez, deberá manifestar su opinión respecto de las políticas aprobadas por el Comité de Riesgos Financieros que estarán vigentes sobre los asuntos previstos en las fracciones V, VI y VII del presente artículo. El listado de los acuerdos sobre los que emita su opinión deberá asentarse en el Acta Pormenorizada de la sesión que corresponda.</w:t>
      </w:r>
    </w:p>
    <w:p w:rsidR="00CA63EE" w:rsidRPr="00CA63EE" w:rsidRDefault="00CA63EE" w:rsidP="00CA63EE">
      <w:pPr>
        <w:jc w:val="both"/>
        <w:rPr>
          <w:rFonts w:ascii="Verdana" w:hAnsi="Verdana"/>
          <w:bCs/>
          <w:sz w:val="20"/>
        </w:rPr>
      </w:pPr>
      <w:r w:rsidRPr="00CA63EE">
        <w:rPr>
          <w:rFonts w:ascii="Verdana" w:hAnsi="Verdana"/>
          <w:bCs/>
          <w:sz w:val="20"/>
        </w:rPr>
        <w:t>La UAIR deberá asegurarse que los requisitos previstos en el presente artículo sean cumplidos en todo momento.</w:t>
      </w:r>
    </w:p>
    <w:p w:rsidR="00CA63EE" w:rsidRPr="00CA63EE" w:rsidRDefault="00CA63EE" w:rsidP="00CA63EE">
      <w:pPr>
        <w:jc w:val="both"/>
        <w:rPr>
          <w:rFonts w:ascii="Verdana" w:hAnsi="Verdana"/>
          <w:bCs/>
          <w:sz w:val="20"/>
        </w:rPr>
      </w:pPr>
      <w:r w:rsidRPr="00CA63EE">
        <w:rPr>
          <w:rFonts w:ascii="Verdana" w:hAnsi="Verdana"/>
          <w:b/>
          <w:bCs/>
          <w:sz w:val="20"/>
        </w:rPr>
        <w:lastRenderedPageBreak/>
        <w:t>CAPÍTULO III</w:t>
      </w:r>
    </w:p>
    <w:p w:rsidR="00CA63EE" w:rsidRPr="00CA63EE" w:rsidRDefault="00CA63EE" w:rsidP="00CA63EE">
      <w:pPr>
        <w:jc w:val="both"/>
        <w:rPr>
          <w:rFonts w:ascii="Verdana" w:hAnsi="Verdana"/>
          <w:bCs/>
          <w:sz w:val="20"/>
        </w:rPr>
      </w:pPr>
      <w:r w:rsidRPr="00CA63EE">
        <w:rPr>
          <w:rFonts w:ascii="Verdana" w:hAnsi="Verdana"/>
          <w:b/>
          <w:bCs/>
          <w:sz w:val="20"/>
        </w:rPr>
        <w:t>DEL MANUAL DE POLÍTICAS Y PROCEDIMIENTOS PARA LA ADMINISTRACIÓN DEL RIESGO</w:t>
      </w:r>
      <w:r w:rsidRPr="00CA63EE">
        <w:rPr>
          <w:rFonts w:ascii="Verdana" w:hAnsi="Verdana"/>
          <w:bCs/>
          <w:sz w:val="20"/>
        </w:rPr>
        <w:br/>
      </w:r>
      <w:r w:rsidRPr="00CA63EE">
        <w:rPr>
          <w:rFonts w:ascii="Verdana" w:hAnsi="Verdana"/>
          <w:b/>
          <w:bCs/>
          <w:sz w:val="20"/>
        </w:rPr>
        <w:t>FINANCIERO</w:t>
      </w:r>
    </w:p>
    <w:p w:rsidR="00CA63EE" w:rsidRPr="00CA63EE" w:rsidRDefault="00CA63EE" w:rsidP="00CA63EE">
      <w:pPr>
        <w:jc w:val="both"/>
        <w:rPr>
          <w:rFonts w:ascii="Verdana" w:hAnsi="Verdana"/>
          <w:bCs/>
          <w:sz w:val="20"/>
        </w:rPr>
      </w:pPr>
      <w:r w:rsidRPr="00CA63EE">
        <w:rPr>
          <w:rFonts w:ascii="Verdana" w:hAnsi="Verdana"/>
          <w:b/>
          <w:bCs/>
          <w:sz w:val="20"/>
        </w:rPr>
        <w:t>Artículo 15.-</w:t>
      </w:r>
      <w:r w:rsidRPr="00CA63EE">
        <w:rPr>
          <w:rFonts w:ascii="Verdana" w:hAnsi="Verdana"/>
          <w:bCs/>
          <w:sz w:val="20"/>
        </w:rPr>
        <w:t> Cada Administradora deberá elaborar un Manual de Políticas y Procedimientos para la Administración del Riesgo Financiero, el cual deberá ser aprobado por el Comité de Riesgos Financieros de las Sociedades de Inversión y por el Órgano de Gobierno de la propia Administradora, contando con el voto favorable de la mayoría de los Consejeros Independientes.</w:t>
      </w:r>
    </w:p>
    <w:p w:rsidR="00CA63EE" w:rsidRPr="00CA63EE" w:rsidRDefault="00CA63EE" w:rsidP="00CA63EE">
      <w:pPr>
        <w:jc w:val="both"/>
        <w:rPr>
          <w:rFonts w:ascii="Verdana" w:hAnsi="Verdana"/>
          <w:bCs/>
          <w:sz w:val="20"/>
        </w:rPr>
      </w:pPr>
      <w:r w:rsidRPr="00CA63EE">
        <w:rPr>
          <w:rFonts w:ascii="Verdana" w:hAnsi="Verdana"/>
          <w:bCs/>
          <w:sz w:val="20"/>
        </w:rPr>
        <w:t>La Administradora deberá tener a disposición de la Comisión evidencia de lo siguiente:</w:t>
      </w:r>
    </w:p>
    <w:p w:rsidR="00CA63EE" w:rsidRPr="00CA63EE" w:rsidRDefault="00CA63EE" w:rsidP="00CA63EE">
      <w:pPr>
        <w:jc w:val="both"/>
        <w:rPr>
          <w:rFonts w:ascii="Verdana" w:hAnsi="Verdana"/>
          <w:bCs/>
          <w:sz w:val="20"/>
        </w:rPr>
      </w:pPr>
      <w:r w:rsidRPr="00CA63EE">
        <w:rPr>
          <w:rFonts w:ascii="Verdana" w:hAnsi="Verdana"/>
          <w:bCs/>
          <w:sz w:val="20"/>
        </w:rPr>
        <w:t>I.           El Manual de Políticas y Procedimientos para la Administración del Riesgo Financiero fue revisado al menos por el Responsable del Área de Riesgos;</w:t>
      </w:r>
    </w:p>
    <w:p w:rsidR="00CA63EE" w:rsidRPr="00CA63EE" w:rsidRDefault="00CA63EE" w:rsidP="00CA63EE">
      <w:pPr>
        <w:jc w:val="both"/>
        <w:rPr>
          <w:rFonts w:ascii="Verdana" w:hAnsi="Verdana"/>
          <w:bCs/>
          <w:sz w:val="20"/>
        </w:rPr>
      </w:pPr>
      <w:r w:rsidRPr="00CA63EE">
        <w:rPr>
          <w:rFonts w:ascii="Verdana" w:hAnsi="Verdana"/>
          <w:bCs/>
          <w:sz w:val="20"/>
        </w:rPr>
        <w:t>II.          El Contralor Normativo supervisó que el contenido del Manual de Políticas y Procedimientos para la Administración del Riesgo Financiero corresponda con lo aprobado tanto por el Comité de Riesgos Financieros como por el Órgano de Gobierno de la propia Administradora, y</w:t>
      </w:r>
    </w:p>
    <w:p w:rsidR="00CA63EE" w:rsidRPr="00CA63EE" w:rsidRDefault="00CA63EE" w:rsidP="00CA63EE">
      <w:pPr>
        <w:jc w:val="both"/>
        <w:rPr>
          <w:rFonts w:ascii="Verdana" w:hAnsi="Verdana"/>
          <w:bCs/>
          <w:sz w:val="20"/>
        </w:rPr>
      </w:pPr>
      <w:r w:rsidRPr="00CA63EE">
        <w:rPr>
          <w:rFonts w:ascii="Verdana" w:hAnsi="Verdana"/>
          <w:bCs/>
          <w:sz w:val="20"/>
        </w:rPr>
        <w:t>El Manual de Políticas y Procedimientos para la Administración del Riesgo Financiero, deberá permanecer a disposición de la Comisión en todo momento y cumplir con la calidad y características requeridas en el presente Capítulo, así como lo previsto en los artículos 3, 4, 6, fracción III, 13, fracción III, 36 y 41 de las presentes Disposiciones, según corresponda, en términos de lo establecido en cada uno de dichos artículos.</w:t>
      </w:r>
    </w:p>
    <w:p w:rsidR="00CA63EE" w:rsidRPr="00CA63EE" w:rsidRDefault="00CA63EE" w:rsidP="00CA63EE">
      <w:pPr>
        <w:jc w:val="both"/>
        <w:rPr>
          <w:rFonts w:ascii="Verdana" w:hAnsi="Verdana"/>
          <w:bCs/>
          <w:sz w:val="20"/>
        </w:rPr>
      </w:pPr>
      <w:r w:rsidRPr="00CA63EE">
        <w:rPr>
          <w:rFonts w:ascii="Verdana" w:hAnsi="Verdana"/>
          <w:bCs/>
          <w:sz w:val="20"/>
        </w:rPr>
        <w:t>Las Administradoras deberán informar a la Comisión, formal y claramente, sobre cada una de las modificaciones realizadas al Manual de Políticas y Procedimientos para la Administración del Riesgo, esto en un plazo no mayor a 10 días hábiles de realizadas dichas modificaciones. Asimismo, deberán mantener a disposición de la Comisión, evidencia de que dichas modificaciones fueron aprobadas por el Comité de Riesgos Financieros y por el Órgano de Gobierno de la propia Administradora.</w:t>
      </w:r>
    </w:p>
    <w:p w:rsidR="00CA63EE" w:rsidRPr="00CA63EE" w:rsidRDefault="00CA63EE" w:rsidP="00CA63EE">
      <w:pPr>
        <w:jc w:val="both"/>
        <w:rPr>
          <w:rFonts w:ascii="Verdana" w:hAnsi="Verdana"/>
          <w:bCs/>
          <w:sz w:val="20"/>
        </w:rPr>
      </w:pPr>
      <w:r w:rsidRPr="00CA63EE">
        <w:rPr>
          <w:rFonts w:ascii="Verdana" w:hAnsi="Verdana"/>
          <w:b/>
          <w:bCs/>
          <w:sz w:val="20"/>
        </w:rPr>
        <w:t>Artículo 16.-</w:t>
      </w:r>
      <w:r w:rsidRPr="00CA63EE">
        <w:rPr>
          <w:rFonts w:ascii="Verdana" w:hAnsi="Verdana"/>
          <w:bCs/>
          <w:sz w:val="20"/>
        </w:rPr>
        <w:t> El Manual de Políticas y Procedimientos para la Administración del Riesgo Financiero deberá contener lo siguiente:</w:t>
      </w:r>
    </w:p>
    <w:p w:rsidR="00CA63EE" w:rsidRPr="00CA63EE" w:rsidRDefault="00CA63EE" w:rsidP="00CA63EE">
      <w:pPr>
        <w:jc w:val="both"/>
        <w:rPr>
          <w:rFonts w:ascii="Verdana" w:hAnsi="Verdana"/>
          <w:bCs/>
          <w:sz w:val="20"/>
        </w:rPr>
      </w:pPr>
      <w:r w:rsidRPr="00CA63EE">
        <w:rPr>
          <w:rFonts w:ascii="Verdana" w:hAnsi="Verdana"/>
          <w:bCs/>
          <w:sz w:val="20"/>
        </w:rPr>
        <w:t>I.           Las políticas y Límites Prudenciales que aplicarán relacionados a la exposición a los Riesgos Financieros. En su caso, los Límites Prudenciales y Alarmas Tempranas se definirán con base en sus propias políticas de administración de riesgos y en las mejores prácticas internacionales observadas en el mercado;</w:t>
      </w:r>
    </w:p>
    <w:p w:rsidR="00CA63EE" w:rsidRPr="00CA63EE" w:rsidRDefault="00CA63EE" w:rsidP="00CA63EE">
      <w:pPr>
        <w:jc w:val="both"/>
        <w:rPr>
          <w:rFonts w:ascii="Verdana" w:hAnsi="Verdana"/>
          <w:bCs/>
          <w:sz w:val="20"/>
        </w:rPr>
      </w:pPr>
      <w:r w:rsidRPr="00CA63EE">
        <w:rPr>
          <w:rFonts w:ascii="Verdana" w:hAnsi="Verdana"/>
          <w:bCs/>
          <w:sz w:val="20"/>
        </w:rPr>
        <w:t>II.          Los modelos y metodologías aplicables a la cartera de inversión para la valuación de los Riesgos Financieros, aprobados por el Comité de Riesgos Financieros, impactando los Factores de Riesgo o a las agrupaciones de Activos Objeto de Inversión con riesgos similares definidos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III.          Las políticas y procedimientos para el uso de Instrumentos Genéricos;</w:t>
      </w:r>
    </w:p>
    <w:p w:rsidR="00CA63EE" w:rsidRPr="00CA63EE" w:rsidRDefault="00CA63EE" w:rsidP="00CA63EE">
      <w:pPr>
        <w:jc w:val="both"/>
        <w:rPr>
          <w:rFonts w:ascii="Verdana" w:hAnsi="Verdana"/>
          <w:bCs/>
          <w:sz w:val="20"/>
        </w:rPr>
      </w:pPr>
      <w:r w:rsidRPr="00CA63EE">
        <w:rPr>
          <w:rFonts w:ascii="Verdana" w:hAnsi="Verdana"/>
          <w:bCs/>
          <w:sz w:val="20"/>
        </w:rPr>
        <w:lastRenderedPageBreak/>
        <w:t>IV.         La determinación y procedimiento para calcular los límites para la toma de riesgos que establezca el Comité de Riesgos Financieros de cada Sociedad de Inversión a nivel global y por tipo de riesgo. Asimismo, se deberán prever los procedimientos a seguir cuando el nivel de riesgo asociado a determinados Activos Objeto de Inversión llegue a los límites que al efecto se prevean en el régimen de inversión, en los manuales, por el Comité de Riesgos Financieros o cuando existan condiciones extremas de mercado;</w:t>
      </w:r>
    </w:p>
    <w:p w:rsidR="00CA63EE" w:rsidRPr="00CA63EE" w:rsidRDefault="00CA63EE" w:rsidP="00CA63EE">
      <w:pPr>
        <w:jc w:val="both"/>
        <w:rPr>
          <w:rFonts w:ascii="Verdana" w:hAnsi="Verdana"/>
          <w:bCs/>
          <w:sz w:val="20"/>
        </w:rPr>
      </w:pPr>
      <w:r w:rsidRPr="00CA63EE">
        <w:rPr>
          <w:rFonts w:ascii="Verdana" w:hAnsi="Verdana"/>
          <w:bCs/>
          <w:sz w:val="20"/>
        </w:rPr>
        <w:t>V.          El proceso para la medición, seguimiento e informe de los Riesgos Financieros y riesgo operativo vinculado con el proceso de inversión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VI.         Los Límites Prudenciales, así como las políticas correspondientes para, en su caso, corregir las desviaciones que se observen sobre los límites de riesgo;</w:t>
      </w:r>
    </w:p>
    <w:p w:rsidR="00CA63EE" w:rsidRPr="00CA63EE" w:rsidRDefault="00CA63EE" w:rsidP="00CA63EE">
      <w:pPr>
        <w:jc w:val="both"/>
        <w:rPr>
          <w:rFonts w:ascii="Verdana" w:hAnsi="Verdana"/>
          <w:bCs/>
          <w:sz w:val="20"/>
        </w:rPr>
      </w:pPr>
      <w:r w:rsidRPr="00CA63EE">
        <w:rPr>
          <w:rFonts w:ascii="Verdana" w:hAnsi="Verdana"/>
          <w:bCs/>
          <w:sz w:val="20"/>
        </w:rPr>
        <w:t>VII.        Las medidas de control interno y los mecanismos para corregir las desviaciones que se observen sobre los niveles de tolerancia a los riesgos operativos vinculado con el proceso de inversión de la Sociedad de Inversión previstos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VIII.        El proceso para la autorización por parte del Comité de Riesgos Financieros, de los excesos a los Límites Prudenciales aplicables a los distintos Riesgos Financieros;</w:t>
      </w:r>
    </w:p>
    <w:p w:rsidR="00CA63EE" w:rsidRPr="00CA63EE" w:rsidRDefault="00CA63EE" w:rsidP="00CA63EE">
      <w:pPr>
        <w:jc w:val="both"/>
        <w:rPr>
          <w:rFonts w:ascii="Verdana" w:hAnsi="Verdana"/>
          <w:bCs/>
          <w:sz w:val="20"/>
        </w:rPr>
      </w:pPr>
      <w:r w:rsidRPr="00CA63EE">
        <w:rPr>
          <w:rFonts w:ascii="Verdana" w:hAnsi="Verdana"/>
          <w:bCs/>
          <w:sz w:val="20"/>
        </w:rPr>
        <w:t>IX.         La metodología empleada para la valuación de Derivados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X.          La metodología empleada para la valuación de los títulos opcionales a que se refiere el inciso d) de la fracción LII de la disposición Segunda de las Disposiciones de carácter general que establecen el régimen de inversión al que deberán sujetarse las sociedades de inversión, así como de las acciones representativas del capital social de la misma Empresa Privada a la que se encuentran adheridos los referidos títulos opcionales;</w:t>
      </w:r>
    </w:p>
    <w:p w:rsidR="00CA63EE" w:rsidRPr="00CA63EE" w:rsidRDefault="00CA63EE" w:rsidP="00CA63EE">
      <w:pPr>
        <w:jc w:val="both"/>
        <w:rPr>
          <w:rFonts w:ascii="Verdana" w:hAnsi="Verdana"/>
          <w:bCs/>
          <w:sz w:val="20"/>
        </w:rPr>
      </w:pPr>
      <w:r w:rsidRPr="00CA63EE">
        <w:rPr>
          <w:rFonts w:ascii="Verdana" w:hAnsi="Verdana"/>
          <w:bCs/>
          <w:sz w:val="20"/>
        </w:rPr>
        <w:t>XI.         Las metodologías empleadas para el cálculo de rendimiento observado, de rendimiento esperado, de rendimiento ajustado por riesgo, de sensibilidad y de riesgo de mercado, que serán aplicadas a la cartera de inversión del Activo Administrado por la Sociedad de Inversión y de forma agregada para cada uno de los siguientes tipos de inversiones o subyacentes:</w:t>
      </w:r>
    </w:p>
    <w:p w:rsidR="00CA63EE" w:rsidRPr="00CA63EE" w:rsidRDefault="00CA63EE" w:rsidP="00CA63EE">
      <w:pPr>
        <w:jc w:val="both"/>
        <w:rPr>
          <w:rFonts w:ascii="Verdana" w:hAnsi="Verdana"/>
          <w:bCs/>
          <w:sz w:val="20"/>
        </w:rPr>
      </w:pPr>
      <w:r w:rsidRPr="00CA63EE">
        <w:rPr>
          <w:rFonts w:ascii="Verdana" w:hAnsi="Verdana"/>
          <w:bCs/>
          <w:sz w:val="20"/>
        </w:rPr>
        <w:t>a)   Mercancías;</w:t>
      </w:r>
    </w:p>
    <w:p w:rsidR="00CA63EE" w:rsidRPr="00CA63EE" w:rsidRDefault="00CA63EE" w:rsidP="00CA63EE">
      <w:pPr>
        <w:jc w:val="both"/>
        <w:rPr>
          <w:rFonts w:ascii="Verdana" w:hAnsi="Verdana"/>
          <w:bCs/>
          <w:sz w:val="20"/>
        </w:rPr>
      </w:pPr>
      <w:r w:rsidRPr="00CA63EE">
        <w:rPr>
          <w:rFonts w:ascii="Verdana" w:hAnsi="Verdana"/>
          <w:bCs/>
          <w:sz w:val="20"/>
        </w:rPr>
        <w:t>b)   Divisas;</w:t>
      </w:r>
    </w:p>
    <w:p w:rsidR="00CA63EE" w:rsidRPr="00CA63EE" w:rsidRDefault="00CA63EE" w:rsidP="00CA63EE">
      <w:pPr>
        <w:jc w:val="both"/>
        <w:rPr>
          <w:rFonts w:ascii="Verdana" w:hAnsi="Verdana"/>
          <w:bCs/>
          <w:sz w:val="20"/>
        </w:rPr>
      </w:pPr>
      <w:r w:rsidRPr="00CA63EE">
        <w:rPr>
          <w:rFonts w:ascii="Verdana" w:hAnsi="Verdana"/>
          <w:bCs/>
          <w:sz w:val="20"/>
        </w:rPr>
        <w:t>c)   FIBRAS;</w:t>
      </w:r>
    </w:p>
    <w:p w:rsidR="00CA63EE" w:rsidRPr="00CA63EE" w:rsidRDefault="00CA63EE" w:rsidP="00CA63EE">
      <w:pPr>
        <w:jc w:val="both"/>
        <w:rPr>
          <w:rFonts w:ascii="Verdana" w:hAnsi="Verdana"/>
          <w:bCs/>
          <w:sz w:val="20"/>
        </w:rPr>
      </w:pPr>
      <w:r w:rsidRPr="00CA63EE">
        <w:rPr>
          <w:rFonts w:ascii="Verdana" w:hAnsi="Verdana"/>
          <w:bCs/>
          <w:sz w:val="20"/>
        </w:rPr>
        <w:t>d)   Vehículos de Inversión Inmobiliaria;</w:t>
      </w:r>
    </w:p>
    <w:p w:rsidR="00CA63EE" w:rsidRPr="00CA63EE" w:rsidRDefault="00CA63EE" w:rsidP="00CA63EE">
      <w:pPr>
        <w:jc w:val="both"/>
        <w:rPr>
          <w:rFonts w:ascii="Verdana" w:hAnsi="Verdana"/>
          <w:bCs/>
          <w:sz w:val="20"/>
        </w:rPr>
      </w:pPr>
      <w:r w:rsidRPr="00CA63EE">
        <w:rPr>
          <w:rFonts w:ascii="Verdana" w:hAnsi="Verdana"/>
          <w:bCs/>
          <w:sz w:val="20"/>
        </w:rPr>
        <w:t>e)   Instrumentos de Deuda y tasas de interés;</w:t>
      </w:r>
    </w:p>
    <w:p w:rsidR="00CA63EE" w:rsidRPr="00CA63EE" w:rsidRDefault="00CA63EE" w:rsidP="00CA63EE">
      <w:pPr>
        <w:jc w:val="both"/>
        <w:rPr>
          <w:rFonts w:ascii="Verdana" w:hAnsi="Verdana"/>
          <w:bCs/>
          <w:sz w:val="20"/>
        </w:rPr>
      </w:pPr>
      <w:r w:rsidRPr="00CA63EE">
        <w:rPr>
          <w:rFonts w:ascii="Verdana" w:hAnsi="Verdana"/>
          <w:bCs/>
          <w:sz w:val="20"/>
        </w:rPr>
        <w:lastRenderedPageBreak/>
        <w:t>f)    Valores Extranjeros de Deuda, y</w:t>
      </w:r>
    </w:p>
    <w:p w:rsidR="00CA63EE" w:rsidRPr="00CA63EE" w:rsidRDefault="00CA63EE" w:rsidP="00CA63EE">
      <w:pPr>
        <w:jc w:val="both"/>
        <w:rPr>
          <w:rFonts w:ascii="Verdana" w:hAnsi="Verdana"/>
          <w:bCs/>
          <w:sz w:val="20"/>
        </w:rPr>
      </w:pPr>
      <w:r w:rsidRPr="00CA63EE">
        <w:rPr>
          <w:rFonts w:ascii="Verdana" w:hAnsi="Verdana"/>
          <w:bCs/>
          <w:sz w:val="20"/>
        </w:rPr>
        <w:t>g)   Componentes de Renta Variable.</w:t>
      </w:r>
    </w:p>
    <w:p w:rsidR="00CA63EE" w:rsidRPr="00CA63EE" w:rsidRDefault="00CA63EE" w:rsidP="00CA63EE">
      <w:pPr>
        <w:jc w:val="both"/>
        <w:rPr>
          <w:rFonts w:ascii="Verdana" w:hAnsi="Verdana"/>
          <w:bCs/>
          <w:sz w:val="20"/>
        </w:rPr>
      </w:pPr>
      <w:r w:rsidRPr="00CA63EE">
        <w:rPr>
          <w:rFonts w:ascii="Verdana" w:hAnsi="Verdana"/>
          <w:bCs/>
          <w:sz w:val="20"/>
        </w:rPr>
        <w:t>XII.        El proceso para la aprobación de políticas, criterios y estrategias para la Administración del Riesgo Financiero y, en su caso, de coberturas distintas a las de Derivados. Para tales fines se deberá contar, con una descripción general de la operación, un análisis de los riesgos inherentes a dicha operación y un procedimiento para identificar, medir, monitorear, controlar, informar y revelar tales riesgos;</w:t>
      </w:r>
    </w:p>
    <w:p w:rsidR="00CA63EE" w:rsidRPr="00CA63EE" w:rsidRDefault="00CA63EE" w:rsidP="00CA63EE">
      <w:pPr>
        <w:jc w:val="both"/>
        <w:rPr>
          <w:rFonts w:ascii="Verdana" w:hAnsi="Verdana"/>
          <w:bCs/>
          <w:sz w:val="20"/>
        </w:rPr>
      </w:pPr>
      <w:r w:rsidRPr="00CA63EE">
        <w:rPr>
          <w:rFonts w:ascii="Verdana" w:hAnsi="Verdana"/>
          <w:bCs/>
          <w:sz w:val="20"/>
        </w:rPr>
        <w:t>XIII.        Las pruebas de cartera bajo escenarios de estrés aplicables a las carteras de inversión del Activo Administrado por las Sociedades de Inversión, a las que se refiere el Capítulo II del presente Título, incluyendo las pruebas de carteras bajo escenarios de estrés aplicables al Valor en Riesgo, al Valor en Riesgo Condicional y al Diferencial del Valor en Riesgo Condicional;</w:t>
      </w:r>
    </w:p>
    <w:p w:rsidR="00CA63EE" w:rsidRPr="00CA63EE" w:rsidRDefault="00CA63EE" w:rsidP="00CA63EE">
      <w:pPr>
        <w:jc w:val="both"/>
        <w:rPr>
          <w:rFonts w:ascii="Verdana" w:hAnsi="Verdana"/>
          <w:bCs/>
          <w:sz w:val="20"/>
        </w:rPr>
      </w:pPr>
      <w:r w:rsidRPr="00CA63EE">
        <w:rPr>
          <w:rFonts w:ascii="Verdana" w:hAnsi="Verdana"/>
          <w:bCs/>
          <w:sz w:val="20"/>
        </w:rPr>
        <w:t>XIV.       En caso de que se pretenda celebrar operaciones con Derivados, la logística para operarlos y una descripción de las mejores prácticas de ejecución, así como políticas y límites máximos de apalancamiento, aprobadas por el Comité de Riesgos Financieros, que la Sociedad de Inversión deberá observar al emplear estos instrumentos;</w:t>
      </w:r>
    </w:p>
    <w:p w:rsidR="00CA63EE" w:rsidRPr="00CA63EE" w:rsidRDefault="00CA63EE" w:rsidP="00CA63EE">
      <w:pPr>
        <w:jc w:val="both"/>
        <w:rPr>
          <w:rFonts w:ascii="Verdana" w:hAnsi="Verdana"/>
          <w:bCs/>
          <w:sz w:val="20"/>
        </w:rPr>
      </w:pPr>
      <w:r w:rsidRPr="00CA63EE">
        <w:rPr>
          <w:rFonts w:ascii="Verdana" w:hAnsi="Verdana"/>
          <w:bCs/>
          <w:sz w:val="20"/>
        </w:rPr>
        <w:t>XV.        En caso de que se pretenda celebrar operaciones con Derivados en mercados extrabursátiles, la política o en su caso la metodología a la que se sujetará la Sociedad de Inversión para la valuación de dichas operaciones;</w:t>
      </w:r>
    </w:p>
    <w:p w:rsidR="00CA63EE" w:rsidRPr="00CA63EE" w:rsidRDefault="00CA63EE" w:rsidP="00CA63EE">
      <w:pPr>
        <w:jc w:val="both"/>
        <w:rPr>
          <w:rFonts w:ascii="Verdana" w:hAnsi="Verdana"/>
          <w:bCs/>
          <w:sz w:val="20"/>
        </w:rPr>
      </w:pPr>
      <w:r w:rsidRPr="00CA63EE">
        <w:rPr>
          <w:rFonts w:ascii="Verdana" w:hAnsi="Verdana"/>
          <w:bCs/>
          <w:sz w:val="20"/>
        </w:rPr>
        <w:t>XVI.       En caso de que se pretenda celebrar operaciones con Valores Extranjeros, Mercancías, Divisas, Vehículos, Vehículos de Inversión Inmobiliaria, así como invertir a través de Fondos Mutuos o de Mandatarios, el procedimiento para operar éstos y una descripción de las mejores prácticas de ejecución o en su caso de contratación de los Mandatarios;</w:t>
      </w:r>
    </w:p>
    <w:p w:rsidR="00CA63EE" w:rsidRPr="00CA63EE" w:rsidRDefault="00CA63EE" w:rsidP="00CA63EE">
      <w:pPr>
        <w:jc w:val="both"/>
        <w:rPr>
          <w:rFonts w:ascii="Verdana" w:hAnsi="Verdana"/>
          <w:bCs/>
          <w:sz w:val="20"/>
        </w:rPr>
      </w:pPr>
      <w:r w:rsidRPr="00CA63EE">
        <w:rPr>
          <w:rFonts w:ascii="Verdana" w:hAnsi="Verdana"/>
          <w:bCs/>
          <w:sz w:val="20"/>
        </w:rPr>
        <w:t>XVII.      La metodología empleada para la valuación de los Activos Objeto de Inversión propiedad de las Sociedades de Inversión, así como de las acciones representativas del capital social pagado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XVIII.      La estructura organizacional diseñada para llevar a cabo la Administración del Riesgo Financiero. Dicha estructura deberá establecerse de manera que exista independencia entre la UAIR y aquellas otras áreas de control de operaciones, así como deberá haber una clara delimitación de funciones y perfil de puestos en todos sus niveles;</w:t>
      </w:r>
    </w:p>
    <w:p w:rsidR="00CA63EE" w:rsidRPr="00CA63EE" w:rsidRDefault="00CA63EE" w:rsidP="00CA63EE">
      <w:pPr>
        <w:jc w:val="both"/>
        <w:rPr>
          <w:rFonts w:ascii="Verdana" w:hAnsi="Verdana"/>
          <w:bCs/>
          <w:sz w:val="20"/>
        </w:rPr>
      </w:pPr>
      <w:r w:rsidRPr="00CA63EE">
        <w:rPr>
          <w:rFonts w:ascii="Verdana" w:hAnsi="Verdana"/>
          <w:bCs/>
          <w:sz w:val="20"/>
        </w:rPr>
        <w:t>XIX.       Las facultades y responsabilidades en función del puesto o cargo que desempeñen los Funcionarios;</w:t>
      </w:r>
    </w:p>
    <w:p w:rsidR="00CA63EE" w:rsidRPr="00CA63EE" w:rsidRDefault="00CA63EE" w:rsidP="00CA63EE">
      <w:pPr>
        <w:jc w:val="both"/>
        <w:rPr>
          <w:rFonts w:ascii="Verdana" w:hAnsi="Verdana"/>
          <w:bCs/>
          <w:sz w:val="20"/>
        </w:rPr>
      </w:pPr>
      <w:r w:rsidRPr="00CA63EE">
        <w:rPr>
          <w:rFonts w:ascii="Verdana" w:hAnsi="Verdana"/>
          <w:bCs/>
          <w:sz w:val="20"/>
        </w:rPr>
        <w:t>XX.        La descripción del Sistema Integral Automatizado en la actividad de administración de riesgos y la estructura de base de datos generada para el seguimiento del riesgo de cada Sociedad de Inversión;</w:t>
      </w:r>
    </w:p>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Cs/>
          <w:sz w:val="20"/>
        </w:rPr>
        <w:t xml:space="preserve">XXI.       Los planes de acción en caso de contingencias en sedes alternas. La sede alterna de la Administradora deberá satisfacer cabalmente las presentes Disposiciones, en relación al funcionamiento mínimo definido por la Comisión que deberán observar las Sociedades de Inversión, así como las actividades adicionales determinadas por la propia Administradora. En caso de que se requiera recuperar la continuidad de la operatividad, se deberá llevar a cabo </w:t>
      </w:r>
      <w:proofErr w:type="spellStart"/>
      <w:r w:rsidRPr="00CA63EE">
        <w:rPr>
          <w:rFonts w:ascii="Verdana" w:hAnsi="Verdana"/>
          <w:bCs/>
          <w:sz w:val="20"/>
        </w:rPr>
        <w:t>enuna</w:t>
      </w:r>
      <w:proofErr w:type="spellEnd"/>
      <w:r w:rsidRPr="00CA63EE">
        <w:rPr>
          <w:rFonts w:ascii="Verdana" w:hAnsi="Verdana"/>
          <w:bCs/>
          <w:sz w:val="20"/>
        </w:rPr>
        <w:t xml:space="preserve"> sede alterna que no haya sido previsiblemente afectada por las mismas circunstancias que la sede de la Administradora.</w:t>
      </w:r>
    </w:p>
    <w:p w:rsidR="00CA63EE" w:rsidRPr="00CA63EE" w:rsidRDefault="00CA63EE" w:rsidP="00CA63EE">
      <w:pPr>
        <w:jc w:val="both"/>
        <w:rPr>
          <w:rFonts w:ascii="Verdana" w:hAnsi="Verdana"/>
          <w:bCs/>
          <w:sz w:val="20"/>
        </w:rPr>
      </w:pPr>
      <w:r w:rsidRPr="00CA63EE">
        <w:rPr>
          <w:rFonts w:ascii="Verdana" w:hAnsi="Verdana"/>
          <w:bCs/>
          <w:sz w:val="20"/>
        </w:rPr>
        <w:t>             Se entenderá por funcionamiento mínimo de las Sociedades de Inversión para el área de riesgos, el cumplir con la fracción III del artículo 56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XXII.      Los requerimientos del Sistema Integral Automatizado en la actividad de administración de riesgos del Sistema Integral Automatizado a los que se refiere el Capítulo II del presente Título;</w:t>
      </w:r>
    </w:p>
    <w:p w:rsidR="00CA63EE" w:rsidRPr="00CA63EE" w:rsidRDefault="00CA63EE" w:rsidP="00CA63EE">
      <w:pPr>
        <w:jc w:val="both"/>
        <w:rPr>
          <w:rFonts w:ascii="Verdana" w:hAnsi="Verdana"/>
          <w:bCs/>
          <w:sz w:val="20"/>
        </w:rPr>
      </w:pPr>
      <w:r w:rsidRPr="00CA63EE">
        <w:rPr>
          <w:rFonts w:ascii="Verdana" w:hAnsi="Verdana"/>
          <w:bCs/>
          <w:sz w:val="20"/>
        </w:rPr>
        <w:t>XXIII.      La metodología para definir los Límites Prudenciales y Alarmas Tempranas de exposición máxima para operaciones de reporto y préstamo de valores por tipo de Instrumento permitido y por cada Contraparte con la que se realicen dichas operaciones, así como los límites agregados por Instrumento permitido y por Contraparte, aprobados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XXIV.     La metodología para definir los límites de exposición máxima a Contrapartes y emisores definidos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XXV.      La metodología para calcular el Valor en Riesgo, el Valor en Riesgo Condicional, y el Diferencial del Valor en Riesgo Condicional aplicando las fechas previstas en el Anexo A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XXVI.     La metodología definida por el Comité de Riesgos Financieros para realizar el análisis de sensibilidad a nivel de portafolio, desagregado por Factor de Riesgo o Clase de Activo;</w:t>
      </w:r>
    </w:p>
    <w:p w:rsidR="00CA63EE" w:rsidRPr="00CA63EE" w:rsidRDefault="00CA63EE" w:rsidP="00CA63EE">
      <w:pPr>
        <w:jc w:val="both"/>
        <w:rPr>
          <w:rFonts w:ascii="Verdana" w:hAnsi="Verdana"/>
          <w:bCs/>
          <w:sz w:val="20"/>
        </w:rPr>
      </w:pPr>
      <w:r w:rsidRPr="00CA63EE">
        <w:rPr>
          <w:rFonts w:ascii="Verdana" w:hAnsi="Verdana"/>
          <w:bCs/>
          <w:sz w:val="20"/>
        </w:rPr>
        <w:t>XXVII.     La metodología para determinar las medidas prudenciales de apalancamiento de las operaciones con Derivados a que se refiere el artículo 11, fracción XVI de las presentes disposiciones, así como los límites de apalancamiento máximo;</w:t>
      </w:r>
    </w:p>
    <w:p w:rsidR="00CA63EE" w:rsidRPr="00CA63EE" w:rsidRDefault="00CA63EE" w:rsidP="00CA63EE">
      <w:pPr>
        <w:jc w:val="both"/>
        <w:rPr>
          <w:rFonts w:ascii="Verdana" w:hAnsi="Verdana"/>
          <w:bCs/>
          <w:sz w:val="20"/>
        </w:rPr>
      </w:pPr>
      <w:r w:rsidRPr="00CA63EE">
        <w:rPr>
          <w:rFonts w:ascii="Verdana" w:hAnsi="Verdana"/>
          <w:bCs/>
          <w:sz w:val="20"/>
        </w:rPr>
        <w:t>XXVIII.    La metodología para realizar la atribución de rendimiento y de riesgo de la cartera de inversión del Activo Administrado por la Sociedad de Inversión y del portafolio de referencia aplicable a la cartera de inversión del Activo Total de la Sociedad de Inversión. Los Activos Administrados por los Mandatarios podrán ser excluidos de la metodología referida en la presente fracción;</w:t>
      </w:r>
    </w:p>
    <w:p w:rsidR="00CA63EE" w:rsidRPr="00CA63EE" w:rsidRDefault="00CA63EE" w:rsidP="00CA63EE">
      <w:pPr>
        <w:jc w:val="both"/>
        <w:rPr>
          <w:rFonts w:ascii="Verdana" w:hAnsi="Verdana"/>
          <w:bCs/>
          <w:sz w:val="20"/>
        </w:rPr>
      </w:pPr>
      <w:r w:rsidRPr="00CA63EE">
        <w:rPr>
          <w:rFonts w:ascii="Verdana" w:hAnsi="Verdana"/>
          <w:bCs/>
          <w:sz w:val="20"/>
        </w:rPr>
        <w:t>XXIX.     La metodología para calcular la desviación máxima que deberá observar la cartera de inversión de la Sociedad de Inversión respecto del portafolio de referencia, detallando con precisión la fórmula para su cómputo, y</w:t>
      </w:r>
    </w:p>
    <w:p w:rsidR="00CA63EE" w:rsidRPr="00CA63EE" w:rsidRDefault="00CA63EE" w:rsidP="00CA63EE">
      <w:pPr>
        <w:jc w:val="both"/>
        <w:rPr>
          <w:rFonts w:ascii="Verdana" w:hAnsi="Verdana"/>
          <w:bCs/>
          <w:sz w:val="20"/>
        </w:rPr>
      </w:pPr>
      <w:r w:rsidRPr="00CA63EE">
        <w:rPr>
          <w:rFonts w:ascii="Verdana" w:hAnsi="Verdana"/>
          <w:bCs/>
          <w:sz w:val="20"/>
        </w:rPr>
        <w:lastRenderedPageBreak/>
        <w:t>XXX.      La metodología de medición del nivel de cobertura y las desviaciones máximas a que se refiere el artículo 3, fracción XXI de las presentes disposiciones, en caso de que se pretenda realizar coberturas de los Activos Objeto de Inversión denominados en las Divisas pertenecientes a los Grupos II y III del Anexo D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17.- </w:t>
      </w:r>
      <w:r w:rsidRPr="00CA63EE">
        <w:rPr>
          <w:rFonts w:ascii="Verdana" w:hAnsi="Verdana"/>
          <w:bCs/>
          <w:sz w:val="20"/>
        </w:rPr>
        <w:t>Derogado.</w:t>
      </w:r>
    </w:p>
    <w:p w:rsidR="00CA63EE" w:rsidRPr="00CA63EE" w:rsidRDefault="00CA63EE" w:rsidP="00CA63EE">
      <w:pPr>
        <w:jc w:val="both"/>
        <w:rPr>
          <w:rFonts w:ascii="Verdana" w:hAnsi="Verdana"/>
          <w:bCs/>
          <w:sz w:val="20"/>
        </w:rPr>
      </w:pPr>
      <w:r w:rsidRPr="00CA63EE">
        <w:rPr>
          <w:rFonts w:ascii="Verdana" w:hAnsi="Verdana"/>
          <w:b/>
          <w:bCs/>
          <w:sz w:val="20"/>
        </w:rPr>
        <w:t>Artículo 18.-</w:t>
      </w:r>
      <w:r w:rsidRPr="00CA63EE">
        <w:rPr>
          <w:rFonts w:ascii="Verdana" w:hAnsi="Verdana"/>
          <w:bCs/>
          <w:sz w:val="20"/>
        </w:rPr>
        <w:t xml:space="preserve"> La Comisión podrá requerir, en cualquier momento, que la Administradora le presente el Manual de Políticas y Procedimientos para la Administración de Riesgo Financiero, y que la Administradora efectúe los ajustes que sean necesarios </w:t>
      </w:r>
      <w:proofErr w:type="gramStart"/>
      <w:r w:rsidRPr="00CA63EE">
        <w:rPr>
          <w:rFonts w:ascii="Verdana" w:hAnsi="Verdana"/>
          <w:bCs/>
          <w:sz w:val="20"/>
        </w:rPr>
        <w:t>a</w:t>
      </w:r>
      <w:proofErr w:type="gramEnd"/>
      <w:r w:rsidRPr="00CA63EE">
        <w:rPr>
          <w:rFonts w:ascii="Verdana" w:hAnsi="Verdana"/>
          <w:bCs/>
          <w:sz w:val="20"/>
        </w:rPr>
        <w:t xml:space="preserve"> dicho Manual para que el mismo se apegue a lo dispuesto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El Manual de Políticas y Procedimientos para la Administración del Riesgo Financiero deberá estar íntegramente a disposición de la Comisión en todo momento.</w:t>
      </w:r>
    </w:p>
    <w:p w:rsidR="00CA63EE" w:rsidRPr="00CA63EE" w:rsidRDefault="00CA63EE" w:rsidP="00CA63EE">
      <w:pPr>
        <w:jc w:val="both"/>
        <w:rPr>
          <w:rFonts w:ascii="Verdana" w:hAnsi="Verdana"/>
          <w:bCs/>
          <w:sz w:val="20"/>
        </w:rPr>
      </w:pPr>
      <w:r w:rsidRPr="00CA63EE">
        <w:rPr>
          <w:rFonts w:ascii="Verdana" w:hAnsi="Verdana"/>
          <w:b/>
          <w:bCs/>
          <w:sz w:val="20"/>
        </w:rPr>
        <w:t>Artículo 19.-</w:t>
      </w:r>
      <w:r w:rsidRPr="00CA63EE">
        <w:rPr>
          <w:rFonts w:ascii="Verdana" w:hAnsi="Verdana"/>
          <w:bCs/>
          <w:sz w:val="20"/>
        </w:rPr>
        <w:t> El Manual de Políticas y Procedimientos para la Administración del Riesgo Financiero deberá formar parte del Programa de Autorregulación que apruebe el Órgano de Gobierno de la Administradora en términos del artículo 29 de la Ley. Los Funcionarios de la Administradora y de las Sociedades de Inversión deberán observar el cumplimiento de dicho Manual.</w:t>
      </w:r>
    </w:p>
    <w:p w:rsidR="00CA63EE" w:rsidRPr="00CA63EE" w:rsidRDefault="00CA63EE" w:rsidP="00CA63EE">
      <w:pPr>
        <w:jc w:val="both"/>
        <w:rPr>
          <w:rFonts w:ascii="Verdana" w:hAnsi="Verdana"/>
          <w:bCs/>
          <w:sz w:val="20"/>
        </w:rPr>
      </w:pPr>
      <w:r w:rsidRPr="00CA63EE">
        <w:rPr>
          <w:rFonts w:ascii="Verdana" w:hAnsi="Verdana"/>
          <w:b/>
          <w:bCs/>
          <w:sz w:val="20"/>
        </w:rPr>
        <w:t>TÍTULO III</w:t>
      </w:r>
    </w:p>
    <w:p w:rsidR="00CA63EE" w:rsidRPr="00CA63EE" w:rsidRDefault="00CA63EE" w:rsidP="00CA63EE">
      <w:pPr>
        <w:jc w:val="both"/>
        <w:rPr>
          <w:rFonts w:ascii="Verdana" w:hAnsi="Verdana"/>
          <w:bCs/>
          <w:sz w:val="20"/>
        </w:rPr>
      </w:pPr>
      <w:r w:rsidRPr="00CA63EE">
        <w:rPr>
          <w:rFonts w:ascii="Verdana" w:hAnsi="Verdana"/>
          <w:b/>
          <w:bCs/>
          <w:sz w:val="20"/>
        </w:rPr>
        <w:t>DISPOSICIONES EN MATERIA DE INVERSIONES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DE LOS COMITÉS DE INVERSIÓN</w:t>
      </w:r>
    </w:p>
    <w:p w:rsidR="00CA63EE" w:rsidRPr="00CA63EE" w:rsidRDefault="00CA63EE" w:rsidP="00CA63EE">
      <w:pPr>
        <w:jc w:val="both"/>
        <w:rPr>
          <w:rFonts w:ascii="Verdana" w:hAnsi="Verdana"/>
          <w:bCs/>
          <w:sz w:val="20"/>
        </w:rPr>
      </w:pPr>
      <w:r w:rsidRPr="00CA63EE">
        <w:rPr>
          <w:rFonts w:ascii="Verdana" w:hAnsi="Verdana"/>
          <w:b/>
          <w:bCs/>
          <w:sz w:val="20"/>
        </w:rPr>
        <w:t>Artículo 20.-</w:t>
      </w:r>
      <w:r w:rsidRPr="00CA63EE">
        <w:rPr>
          <w:rFonts w:ascii="Verdana" w:hAnsi="Verdana"/>
          <w:bCs/>
          <w:sz w:val="20"/>
        </w:rPr>
        <w:t> Los Comités de Inversión deberán definir, aprobar y dar seguimiento, a la Estrategia de Inversión de los Activos Objeto de Inversión, dentro de los límites propuestos por el Comité de Riesgos Financieros que hayan sido aprobados por el Órgano de Gobierno de la Sociedad de Inversión de que se trate. Esta obligación será aplicable únicamente a los Activos Objeto de Inversión descritos en el presente Título en los que la Sociedad de Inversión invierta o tenga exposición.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 Estrategia de Inversión deberá prever las siguientes políticas aplicables de forma agregada a la cartera de inversión de cada Sociedad de Inversión:</w:t>
      </w:r>
    </w:p>
    <w:p w:rsidR="00CA63EE" w:rsidRPr="00CA63EE" w:rsidRDefault="00CA63EE" w:rsidP="00CA63EE">
      <w:pPr>
        <w:jc w:val="both"/>
        <w:rPr>
          <w:rFonts w:ascii="Verdana" w:hAnsi="Verdana"/>
          <w:bCs/>
          <w:sz w:val="20"/>
        </w:rPr>
      </w:pPr>
      <w:r w:rsidRPr="00CA63EE">
        <w:rPr>
          <w:rFonts w:ascii="Verdana" w:hAnsi="Verdana"/>
          <w:bCs/>
          <w:sz w:val="20"/>
        </w:rPr>
        <w:t>I.           Las características de liquidez, en caso de ser aplicable;</w:t>
      </w:r>
    </w:p>
    <w:p w:rsidR="00CA63EE" w:rsidRPr="00CA63EE" w:rsidRDefault="00CA63EE" w:rsidP="00CA63EE">
      <w:pPr>
        <w:jc w:val="both"/>
        <w:rPr>
          <w:rFonts w:ascii="Verdana" w:hAnsi="Verdana"/>
          <w:bCs/>
          <w:sz w:val="20"/>
        </w:rPr>
      </w:pPr>
      <w:r w:rsidRPr="00CA63EE">
        <w:rPr>
          <w:rFonts w:ascii="Verdana" w:hAnsi="Verdana"/>
          <w:bCs/>
          <w:sz w:val="20"/>
        </w:rPr>
        <w:t>II.          La calidad crediticia de los Instrumentos de Deuda, de los Valores Extranjeros de Deuda y de Inversiones Neutras que conforman la cartera de inversión;</w:t>
      </w:r>
    </w:p>
    <w:p w:rsidR="00CA63EE" w:rsidRPr="00CA63EE" w:rsidRDefault="00CA63EE" w:rsidP="00CA63EE">
      <w:pPr>
        <w:jc w:val="both"/>
        <w:rPr>
          <w:rFonts w:ascii="Verdana" w:hAnsi="Verdana"/>
          <w:bCs/>
          <w:sz w:val="20"/>
        </w:rPr>
      </w:pPr>
      <w:r w:rsidRPr="00CA63EE">
        <w:rPr>
          <w:rFonts w:ascii="Verdana" w:hAnsi="Verdana"/>
          <w:bCs/>
          <w:sz w:val="20"/>
        </w:rPr>
        <w:lastRenderedPageBreak/>
        <w:t>III.          La sensibilidad tolerada de la cartera de inversión ante los cambios que presenten cada uno de los Factores de Riesgo definidos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IV.         Los Vehículos, los Vehículos de Inversión Inmobiliaria, los mandatos de inversión y demás mecanismos de inversión semejantes, autorizados de conformidad con lo previsto en las Disposiciones de carácter general que establecen el régimen de inversión al que deberán sujetarse las Sociedades de Inversión, referidos a los Activos Objeto de Inversión que conformarán la cartera de inversión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 xml:space="preserve">V.          Los Activos Objeto de Inversión que formarán parte del Activo Total de la Sociedad de Inversión y en particular los referentes a Valores Extranjeros, Inversiones Neutras, Instrumentos Estructurados, FIBRAS, Vehículos de Inversión Inmobiliaria, Instrumentos </w:t>
      </w:r>
      <w:proofErr w:type="spellStart"/>
      <w:r w:rsidRPr="00CA63EE">
        <w:rPr>
          <w:rFonts w:ascii="Verdana" w:hAnsi="Verdana"/>
          <w:bCs/>
          <w:sz w:val="20"/>
        </w:rPr>
        <w:t>Bursatilizados</w:t>
      </w:r>
      <w:proofErr w:type="spellEnd"/>
      <w:r w:rsidRPr="00CA63EE">
        <w:rPr>
          <w:rFonts w:ascii="Verdana" w:hAnsi="Verdana"/>
          <w:bCs/>
          <w:sz w:val="20"/>
        </w:rPr>
        <w:t>, Mercancías, Divisas y el uso de Derivados;</w:t>
      </w:r>
    </w:p>
    <w:p w:rsidR="00CA63EE" w:rsidRPr="00CA63EE" w:rsidRDefault="00CA63EE" w:rsidP="00CA63EE">
      <w:pPr>
        <w:jc w:val="both"/>
        <w:rPr>
          <w:rFonts w:ascii="Verdana" w:hAnsi="Verdana"/>
          <w:bCs/>
          <w:sz w:val="20"/>
        </w:rPr>
      </w:pPr>
      <w:r w:rsidRPr="00CA63EE">
        <w:rPr>
          <w:rFonts w:ascii="Verdana" w:hAnsi="Verdana"/>
          <w:bCs/>
          <w:sz w:val="20"/>
        </w:rPr>
        <w:t>VI.         Los Activos Objeto de Inversión previstos en la normatividad emitida por la Comisión, las Clases de Activo y mecanismos de inversión que se pueden emplear para las inversiones de la cartera de inversión de la Sociedad de Inversión correspondiente, así como los porcentajes objetivo que deben representar respecto al valor del Activo Total, y</w:t>
      </w:r>
    </w:p>
    <w:p w:rsidR="00CA63EE" w:rsidRPr="00CA63EE" w:rsidRDefault="00CA63EE" w:rsidP="00CA63EE">
      <w:pPr>
        <w:jc w:val="both"/>
        <w:rPr>
          <w:rFonts w:ascii="Verdana" w:hAnsi="Verdana"/>
          <w:bCs/>
          <w:sz w:val="20"/>
        </w:rPr>
      </w:pPr>
      <w:r w:rsidRPr="00CA63EE">
        <w:rPr>
          <w:rFonts w:ascii="Verdana" w:hAnsi="Verdana"/>
          <w:bCs/>
          <w:sz w:val="20"/>
        </w:rPr>
        <w:t>VII.        Las políticas previstas en las fracciones anteriores podrán definirse con base en el portafolio de referencia aplicable a la cartera de inversión del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Adicionalmente, para la definición de la Estrategia de Inversión, el Comité de Inversión podrá considerar factores ambientales, sociales y de gobernanza corporativa (ESG por sus siglas en el idioma inglés).</w:t>
      </w:r>
    </w:p>
    <w:p w:rsidR="00CA63EE" w:rsidRPr="00CA63EE" w:rsidRDefault="00CA63EE" w:rsidP="00CA63EE">
      <w:pPr>
        <w:jc w:val="both"/>
        <w:rPr>
          <w:rFonts w:ascii="Verdana" w:hAnsi="Verdana"/>
          <w:bCs/>
          <w:sz w:val="20"/>
        </w:rPr>
      </w:pPr>
      <w:r w:rsidRPr="00CA63EE">
        <w:rPr>
          <w:rFonts w:ascii="Verdana" w:hAnsi="Verdana"/>
          <w:bCs/>
          <w:sz w:val="20"/>
        </w:rPr>
        <w:t>El Comité de Inversión deberá especificar si los porcentajes referidos en la fracción VI anterior se computan usando el valor a mercado, el Valor Delta Equivalente para las posiciones en Derivados o alguna otra medida. Asimismo, se deberán emplear medidas de liquidez, crédito y mercado definidas y aprobadas por el Comité de Riesgos Financieros de la Sociedad de Inversión.</w:t>
      </w:r>
    </w:p>
    <w:p w:rsidR="00CA63EE" w:rsidRPr="00CA63EE" w:rsidRDefault="00CA63EE" w:rsidP="00CA63EE">
      <w:pPr>
        <w:jc w:val="both"/>
        <w:rPr>
          <w:rFonts w:ascii="Verdana" w:hAnsi="Verdana"/>
          <w:bCs/>
          <w:sz w:val="20"/>
        </w:rPr>
      </w:pPr>
      <w:r w:rsidRPr="00CA63EE">
        <w:rPr>
          <w:rFonts w:ascii="Verdana" w:hAnsi="Verdana"/>
          <w:bCs/>
          <w:sz w:val="20"/>
        </w:rPr>
        <w:t>La Estrategia de Inversión deberá contemplar su vigencia, la periodicidad con que será revisada por el Comité de Inversión y el margen de desviación máximo permitido al área de inversión por el Comité de Inversión para cada una de las políticas referidas en el presente artículo. Sin perjuicio de lo anterior, será responsabilidad del Comité de Inversión definir y aprobar criterios adicionales que conformen la Estrategia de Inversión, con el objetivo de administrar prudentemente los recursos pensionarios de conformidad con el perfil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 xml:space="preserve">Cuando se incorporen nuevos instrumentos en la definición de Activos Objeto de Inversión previstos en las Disposiciones de carácter general que establecen el régimen de inversión al que deberán sujetarse las Sociedades de Inversión, el Comité de Inversión deberá analizar la liquidez en el mercado secundario y los Factores de Riesgo </w:t>
      </w:r>
      <w:r w:rsidRPr="00CA63EE">
        <w:rPr>
          <w:rFonts w:ascii="Verdana" w:hAnsi="Verdana"/>
          <w:bCs/>
          <w:sz w:val="20"/>
        </w:rPr>
        <w:lastRenderedPageBreak/>
        <w:t>que afecten al precio de estos instrumentos. El Responsable del Área de Inversiones deberá manifestar su opinión sobre la información prevista en el presente párrafo.</w:t>
      </w:r>
    </w:p>
    <w:p w:rsidR="00CA63EE" w:rsidRPr="00CA63EE" w:rsidRDefault="00CA63EE" w:rsidP="00CA63EE">
      <w:pPr>
        <w:jc w:val="both"/>
        <w:rPr>
          <w:rFonts w:ascii="Verdana" w:hAnsi="Verdana"/>
          <w:bCs/>
          <w:sz w:val="20"/>
        </w:rPr>
      </w:pPr>
      <w:r w:rsidRPr="00CA63EE">
        <w:rPr>
          <w:rFonts w:ascii="Verdana" w:hAnsi="Verdana"/>
          <w:bCs/>
          <w:sz w:val="20"/>
        </w:rPr>
        <w:t>La Estrategia de Inversión deberá quedar asentada en las Actas Pormenorizadas de las sesiones de los Comités de Inversión, que deberán celebrarse de conformidad con lo dispuesto en el artículo 42 de la Ley.</w:t>
      </w:r>
    </w:p>
    <w:p w:rsidR="00CA63EE" w:rsidRPr="00CA63EE" w:rsidRDefault="00CA63EE" w:rsidP="00CA63EE">
      <w:pPr>
        <w:jc w:val="both"/>
        <w:rPr>
          <w:rFonts w:ascii="Verdana" w:hAnsi="Verdana"/>
          <w:bCs/>
          <w:sz w:val="20"/>
        </w:rPr>
      </w:pPr>
      <w:r w:rsidRPr="00CA63EE">
        <w:rPr>
          <w:rFonts w:ascii="Verdana" w:hAnsi="Verdana"/>
          <w:b/>
          <w:bCs/>
          <w:sz w:val="20"/>
        </w:rPr>
        <w:t>Artículo 21.- </w:t>
      </w:r>
      <w:r w:rsidRPr="00CA63EE">
        <w:rPr>
          <w:rFonts w:ascii="Verdana" w:hAnsi="Verdana"/>
          <w:bCs/>
          <w:sz w:val="20"/>
        </w:rPr>
        <w:t>Los Comités de Inversión deberán designar:</w:t>
      </w:r>
    </w:p>
    <w:p w:rsidR="00CA63EE" w:rsidRPr="00CA63EE" w:rsidRDefault="00CA63EE" w:rsidP="00CA63EE">
      <w:pPr>
        <w:jc w:val="both"/>
        <w:rPr>
          <w:rFonts w:ascii="Verdana" w:hAnsi="Verdana"/>
          <w:bCs/>
          <w:sz w:val="20"/>
        </w:rPr>
      </w:pPr>
      <w:r w:rsidRPr="00CA63EE">
        <w:rPr>
          <w:rFonts w:ascii="Verdana" w:hAnsi="Verdana"/>
          <w:bCs/>
          <w:sz w:val="20"/>
        </w:rPr>
        <w:t>I.           Al o los Custodios y aprobar los contratos que se celebren con éstos en los términos previstos en las presentes Disposiciones. Para el caso de las facilidades de liquidez que prevean los contratos con Custodios, los Comités de Inversión deberán emitir su visto bueno;</w:t>
      </w:r>
    </w:p>
    <w:p w:rsidR="00CA63EE" w:rsidRPr="00CA63EE" w:rsidRDefault="00CA63EE" w:rsidP="00CA63EE">
      <w:pPr>
        <w:jc w:val="both"/>
        <w:rPr>
          <w:rFonts w:ascii="Verdana" w:hAnsi="Verdana"/>
          <w:bCs/>
          <w:sz w:val="20"/>
        </w:rPr>
      </w:pPr>
      <w:r w:rsidRPr="00CA63EE">
        <w:rPr>
          <w:rFonts w:ascii="Verdana" w:hAnsi="Verdana"/>
          <w:bCs/>
          <w:sz w:val="20"/>
        </w:rPr>
        <w:t>II.          A los Prestadores de Servicios Financieros y aprobar los contratos que se celebren con éstos en los términos previstos en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III.          A</w:t>
      </w:r>
      <w:r w:rsidRPr="00CA63EE">
        <w:rPr>
          <w:rFonts w:ascii="Verdana" w:hAnsi="Verdana"/>
          <w:b/>
          <w:bCs/>
          <w:sz w:val="20"/>
        </w:rPr>
        <w:t> </w:t>
      </w:r>
      <w:r w:rsidRPr="00CA63EE">
        <w:rPr>
          <w:rFonts w:ascii="Verdana" w:hAnsi="Verdana"/>
          <w:bCs/>
          <w:sz w:val="20"/>
        </w:rPr>
        <w:t>los Operadores y</w:t>
      </w:r>
      <w:r w:rsidRPr="00CA63EE">
        <w:rPr>
          <w:rFonts w:ascii="Verdana" w:hAnsi="Verdana"/>
          <w:b/>
          <w:bCs/>
          <w:sz w:val="20"/>
        </w:rPr>
        <w:t> </w:t>
      </w:r>
      <w:r w:rsidRPr="00CA63EE">
        <w:rPr>
          <w:rFonts w:ascii="Verdana" w:hAnsi="Verdana"/>
          <w:bCs/>
          <w:sz w:val="20"/>
        </w:rPr>
        <w:t>a los responsables de la confirmación, asignación, liquidación, registro contable y generación de estados financieros, así como traspaso de efectivo y valores de la Sociedad de Inversión, con base en las políticas previamente definidas por el propio Comité de Inversión.</w:t>
      </w:r>
    </w:p>
    <w:p w:rsidR="00CA63EE" w:rsidRPr="00CA63EE" w:rsidRDefault="00CA63EE" w:rsidP="00CA63EE">
      <w:pPr>
        <w:jc w:val="both"/>
        <w:rPr>
          <w:rFonts w:ascii="Verdana" w:hAnsi="Verdana"/>
          <w:bCs/>
          <w:sz w:val="20"/>
        </w:rPr>
      </w:pPr>
      <w:r w:rsidRPr="00CA63EE">
        <w:rPr>
          <w:rFonts w:ascii="Verdana" w:hAnsi="Verdana"/>
          <w:bCs/>
          <w:sz w:val="20"/>
        </w:rPr>
        <w:t>Respecto del Responsable del Área de Inversiones, los Comités de Inversión deberán evaluar y expresarse en la sesión que corresponda acerca de la designación que efectúe la Administradora.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22.- </w:t>
      </w:r>
      <w:r w:rsidRPr="00CA63EE">
        <w:rPr>
          <w:rFonts w:ascii="Verdana" w:hAnsi="Verdana"/>
          <w:bCs/>
          <w:sz w:val="20"/>
        </w:rPr>
        <w:t>Los Comités de Inversión deberán aprobar los programas de recomposición de cartera. Sin perjuicio de lo anterior, dichos programas se deberán aprobar ante incumplimientos a los límites de concentración definidos por 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t>Artículo 23.- </w:t>
      </w:r>
      <w:r w:rsidRPr="00CA63EE">
        <w:rPr>
          <w:rFonts w:ascii="Verdana" w:hAnsi="Verdana"/>
          <w:bCs/>
          <w:sz w:val="20"/>
        </w:rPr>
        <w:t>Los Comités de Inversión deberán definir y aprobar:</w:t>
      </w:r>
    </w:p>
    <w:p w:rsidR="00CA63EE" w:rsidRPr="00CA63EE" w:rsidRDefault="00CA63EE" w:rsidP="00CA63EE">
      <w:pPr>
        <w:jc w:val="both"/>
        <w:rPr>
          <w:rFonts w:ascii="Verdana" w:hAnsi="Verdana"/>
          <w:bCs/>
          <w:sz w:val="20"/>
        </w:rPr>
      </w:pPr>
      <w:r w:rsidRPr="00CA63EE">
        <w:rPr>
          <w:rFonts w:ascii="Verdana" w:hAnsi="Verdana"/>
          <w:bCs/>
          <w:sz w:val="20"/>
        </w:rPr>
        <w:t>I.           Los mecanismos para notificar a las Contrapartes sobre la lista de Funcionarios autorizados para efectuar operaciones con Derivados extrabursátiles, y</w:t>
      </w:r>
    </w:p>
    <w:p w:rsidR="00CA63EE" w:rsidRPr="00CA63EE" w:rsidRDefault="00CA63EE" w:rsidP="00CA63EE">
      <w:pPr>
        <w:jc w:val="both"/>
        <w:rPr>
          <w:rFonts w:ascii="Verdana" w:hAnsi="Verdana"/>
          <w:bCs/>
          <w:sz w:val="20"/>
        </w:rPr>
      </w:pPr>
      <w:r w:rsidRPr="00CA63EE">
        <w:rPr>
          <w:rFonts w:ascii="Verdana" w:hAnsi="Verdana"/>
          <w:bCs/>
          <w:sz w:val="20"/>
        </w:rPr>
        <w:t>II.          Las políticas para dar seguimiento a los mercados, las Contrapartes, los Intermediarios Financieros y las plataformas de negociación, con las cuales podrán realizar operaciones con Activos Objeto de Inversión, con base en la información pública disponible.</w:t>
      </w:r>
    </w:p>
    <w:p w:rsidR="00CA63EE" w:rsidRPr="00CA63EE" w:rsidRDefault="00CA63EE" w:rsidP="00CA63EE">
      <w:pPr>
        <w:jc w:val="both"/>
        <w:rPr>
          <w:rFonts w:ascii="Verdana" w:hAnsi="Verdana"/>
          <w:bCs/>
          <w:sz w:val="20"/>
        </w:rPr>
      </w:pPr>
      <w:r w:rsidRPr="00CA63EE">
        <w:rPr>
          <w:rFonts w:ascii="Verdana" w:hAnsi="Verdana"/>
          <w:b/>
          <w:bCs/>
          <w:sz w:val="20"/>
        </w:rPr>
        <w:t>Artículo 24.- </w:t>
      </w:r>
      <w:r w:rsidRPr="00CA63EE">
        <w:rPr>
          <w:rFonts w:ascii="Verdana" w:hAnsi="Verdana"/>
          <w:bCs/>
          <w:sz w:val="20"/>
        </w:rPr>
        <w:t xml:space="preserve">Los Comités de Inversión deberán definir, aprobar y dar seguimiento, a las políticas de concertación de operaciones con Activos Objeto de Inversión, complementarias a los artículos de mejor ejecución previstas en las presentes Disposiciones. Estas políticas de concertación de operaciones en plataformas de negociación deberán considerar, en caso de ser empleadas por la Administradora, a </w:t>
      </w:r>
      <w:r w:rsidRPr="00CA63EE">
        <w:rPr>
          <w:rFonts w:ascii="Verdana" w:hAnsi="Verdana"/>
          <w:bCs/>
          <w:sz w:val="20"/>
        </w:rPr>
        <w:lastRenderedPageBreak/>
        <w:t>las Órdenes de Concertación en Paquete, a las Órdenes de Concertación Ciegas, así como otros mecanismos similares a estos.</w:t>
      </w:r>
    </w:p>
    <w:p w:rsidR="00CA63EE" w:rsidRPr="00CA63EE" w:rsidRDefault="00CA63EE" w:rsidP="00CA63EE">
      <w:pPr>
        <w:jc w:val="both"/>
        <w:rPr>
          <w:rFonts w:ascii="Verdana" w:hAnsi="Verdana"/>
          <w:bCs/>
          <w:sz w:val="20"/>
        </w:rPr>
      </w:pPr>
      <w:r w:rsidRPr="00CA63EE">
        <w:rPr>
          <w:rFonts w:ascii="Verdana" w:hAnsi="Verdana"/>
          <w:bCs/>
          <w:sz w:val="20"/>
        </w:rPr>
        <w:t>Asimismo, el Comité de Inversión deberá prever políticas para evitar Operaciones Fuera de Mercado.</w:t>
      </w:r>
    </w:p>
    <w:p w:rsidR="00CA63EE" w:rsidRPr="00CA63EE" w:rsidRDefault="00CA63EE" w:rsidP="00CA63EE">
      <w:pPr>
        <w:jc w:val="both"/>
        <w:rPr>
          <w:rFonts w:ascii="Verdana" w:hAnsi="Verdana"/>
          <w:bCs/>
          <w:sz w:val="20"/>
        </w:rPr>
      </w:pPr>
      <w:r w:rsidRPr="00CA63EE">
        <w:rPr>
          <w:rFonts w:ascii="Verdana" w:hAnsi="Verdana"/>
          <w:bCs/>
          <w:sz w:val="20"/>
        </w:rPr>
        <w:t>A efecto de lo previsto en el presente artículo, el Responsable del Área de Inversiones deberá acreditar ante el Comité de Inversión el apego a dichas políticas de concertación adoptadas. Para lo anterior, el Responsable del Área de Inversiones deberá contar con evidencia por cualquier medio magnético, electrónico o documental.</w:t>
      </w:r>
    </w:p>
    <w:p w:rsidR="00CA63EE" w:rsidRPr="00CA63EE" w:rsidRDefault="00CA63EE" w:rsidP="00CA63EE">
      <w:pPr>
        <w:jc w:val="both"/>
        <w:rPr>
          <w:rFonts w:ascii="Verdana" w:hAnsi="Verdana"/>
          <w:bCs/>
          <w:sz w:val="20"/>
        </w:rPr>
      </w:pPr>
      <w:r w:rsidRPr="00CA63EE">
        <w:rPr>
          <w:rFonts w:ascii="Verdana" w:hAnsi="Verdana"/>
          <w:b/>
          <w:bCs/>
          <w:sz w:val="20"/>
        </w:rPr>
        <w:t>Artículo 25.- </w:t>
      </w:r>
      <w:r w:rsidRPr="00CA63EE">
        <w:rPr>
          <w:rFonts w:ascii="Verdana" w:hAnsi="Verdana"/>
          <w:bCs/>
          <w:sz w:val="20"/>
        </w:rPr>
        <w:t>Los Comités de Inversión podrán definir los horizontes en los que se deberán realizar los análisis de rendimiento y riesgos, observados y prospectivos, ya sea para cada Clase de Activo en que invierta la Sociedad de Inversión, por Factores de Riesgo o por tipos de riesgo a los que se encuentran expuestas las carteras de inversión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Lo anterior, cuando el Comité de Inversión considere adecuado emplear plazos diferentes a 1, 3, 5 años e históricos desde el inicio de la inversión o cuando menos tres horizontes alternativos que el Comité de Inversión defina.</w:t>
      </w:r>
    </w:p>
    <w:p w:rsidR="00CA63EE" w:rsidRPr="00CA63EE" w:rsidRDefault="00CA63EE" w:rsidP="00CA63EE">
      <w:pPr>
        <w:jc w:val="both"/>
        <w:rPr>
          <w:rFonts w:ascii="Verdana" w:hAnsi="Verdana"/>
          <w:bCs/>
          <w:sz w:val="20"/>
        </w:rPr>
      </w:pPr>
      <w:r w:rsidRPr="00CA63EE">
        <w:rPr>
          <w:rFonts w:ascii="Verdana" w:hAnsi="Verdana"/>
          <w:bCs/>
          <w:sz w:val="20"/>
        </w:rPr>
        <w:t>Los cálculos anteriores deberán ser realizados de acuerdo a las políticas y horizontes que defina el Comité de Inversión con la opinión favorable de la mayoría de los Consejeros Independientes, incluyendo la actualización de los insumos, y deberá quedar asentado en el Acta Pormenorizada de la sesión que corresponda del Comité de Inversión.</w:t>
      </w:r>
    </w:p>
    <w:p w:rsidR="00CA63EE" w:rsidRPr="00CA63EE" w:rsidRDefault="00CA63EE" w:rsidP="00CA63EE">
      <w:pPr>
        <w:jc w:val="both"/>
        <w:rPr>
          <w:rFonts w:ascii="Verdana" w:hAnsi="Verdana"/>
          <w:bCs/>
          <w:sz w:val="20"/>
        </w:rPr>
      </w:pPr>
      <w:r w:rsidRPr="00CA63EE">
        <w:rPr>
          <w:rFonts w:ascii="Verdana" w:hAnsi="Verdana"/>
          <w:bCs/>
          <w:sz w:val="20"/>
        </w:rPr>
        <w:t>Los Factores de Riesgo o tipos de riesgo serán identificados por 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t>Artículo 26.- </w:t>
      </w:r>
      <w:r w:rsidRPr="00CA63EE">
        <w:rPr>
          <w:rFonts w:ascii="Verdana" w:hAnsi="Verdana"/>
          <w:bCs/>
          <w:sz w:val="20"/>
        </w:rPr>
        <w:t>Los Comités de Inversión deberán determinar, para cada Clase de Activo, los porcentajes del Activo Total que correspondan al Activo Administrado por la Sociedad de Inversión y del Activo Administrado por el Mandatario, considerando a todos los Mandatarios que al efecto hayan contratado.</w:t>
      </w:r>
    </w:p>
    <w:p w:rsidR="00CA63EE" w:rsidRPr="00CA63EE" w:rsidRDefault="00CA63EE" w:rsidP="00CA63EE">
      <w:pPr>
        <w:jc w:val="both"/>
        <w:rPr>
          <w:rFonts w:ascii="Verdana" w:hAnsi="Verdana"/>
          <w:bCs/>
          <w:sz w:val="20"/>
        </w:rPr>
      </w:pPr>
      <w:r w:rsidRPr="00CA63EE">
        <w:rPr>
          <w:rFonts w:ascii="Verdana" w:hAnsi="Verdana"/>
          <w:b/>
          <w:bCs/>
          <w:sz w:val="20"/>
        </w:rPr>
        <w:t>Artículo 27.- </w:t>
      </w:r>
      <w:r w:rsidRPr="00CA63EE">
        <w:rPr>
          <w:rFonts w:ascii="Verdana" w:hAnsi="Verdana"/>
          <w:bCs/>
          <w:sz w:val="20"/>
        </w:rPr>
        <w:t>Los Comités de Inversión deberán definir la periodicidad con la que el Responsable del Área de Inversiones de las Sociedades de Inversión deberá presentar la información respecto del seguimiento y análisis de los contenidos y obligaciones previstos en los artículos 20 a 26 anteriores. Dicha periodicidad no podrá ser mayor a un año.</w:t>
      </w:r>
    </w:p>
    <w:p w:rsidR="00CA63EE" w:rsidRPr="00CA63EE" w:rsidRDefault="00CA63EE" w:rsidP="00CA63EE">
      <w:pPr>
        <w:jc w:val="both"/>
        <w:rPr>
          <w:rFonts w:ascii="Verdana" w:hAnsi="Verdana"/>
          <w:bCs/>
          <w:sz w:val="20"/>
        </w:rPr>
      </w:pPr>
      <w:r w:rsidRPr="00CA63EE">
        <w:rPr>
          <w:rFonts w:ascii="Verdana" w:hAnsi="Verdana"/>
          <w:b/>
          <w:bCs/>
          <w:sz w:val="20"/>
        </w:rPr>
        <w:t>Artículo 28.- </w:t>
      </w:r>
      <w:r w:rsidRPr="00CA63EE">
        <w:rPr>
          <w:rFonts w:ascii="Verdana" w:hAnsi="Verdana"/>
          <w:bCs/>
          <w:sz w:val="20"/>
        </w:rPr>
        <w:t>Cuando la Administradora cuente con la no objeción de la Comisión para celebrar operaciones con Mercancías, los Comités de Inversión deberán aprobar y dar seguimiento a la inversión en Mercancías, para lo cual deberán específicamente:</w:t>
      </w:r>
    </w:p>
    <w:p w:rsidR="00CA63EE" w:rsidRPr="00CA63EE" w:rsidRDefault="00CA63EE" w:rsidP="00CA63EE">
      <w:pPr>
        <w:jc w:val="both"/>
        <w:rPr>
          <w:rFonts w:ascii="Verdana" w:hAnsi="Verdana"/>
          <w:bCs/>
          <w:sz w:val="20"/>
        </w:rPr>
      </w:pPr>
      <w:r w:rsidRPr="00CA63EE">
        <w:rPr>
          <w:rFonts w:ascii="Verdana" w:hAnsi="Verdana"/>
          <w:bCs/>
          <w:sz w:val="20"/>
        </w:rPr>
        <w:t xml:space="preserve">I.           Definir y aprobar la Estrategia de Inversión en Mercancías, dentro de los límites autorizados de conformidad con las Disposiciones de carácter general que establecen el régimen de inversión al que deberán sujetarse las Sociedades de Inversión, los criterios que defina el Comité de Análisis de Riesgos y los límites que </w:t>
      </w:r>
      <w:r w:rsidRPr="00CA63EE">
        <w:rPr>
          <w:rFonts w:ascii="Verdana" w:hAnsi="Verdana"/>
          <w:bCs/>
          <w:sz w:val="20"/>
        </w:rPr>
        <w:lastRenderedPageBreak/>
        <w:t xml:space="preserve">defina el Comité de Riesgos Financieros. Para tales fines, el Comité de Inversión deberá definir el horizonte de las inversiones, los montos y los porcentajes de los Activos Totales de la Sociedad de Inversión de que se trate, que se invertirá en Mercancías, </w:t>
      </w:r>
      <w:proofErr w:type="spellStart"/>
      <w:r w:rsidRPr="00CA63EE">
        <w:rPr>
          <w:rFonts w:ascii="Verdana" w:hAnsi="Verdana"/>
          <w:bCs/>
          <w:sz w:val="20"/>
        </w:rPr>
        <w:t>asícomo</w:t>
      </w:r>
      <w:proofErr w:type="spellEnd"/>
      <w:r w:rsidRPr="00CA63EE">
        <w:rPr>
          <w:rFonts w:ascii="Verdana" w:hAnsi="Verdana"/>
          <w:bCs/>
          <w:sz w:val="20"/>
        </w:rPr>
        <w:t xml:space="preserve"> las políticas previstas en el artículo 20 de las presentes Disposiciones aplicables a Mercancías;</w:t>
      </w:r>
    </w:p>
    <w:p w:rsidR="00CA63EE" w:rsidRPr="00CA63EE" w:rsidRDefault="00CA63EE" w:rsidP="00CA63EE">
      <w:pPr>
        <w:jc w:val="both"/>
        <w:rPr>
          <w:rFonts w:ascii="Verdana" w:hAnsi="Verdana"/>
          <w:bCs/>
          <w:sz w:val="20"/>
        </w:rPr>
      </w:pPr>
      <w:r w:rsidRPr="00CA63EE">
        <w:rPr>
          <w:rFonts w:ascii="Verdana" w:hAnsi="Verdana"/>
          <w:bCs/>
          <w:sz w:val="20"/>
        </w:rPr>
        <w:t>II.          Definir los objetivos de largo plazo que se buscan alcanzar, en cuanto a diversificación y rentabilidad esperada a través de la inversión en mecanismos y Vehículos con exposición a Mercancías. Dichos objetivos de largo plazo se podrán definir en rangos;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Definir las políticas para aprobar los mecanismos de inversión y Vehículos con exposición a Mercancías en que invierta la Sociedad de Inversión, de conformidad con las Disposiciones de carácter general que establecen el régimen de inversión al que deberán sujetarse las Sociedades de Inversión y los criterios definidos por el Comité de Análisis de Riesgos. Para tales fines, el Comité de Inversión deberá conocer las siguientes características del mecanismo de inversión o Vehículo:</w:t>
      </w:r>
    </w:p>
    <w:p w:rsidR="00CA63EE" w:rsidRPr="00CA63EE" w:rsidRDefault="00CA63EE" w:rsidP="00CA63EE">
      <w:pPr>
        <w:jc w:val="both"/>
        <w:rPr>
          <w:rFonts w:ascii="Verdana" w:hAnsi="Verdana"/>
          <w:bCs/>
          <w:sz w:val="20"/>
        </w:rPr>
      </w:pPr>
      <w:r w:rsidRPr="00CA63EE">
        <w:rPr>
          <w:rFonts w:ascii="Verdana" w:hAnsi="Verdana"/>
          <w:bCs/>
          <w:sz w:val="20"/>
        </w:rPr>
        <w:t>a)   La estructura y los agentes involucrados en la gestión;</w:t>
      </w:r>
    </w:p>
    <w:p w:rsidR="00CA63EE" w:rsidRPr="00CA63EE" w:rsidRDefault="00CA63EE" w:rsidP="00CA63EE">
      <w:pPr>
        <w:jc w:val="both"/>
        <w:rPr>
          <w:rFonts w:ascii="Verdana" w:hAnsi="Verdana"/>
          <w:bCs/>
          <w:sz w:val="20"/>
        </w:rPr>
      </w:pPr>
      <w:r w:rsidRPr="00CA63EE">
        <w:rPr>
          <w:rFonts w:ascii="Verdana" w:hAnsi="Verdana"/>
          <w:bCs/>
          <w:sz w:val="20"/>
        </w:rPr>
        <w:t>b)   Los costos totales, identificando los conceptos que conforman dichos costos;</w:t>
      </w:r>
    </w:p>
    <w:p w:rsidR="00CA63EE" w:rsidRPr="00CA63EE" w:rsidRDefault="00CA63EE" w:rsidP="00CA63EE">
      <w:pPr>
        <w:jc w:val="both"/>
        <w:rPr>
          <w:rFonts w:ascii="Verdana" w:hAnsi="Verdana"/>
          <w:bCs/>
          <w:sz w:val="20"/>
        </w:rPr>
      </w:pPr>
      <w:r w:rsidRPr="00CA63EE">
        <w:rPr>
          <w:rFonts w:ascii="Verdana" w:hAnsi="Verdana"/>
          <w:bCs/>
          <w:sz w:val="20"/>
        </w:rPr>
        <w:t>c)   Los costos de transacción estimados;</w:t>
      </w:r>
    </w:p>
    <w:p w:rsidR="00CA63EE" w:rsidRPr="00CA63EE" w:rsidRDefault="00CA63EE" w:rsidP="00CA63EE">
      <w:pPr>
        <w:jc w:val="both"/>
        <w:rPr>
          <w:rFonts w:ascii="Verdana" w:hAnsi="Verdana"/>
          <w:bCs/>
          <w:sz w:val="20"/>
        </w:rPr>
      </w:pPr>
      <w:r w:rsidRPr="00CA63EE">
        <w:rPr>
          <w:rFonts w:ascii="Verdana" w:hAnsi="Verdana"/>
          <w:bCs/>
          <w:sz w:val="20"/>
        </w:rPr>
        <w:t>d)   Las estimaciones cuantitativas o incluso cualitativas, de la liquidez del mecanismo de inversión o Vehículo y la de los mercados donde la Administradora adquirirá dicho Vehículo;</w:t>
      </w:r>
    </w:p>
    <w:p w:rsidR="00CA63EE" w:rsidRPr="00CA63EE" w:rsidRDefault="00CA63EE" w:rsidP="00CA63EE">
      <w:pPr>
        <w:jc w:val="both"/>
        <w:rPr>
          <w:rFonts w:ascii="Verdana" w:hAnsi="Verdana"/>
          <w:bCs/>
          <w:sz w:val="20"/>
        </w:rPr>
      </w:pPr>
      <w:r w:rsidRPr="00CA63EE">
        <w:rPr>
          <w:rFonts w:ascii="Verdana" w:hAnsi="Verdana"/>
          <w:bCs/>
          <w:sz w:val="20"/>
        </w:rPr>
        <w:t>e)   Los subyacentes a los que puede tener exposición, dentro de aquellos autorizados por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f)    En su caso, el apalancamiento y las garantías que recibe o entrega, de conformidad con el prospecto de colocación o documento equivalente del Vehículo en cuestión, y</w:t>
      </w:r>
    </w:p>
    <w:p w:rsidR="00CA63EE" w:rsidRPr="00CA63EE" w:rsidRDefault="00CA63EE" w:rsidP="00CA63EE">
      <w:pPr>
        <w:jc w:val="both"/>
        <w:rPr>
          <w:rFonts w:ascii="Verdana" w:hAnsi="Verdana"/>
          <w:bCs/>
          <w:sz w:val="20"/>
        </w:rPr>
      </w:pPr>
      <w:r w:rsidRPr="00CA63EE">
        <w:rPr>
          <w:rFonts w:ascii="Verdana" w:hAnsi="Verdana"/>
          <w:bCs/>
          <w:sz w:val="20"/>
        </w:rPr>
        <w:t>g)   Las Contrapartes con que se ejecuten las operaciones previstas en el prospecto de colocación o documento equivalente del Vehículo en cuestión;</w:t>
      </w:r>
    </w:p>
    <w:p w:rsidR="00CA63EE" w:rsidRPr="00CA63EE" w:rsidRDefault="00CA63EE" w:rsidP="00CA63EE">
      <w:pPr>
        <w:jc w:val="both"/>
        <w:rPr>
          <w:rFonts w:ascii="Verdana" w:hAnsi="Verdana"/>
          <w:bCs/>
          <w:sz w:val="20"/>
        </w:rPr>
      </w:pPr>
      <w:r w:rsidRPr="00CA63EE">
        <w:rPr>
          <w:rFonts w:ascii="Verdana" w:hAnsi="Verdana"/>
          <w:bCs/>
          <w:sz w:val="20"/>
        </w:rPr>
        <w:t>             Las Sociedades de Inversión únicamente podrán invertir en las Mercancías a través de los Vehículos que para tales efectos autorice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 xml:space="preserve">IV.         Dar seguimiento al rendimiento observado y esperado de las inversiones en Mercancías. Para efecto de lo anterior, se deberá considerar las medidas de rendimiento y de riesgos que el Comité de Inversión haya aprobado e indicado en el Manual de Inversión. Sin menoscabo de lo anterior, las medidas previstas en el presente párrafo no podrán sustituir a las medidas definidas por el Comité de Riesgos </w:t>
      </w:r>
      <w:r w:rsidRPr="00CA63EE">
        <w:rPr>
          <w:rFonts w:ascii="Verdana" w:hAnsi="Verdana"/>
          <w:bCs/>
          <w:sz w:val="20"/>
        </w:rPr>
        <w:lastRenderedPageBreak/>
        <w:t>Financieros que deben ser empleadas para evaluar el cumplimiento de los Límites Prudenciales;</w:t>
      </w:r>
    </w:p>
    <w:p w:rsidR="00CA63EE" w:rsidRPr="00CA63EE" w:rsidRDefault="00CA63EE" w:rsidP="00CA63EE">
      <w:pPr>
        <w:jc w:val="both"/>
        <w:rPr>
          <w:rFonts w:ascii="Verdana" w:hAnsi="Verdana"/>
          <w:bCs/>
          <w:sz w:val="20"/>
        </w:rPr>
      </w:pPr>
      <w:r w:rsidRPr="00CA63EE">
        <w:rPr>
          <w:rFonts w:ascii="Verdana" w:hAnsi="Verdana"/>
          <w:bCs/>
          <w:sz w:val="20"/>
        </w:rPr>
        <w:t>V.          Prever políticas para que el área de inversiones de la Sociedad de Inversión cuente, previamente a la realización de las inversiones en Mercancías o índices de Mercancías autorizados, con un análisis sobre las características y riesgos inherentes a cada tipo de subyacente. En las inversiones realizadas a través de índices de Mercancías, deberán contar con un análisis para los sectores que en su conjunto conformen la inversión. Dichos análisis deberán apegarse a lo previsto en las presentes Disposiciones, así como a lo dispuesto en las Reglas Prudenciales en materia de administración de riesgos;</w:t>
      </w:r>
    </w:p>
    <w:p w:rsidR="00CA63EE" w:rsidRPr="00CA63EE" w:rsidRDefault="00CA63EE" w:rsidP="00CA63EE">
      <w:pPr>
        <w:jc w:val="both"/>
        <w:rPr>
          <w:rFonts w:ascii="Verdana" w:hAnsi="Verdana"/>
          <w:bCs/>
          <w:sz w:val="20"/>
        </w:rPr>
      </w:pPr>
      <w:r w:rsidRPr="00CA63EE">
        <w:rPr>
          <w:rFonts w:ascii="Verdana" w:hAnsi="Verdana"/>
          <w:bCs/>
          <w:sz w:val="20"/>
        </w:rPr>
        <w:t>VI.         Analizar los modelos de valuación de los activos, así como de los Vehículos que brinden exposición a las Mercancías, de conformidad con los criterios aprobados por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VII.        Aprobar las políticas referentes a las operaciones con instrumentos Derivados sobre Mercancías que realice la Sociedad de Inversión, así como el Mandatario, y</w:t>
      </w:r>
    </w:p>
    <w:p w:rsidR="00CA63EE" w:rsidRPr="00CA63EE" w:rsidRDefault="00CA63EE" w:rsidP="00CA63EE">
      <w:pPr>
        <w:jc w:val="both"/>
        <w:rPr>
          <w:rFonts w:ascii="Verdana" w:hAnsi="Verdana"/>
          <w:bCs/>
          <w:sz w:val="20"/>
        </w:rPr>
      </w:pPr>
      <w:r w:rsidRPr="00CA63EE">
        <w:rPr>
          <w:rFonts w:ascii="Verdana" w:hAnsi="Verdana"/>
          <w:bCs/>
          <w:sz w:val="20"/>
        </w:rPr>
        <w:t>VIII.        Aprobar las políticas de inversión activas en Mercancías que deberán observar los Mandatarios, de conformidad con las presentes Disposiciones, las Disposiciones de carácter general que establecen el régimen de inversión al que deberán sujetarse las Sociedades de Inversión, los criterios que defina el Comité de Inversión y los criterios que defina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las fracciones I, II, III, V, VI, VII, y VIII: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 fracción IV: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
          <w:bCs/>
          <w:sz w:val="20"/>
        </w:rPr>
        <w:t>Artículo 29.- </w:t>
      </w:r>
      <w:r w:rsidRPr="00CA63EE">
        <w:rPr>
          <w:rFonts w:ascii="Verdana" w:hAnsi="Verdana"/>
          <w:bCs/>
          <w:sz w:val="20"/>
        </w:rPr>
        <w:t xml:space="preserve">Los Comités de Inversión deberán aprobar y dar seguimiento a la inversión en Fondos Mutuos y Vehículos accionarios, de deuda e inmobiliarios conocidos como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para lo cual deberán específicamente:</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I.           Definir y aprobar la Estrategia de Inversión a través de Fondos Mutuos y en su caso de Vehículos accionarios, de deuda e inmobiliarios,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Para tales fines, el Comité de Inversión deberá definir el </w:t>
      </w:r>
      <w:r w:rsidRPr="00CA63EE">
        <w:rPr>
          <w:rFonts w:ascii="Verdana" w:hAnsi="Verdana"/>
          <w:bCs/>
          <w:sz w:val="20"/>
        </w:rPr>
        <w:lastRenderedPageBreak/>
        <w:t>horizonte de las inversiones, los montos y los porcentajes de los Activos Totales de la Sociedad de Inversión de que se trate, que se invertirá a través de estos Vehículos, así como las políticas previstas en el artículo 20 de las presentes Disposiciones aplicadas a ellos;</w:t>
      </w:r>
    </w:p>
    <w:p w:rsidR="00CA63EE" w:rsidRPr="00CA63EE" w:rsidRDefault="00CA63EE" w:rsidP="00CA63EE">
      <w:pPr>
        <w:jc w:val="both"/>
        <w:rPr>
          <w:rFonts w:ascii="Verdana" w:hAnsi="Verdana"/>
          <w:bCs/>
          <w:sz w:val="20"/>
        </w:rPr>
      </w:pPr>
      <w:r w:rsidRPr="00CA63EE">
        <w:rPr>
          <w:rFonts w:ascii="Verdana" w:hAnsi="Verdana"/>
          <w:bCs/>
          <w:sz w:val="20"/>
        </w:rPr>
        <w:t>II.          Analizar la estructura con la que opera el Fondo Mutuo y en su caso de Vehículos accionarios, de deuda e inmobiliarios, las entidades involucradas en el mecanismo de inversión, entre las cuales se encuentran enunciativamente más no limitativamente: el administrador, el valuador, el Custodio, el asesor de inversiones y el Proveedor de Precios;</w:t>
      </w:r>
    </w:p>
    <w:p w:rsidR="00CA63EE" w:rsidRPr="00CA63EE" w:rsidRDefault="00CA63EE" w:rsidP="00CA63EE">
      <w:pPr>
        <w:jc w:val="both"/>
        <w:rPr>
          <w:rFonts w:ascii="Verdana" w:hAnsi="Verdana"/>
          <w:bCs/>
          <w:sz w:val="20"/>
        </w:rPr>
      </w:pPr>
      <w:r w:rsidRPr="00CA63EE">
        <w:rPr>
          <w:rFonts w:ascii="Verdana" w:hAnsi="Verdana"/>
          <w:bCs/>
          <w:sz w:val="20"/>
        </w:rPr>
        <w:t>III.          Prever políticas para que el área de inversiones de la Sociedad de Inversión cuente, de manera previa a la realización de las inversiones en cada Fondo Mutuo y en su caso en cada Vehículo accionario, de deuda e inmobiliario, con un análisis sobre las características y riesgos inherentes, de conformidad con lo previsto en las presentes Disposiciones y lo dispuesto por las Reglas Prudenciales en materia de administración de riesgos, las Disposiciones de carácter general que establecen el régimen de inversión al que deberán sujetarse las Sociedades de Inversión y los criterios que defina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IV.         Definir y dar seguimiento a las Clases de Activos que adquieran a través de los Fondos Mutuos y en su caso de Vehículos accionarios, de deuda e inmobiliarios,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así como los porcentajes máximos o mínimos en cada una de ellas;</w:t>
      </w:r>
    </w:p>
    <w:p w:rsidR="00CA63EE" w:rsidRPr="00CA63EE" w:rsidRDefault="00CA63EE" w:rsidP="00CA63EE">
      <w:pPr>
        <w:jc w:val="both"/>
        <w:rPr>
          <w:rFonts w:ascii="Verdana" w:hAnsi="Verdana"/>
          <w:bCs/>
          <w:sz w:val="20"/>
        </w:rPr>
      </w:pPr>
      <w:r w:rsidRPr="00CA63EE">
        <w:rPr>
          <w:rFonts w:ascii="Verdana" w:hAnsi="Verdana"/>
          <w:bCs/>
          <w:sz w:val="20"/>
        </w:rPr>
        <w:t>V.          Definir políticas de elegibilidad aplicables a los administradores de Fondos Mutuos y en su caso de Vehículos accionarios, de deuda e inmobiliarios, de conformidad con las Disposiciones de carácter general que establecen el régimen de inversión al que deberán sujetarse las Sociedades de Inversión, los criterios que defina el Comité de Análisis de Riesgos y las presentes Disposiciones. Dichas políticas deberán incluir la experiencia del administrador como gestor de Vehículos, incluyendo a los Fondos Mutuos y en su caso de Vehículos accionarios, de deuda e inmobiliarios, el monto mínimo de activos bajo administración requerido;</w:t>
      </w:r>
    </w:p>
    <w:p w:rsidR="00CA63EE" w:rsidRPr="00CA63EE" w:rsidRDefault="00CA63EE" w:rsidP="00CA63EE">
      <w:pPr>
        <w:jc w:val="both"/>
        <w:rPr>
          <w:rFonts w:ascii="Verdana" w:hAnsi="Verdana"/>
          <w:bCs/>
          <w:sz w:val="20"/>
        </w:rPr>
      </w:pPr>
      <w:r w:rsidRPr="00CA63EE">
        <w:rPr>
          <w:rFonts w:ascii="Verdana" w:hAnsi="Verdana"/>
          <w:bCs/>
          <w:sz w:val="20"/>
        </w:rPr>
        <w:t>VI.         Definir, evaluar y dar seguimiento a la estructura, las características de liquidez y de accesibilidad del Fondo Mutuo y en su caso del Vehículo accionario, de deuda e inmobiliario, así como los costos totales y en su caso los costos de entrada y salida, considerando la información que se encuentre disponible al público conforme a las disposiciones aplicables;</w:t>
      </w:r>
    </w:p>
    <w:p w:rsidR="00CA63EE" w:rsidRPr="00CA63EE" w:rsidRDefault="00CA63EE" w:rsidP="00CA63EE">
      <w:pPr>
        <w:jc w:val="both"/>
        <w:rPr>
          <w:rFonts w:ascii="Verdana" w:hAnsi="Verdana"/>
          <w:bCs/>
          <w:sz w:val="20"/>
        </w:rPr>
      </w:pPr>
      <w:r w:rsidRPr="00CA63EE">
        <w:rPr>
          <w:rFonts w:ascii="Verdana" w:hAnsi="Verdana"/>
          <w:bCs/>
          <w:sz w:val="20"/>
        </w:rPr>
        <w:t xml:space="preserve">VII.        Evaluar los costos y los rendimientos netos de los Fondos Mutuos y en su caso de Vehículos accionarios, de deuda e inmobiliarios, en que invierta la Sociedad de Inversión. Dicha evaluación deberá comparar con otras alternativas de inversión similares respecto de los activos a los que se adquiere exposición. En caso de que el Comité de Inversión haya elegido un Vehículo de mayor costo con respecto a otros </w:t>
      </w:r>
      <w:r w:rsidRPr="00CA63EE">
        <w:rPr>
          <w:rFonts w:ascii="Verdana" w:hAnsi="Verdana"/>
          <w:bCs/>
          <w:sz w:val="20"/>
        </w:rPr>
        <w:lastRenderedPageBreak/>
        <w:t>Vehículos autorizados disponibles en el mercado y con el mismo objeto de inversión deberá exponer los motivos para la selección de dicho Vehículo, quedando asentando en el Acta Pormenorizada de la sesión que corresponda y contando con el voto favorable de la mayoría de los Consejeros Independientes que sean miembros del Comité de Inversión. Para el caso de los Fondos Mutuos con estrategias activas deberá evaluar el rendimiento neto histórico otorgado con respecto al índice de referencia, en su caso, considerando las veces que el administrador haya cambiado de índice de referencia para el mismo Fondo Mutuo;</w:t>
      </w:r>
    </w:p>
    <w:p w:rsidR="00CA63EE" w:rsidRPr="00CA63EE" w:rsidRDefault="00CA63EE" w:rsidP="00CA63EE">
      <w:pPr>
        <w:jc w:val="both"/>
        <w:rPr>
          <w:rFonts w:ascii="Verdana" w:hAnsi="Verdana"/>
          <w:bCs/>
          <w:sz w:val="20"/>
        </w:rPr>
      </w:pPr>
      <w:r w:rsidRPr="00CA63EE">
        <w:rPr>
          <w:rFonts w:ascii="Verdana" w:hAnsi="Verdana"/>
          <w:bCs/>
          <w:sz w:val="20"/>
        </w:rPr>
        <w:t>VIII.        Dar seguimiento al rendimiento observado y esperado de las inversiones en Fondos Mutuos y en su caso de Vehículos accionarios, de deuda e inmobiliarios. Para efecto de lo anterior, se deberán considerar las medidas de rendimiento y de riesgos que el Comité de Inversión haya aprobado e indicado en el Manual de Inversión. Sin menoscabo de lo anterior, las medidas previstas en el presente párrafo no podrán sustituir a las medidas definidas por el Comité de Riesgos Financieros que deben ser empleadas para evaluar el cumplimiento de los </w:t>
      </w:r>
      <w:proofErr w:type="spellStart"/>
      <w:r w:rsidRPr="00CA63EE">
        <w:rPr>
          <w:rFonts w:ascii="Verdana" w:hAnsi="Verdana"/>
          <w:bCs/>
          <w:sz w:val="20"/>
        </w:rPr>
        <w:t>LímitesPrudenciales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IX.         Definir las políticas que deberá observar el área de inversiones de manera previa a realizar una inversión en Fondos Mutuos y en su caso de Vehículos accionarios, de deuda e inmobiliarios, para verificar que los administradores de los referidos Vehículos no tengan antecedentes ni investigaciones pendientes por conflictos de interés, dolo o negligencia en la gestión de su mandato fiduciario con las entidades supervisoras correspondientes;</w:t>
      </w:r>
    </w:p>
    <w:p w:rsidR="00CA63EE" w:rsidRPr="00CA63EE" w:rsidRDefault="00CA63EE" w:rsidP="00CA63EE">
      <w:pPr>
        <w:jc w:val="both"/>
        <w:rPr>
          <w:rFonts w:ascii="Verdana" w:hAnsi="Verdana"/>
          <w:bCs/>
          <w:sz w:val="20"/>
        </w:rPr>
      </w:pPr>
      <w:r w:rsidRPr="00CA63EE">
        <w:rPr>
          <w:rFonts w:ascii="Verdana" w:hAnsi="Verdana"/>
          <w:bCs/>
          <w:sz w:val="20"/>
        </w:rPr>
        <w:t>X.          Para el caso de los Fondos Mutuos analizar la periodicidad establecida en los prospectos de información, suplemento u otro documento aprobado por la autoridad reguladora de los Países Elegibles para Inversiones con la que se podrá redimir las acciones de los Fondos Mutuos acorde con la Estrategia de Inversión, el tipo de subyacentes, así como el horizonte de inversión de las Sociedades de Inversión. Para lo anterior, deberán evaluar que los costos de los Fondos Mutuos reflejen la periodicidad de redención, así como evaluar aquellos costos o cualquier otro tipo de sanción impuesta por el administrador del Fondo Mutuo que se pudieran generar por una redención anticipada, y</w:t>
      </w:r>
    </w:p>
    <w:p w:rsidR="00CA63EE" w:rsidRPr="00CA63EE" w:rsidRDefault="00CA63EE" w:rsidP="00CA63EE">
      <w:pPr>
        <w:jc w:val="both"/>
        <w:rPr>
          <w:rFonts w:ascii="Verdana" w:hAnsi="Verdana"/>
          <w:bCs/>
          <w:sz w:val="20"/>
        </w:rPr>
      </w:pPr>
      <w:r w:rsidRPr="00CA63EE">
        <w:rPr>
          <w:rFonts w:ascii="Verdana" w:hAnsi="Verdana"/>
          <w:bCs/>
          <w:sz w:val="20"/>
        </w:rPr>
        <w:t>XI.         Para el caso de los Fondos Mutuos cerciorarse que el monto máximo invertido por el conjunto de Sociedades de Inversión operadas por una misma Administradora en cada Fondo Mutuo no sea superior al 10% de los activos netos de dicho Fondo Mutuo. El Comité de Inversión podrá determinar invertir un porcentaje superior al previsto en la presente fracción y deberá quedar claramente asentado en el Acta Pormenorizada correspondiente contando con el voto favorable de la mayoría de los Consejeros Independientes que sean miembros de dicho comité.</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lastRenderedPageBreak/>
        <w:t>1.1. La información de las fracciones I, II, III, IV, V, VI, IX y X: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las fracciones VII, VIII y XI: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
          <w:bCs/>
          <w:sz w:val="20"/>
        </w:rPr>
        <w:t>Artículo 30.- </w:t>
      </w:r>
      <w:r w:rsidRPr="00CA63EE">
        <w:rPr>
          <w:rFonts w:ascii="Verdana" w:hAnsi="Verdana"/>
          <w:bCs/>
          <w:sz w:val="20"/>
        </w:rPr>
        <w:t>Los Comités de Inversión deberán aprobar y dar seguimiento a la inversión en Instrumentos Estructurados, FIBRAS, Vehículos de Inversión Inmobiliaria y Certificados Bursátiles Vinculados a Proyectos Reales, para lo cual deberán:</w:t>
      </w:r>
    </w:p>
    <w:p w:rsidR="00CA63EE" w:rsidRPr="00CA63EE" w:rsidRDefault="00CA63EE" w:rsidP="00CA63EE">
      <w:pPr>
        <w:jc w:val="both"/>
        <w:rPr>
          <w:rFonts w:ascii="Verdana" w:hAnsi="Verdana"/>
          <w:bCs/>
          <w:sz w:val="20"/>
        </w:rPr>
      </w:pPr>
      <w:r w:rsidRPr="00CA63EE">
        <w:rPr>
          <w:rFonts w:ascii="Verdana" w:hAnsi="Verdana"/>
          <w:bCs/>
          <w:sz w:val="20"/>
        </w:rPr>
        <w:t>I.           Definir y aprobar la Estrategia de Inversión en Instrumentos Estructurados, FIBRAS, Vehículos de Inversión Inmobiliaria y los Certificados Bursátiles Vinculados a Proyectos Reales,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Para tales fines, el Comité de Inversión deberá definir lo siguiente:</w:t>
      </w:r>
    </w:p>
    <w:p w:rsidR="00CA63EE" w:rsidRPr="00CA63EE" w:rsidRDefault="00CA63EE" w:rsidP="00CA63EE">
      <w:pPr>
        <w:jc w:val="both"/>
        <w:rPr>
          <w:rFonts w:ascii="Verdana" w:hAnsi="Verdana"/>
          <w:bCs/>
          <w:sz w:val="20"/>
        </w:rPr>
      </w:pPr>
      <w:r w:rsidRPr="00CA63EE">
        <w:rPr>
          <w:rFonts w:ascii="Verdana" w:hAnsi="Verdana"/>
          <w:bCs/>
          <w:sz w:val="20"/>
        </w:rPr>
        <w:t>a)   Los horizontes en los que las inversiones se mantendrán en la cartera de inversión;</w:t>
      </w:r>
    </w:p>
    <w:p w:rsidR="00CA63EE" w:rsidRPr="00CA63EE" w:rsidRDefault="00CA63EE" w:rsidP="00CA63EE">
      <w:pPr>
        <w:jc w:val="both"/>
        <w:rPr>
          <w:rFonts w:ascii="Verdana" w:hAnsi="Verdana"/>
          <w:bCs/>
          <w:sz w:val="20"/>
        </w:rPr>
      </w:pPr>
      <w:r w:rsidRPr="00CA63EE">
        <w:rPr>
          <w:rFonts w:ascii="Verdana" w:hAnsi="Verdana"/>
          <w:bCs/>
          <w:sz w:val="20"/>
        </w:rPr>
        <w:t>b)   Los montos;</w:t>
      </w:r>
    </w:p>
    <w:p w:rsidR="00CA63EE" w:rsidRPr="00CA63EE" w:rsidRDefault="00CA63EE" w:rsidP="00CA63EE">
      <w:pPr>
        <w:jc w:val="both"/>
        <w:rPr>
          <w:rFonts w:ascii="Verdana" w:hAnsi="Verdana"/>
          <w:bCs/>
          <w:sz w:val="20"/>
        </w:rPr>
      </w:pPr>
      <w:r w:rsidRPr="00CA63EE">
        <w:rPr>
          <w:rFonts w:ascii="Verdana" w:hAnsi="Verdana"/>
          <w:bCs/>
          <w:sz w:val="20"/>
        </w:rPr>
        <w:t>c)   Las clases de inversiones subyacentes que serán objeto de la inversión;</w:t>
      </w:r>
    </w:p>
    <w:p w:rsidR="00CA63EE" w:rsidRPr="00CA63EE" w:rsidRDefault="00CA63EE" w:rsidP="00CA63EE">
      <w:pPr>
        <w:jc w:val="both"/>
        <w:rPr>
          <w:rFonts w:ascii="Verdana" w:hAnsi="Verdana"/>
          <w:bCs/>
          <w:sz w:val="20"/>
        </w:rPr>
      </w:pPr>
      <w:r w:rsidRPr="00CA63EE">
        <w:rPr>
          <w:rFonts w:ascii="Verdana" w:hAnsi="Verdana"/>
          <w:bCs/>
          <w:sz w:val="20"/>
        </w:rPr>
        <w:t>d)   La vigencia respecto a la Estrategia de Inversión;</w:t>
      </w:r>
    </w:p>
    <w:p w:rsidR="00CA63EE" w:rsidRPr="00CA63EE" w:rsidRDefault="00CA63EE" w:rsidP="00CA63EE">
      <w:pPr>
        <w:jc w:val="both"/>
        <w:rPr>
          <w:rFonts w:ascii="Verdana" w:hAnsi="Verdana"/>
          <w:bCs/>
          <w:sz w:val="20"/>
        </w:rPr>
      </w:pPr>
      <w:r w:rsidRPr="00CA63EE">
        <w:rPr>
          <w:rFonts w:ascii="Verdana" w:hAnsi="Verdana"/>
          <w:bCs/>
          <w:sz w:val="20"/>
        </w:rPr>
        <w:t>e)   La periodicidad para revisar la Estrategia de Inversión, y</w:t>
      </w:r>
    </w:p>
    <w:p w:rsidR="00CA63EE" w:rsidRPr="00CA63EE" w:rsidRDefault="00CA63EE" w:rsidP="00CA63EE">
      <w:pPr>
        <w:jc w:val="both"/>
        <w:rPr>
          <w:rFonts w:ascii="Verdana" w:hAnsi="Verdana"/>
          <w:bCs/>
          <w:sz w:val="20"/>
        </w:rPr>
      </w:pPr>
      <w:r w:rsidRPr="00CA63EE">
        <w:rPr>
          <w:rFonts w:ascii="Verdana" w:hAnsi="Verdana"/>
          <w:bCs/>
          <w:sz w:val="20"/>
        </w:rPr>
        <w:t>f)    La flexibilidad permitida en la implementación de la Estrategia de Inversión autorizada al área de inversiones para cada una de las variables descritas en los incisos anteriores. Para el caso de los Instrumentos Estructurados, el Comité de Inversión deberá definir en qué tipos de estos se invertirá.</w:t>
      </w:r>
    </w:p>
    <w:p w:rsidR="00CA63EE" w:rsidRPr="00CA63EE" w:rsidRDefault="00CA63EE" w:rsidP="00CA63EE">
      <w:pPr>
        <w:jc w:val="both"/>
        <w:rPr>
          <w:rFonts w:ascii="Verdana" w:hAnsi="Verdana"/>
          <w:bCs/>
          <w:sz w:val="20"/>
        </w:rPr>
      </w:pPr>
      <w:r w:rsidRPr="00CA63EE">
        <w:rPr>
          <w:rFonts w:ascii="Verdana" w:hAnsi="Verdana"/>
          <w:bCs/>
          <w:sz w:val="20"/>
        </w:rPr>
        <w:t>             El Comité de Inversión podrá definir y aprobar criterios adicionales que conformen la Estrategia de Inversión enfocada a Instrumentos Estructurados, FIBRAS, Vehículos de Inversión Inmobiliaria y los Certificados Bursátiles Vinculados a Proyectos Reales. Lo anterior, con el objetivo de administrar prudentemente los recursos pensionarios de conformidad con el perfil de la Sociedad de Inversión de que se trate. En caso de que el Comité de Inversión decida no agregar elementos adicionales en la definición de la Estrategia de Inversión, deberá dejarlo claramente asentado en el Acta Pormenorizada de la sesión que corresponda.</w:t>
      </w:r>
    </w:p>
    <w:p w:rsidR="00CA63EE" w:rsidRPr="00CA63EE" w:rsidRDefault="00CA63EE" w:rsidP="00CA63EE">
      <w:pPr>
        <w:jc w:val="both"/>
        <w:rPr>
          <w:rFonts w:ascii="Verdana" w:hAnsi="Verdana"/>
          <w:bCs/>
          <w:sz w:val="20"/>
        </w:rPr>
      </w:pPr>
      <w:r w:rsidRPr="00CA63EE">
        <w:rPr>
          <w:rFonts w:ascii="Verdana" w:hAnsi="Verdana"/>
          <w:bCs/>
          <w:sz w:val="20"/>
        </w:rPr>
        <w:t xml:space="preserve">             Para el caso de la estrategia de inversión en Instrumentos Estructurados, el Comité de Inversión deberá definir y aprobar los criterios bajo los cuales las Sociedades de Inversión invertirán en los instrumentos referidos en el inciso a) y en el inciso b) de la fracción LI de la disposición Segunda, de las Disposiciones de carácter general que establecen el régimen de inversión al que deberán sujetarse las </w:t>
      </w:r>
      <w:r w:rsidRPr="00CA63EE">
        <w:rPr>
          <w:rFonts w:ascii="Verdana" w:hAnsi="Verdana"/>
          <w:bCs/>
          <w:sz w:val="20"/>
        </w:rPr>
        <w:lastRenderedPageBreak/>
        <w:t>sociedades de inversión especializadas de fondos para el retiro según determine el Comité de Inversión obligatoriamente para cada caso.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          Prever políticas de elegibilidad que el área de inversiones de la Sociedad de Inversión deberá aplicar, o en su caso el área de riesgos, de manera previa a la realización de las inversiones en Instrumentos Estructurados, FIBRAS, Vehículos de Inversión Inmobiliaria y Certificados Bursátiles Vinculados a Proyectos Reales. Dichas políticas de elegibilidad comprenderán lo siguiente:</w:t>
      </w:r>
    </w:p>
    <w:p w:rsidR="00CA63EE" w:rsidRPr="00CA63EE" w:rsidRDefault="00CA63EE" w:rsidP="00CA63EE">
      <w:pPr>
        <w:jc w:val="both"/>
        <w:rPr>
          <w:rFonts w:ascii="Verdana" w:hAnsi="Verdana"/>
          <w:bCs/>
          <w:sz w:val="20"/>
        </w:rPr>
      </w:pPr>
      <w:r w:rsidRPr="00CA63EE">
        <w:rPr>
          <w:rFonts w:ascii="Verdana" w:hAnsi="Verdana"/>
          <w:bCs/>
          <w:sz w:val="20"/>
        </w:rPr>
        <w:t>a)   Para los Instrumentos Estructurados y FIBRAS, que puedan ser adquiridos de manera individual, se deberá incluir lo siguiente:</w:t>
      </w:r>
    </w:p>
    <w:p w:rsidR="00CA63EE" w:rsidRPr="00CA63EE" w:rsidRDefault="00CA63EE" w:rsidP="00CA63EE">
      <w:pPr>
        <w:jc w:val="both"/>
        <w:rPr>
          <w:rFonts w:ascii="Verdana" w:hAnsi="Verdana"/>
          <w:bCs/>
          <w:sz w:val="20"/>
        </w:rPr>
      </w:pPr>
      <w:r w:rsidRPr="00CA63EE">
        <w:rPr>
          <w:rFonts w:ascii="Verdana" w:hAnsi="Verdana"/>
          <w:bCs/>
          <w:sz w:val="20"/>
        </w:rPr>
        <w:t xml:space="preserve">i.      Los administradores de los patrimonios de los fideicomisos correspondientes a los Instrumentos Estructurados, y las FIBRAS, así como, en su caso, los </w:t>
      </w:r>
      <w:proofErr w:type="spellStart"/>
      <w:r w:rsidRPr="00CA63EE">
        <w:rPr>
          <w:rFonts w:ascii="Verdana" w:hAnsi="Verdana"/>
          <w:bCs/>
          <w:sz w:val="20"/>
        </w:rPr>
        <w:t>co</w:t>
      </w:r>
      <w:proofErr w:type="spellEnd"/>
      <w:r w:rsidRPr="00CA63EE">
        <w:rPr>
          <w:rFonts w:ascii="Verdana" w:hAnsi="Verdana"/>
          <w:bCs/>
          <w:sz w:val="20"/>
        </w:rPr>
        <w:t>-inversionistas de los Instrumentos Estructurados, incluyendo entre otros factores, los recursos humanos y técnicos para gestionar el activo, la experiencia del equipo en las actividades relacionadas con la inversión, así como las funciones de los agentes involucrados en el Instrumento;</w:t>
      </w:r>
    </w:p>
    <w:p w:rsidR="00CA63EE" w:rsidRPr="00CA63EE" w:rsidRDefault="00CA63EE" w:rsidP="00CA63EE">
      <w:pPr>
        <w:jc w:val="both"/>
        <w:rPr>
          <w:rFonts w:ascii="Verdana" w:hAnsi="Verdana"/>
          <w:bCs/>
          <w:sz w:val="20"/>
        </w:rPr>
      </w:pPr>
      <w:proofErr w:type="gramStart"/>
      <w:r w:rsidRPr="00CA63EE">
        <w:rPr>
          <w:rFonts w:ascii="Verdana" w:hAnsi="Verdana"/>
          <w:bCs/>
          <w:sz w:val="20"/>
        </w:rPr>
        <w:t>i</w:t>
      </w:r>
      <w:proofErr w:type="gramEnd"/>
      <w:r w:rsidRPr="00CA63EE">
        <w:rPr>
          <w:rFonts w:ascii="Verdana" w:hAnsi="Verdana"/>
          <w:bCs/>
          <w:sz w:val="20"/>
        </w:rPr>
        <w:t xml:space="preserve"> bis. Las políticas de elegibilidad para los </w:t>
      </w:r>
      <w:proofErr w:type="spellStart"/>
      <w:r w:rsidRPr="00CA63EE">
        <w:rPr>
          <w:rFonts w:ascii="Verdana" w:hAnsi="Verdana"/>
          <w:bCs/>
          <w:sz w:val="20"/>
        </w:rPr>
        <w:t>co</w:t>
      </w:r>
      <w:proofErr w:type="spellEnd"/>
      <w:r w:rsidRPr="00CA63EE">
        <w:rPr>
          <w:rFonts w:ascii="Verdana" w:hAnsi="Verdana"/>
          <w:bCs/>
          <w:sz w:val="20"/>
        </w:rPr>
        <w:t xml:space="preserve">-inversionistas en los Instrumentos Estructurados, incluyendo el tipo de </w:t>
      </w:r>
      <w:proofErr w:type="spellStart"/>
      <w:r w:rsidRPr="00CA63EE">
        <w:rPr>
          <w:rFonts w:ascii="Verdana" w:hAnsi="Verdana"/>
          <w:bCs/>
          <w:sz w:val="20"/>
        </w:rPr>
        <w:t>co</w:t>
      </w:r>
      <w:proofErr w:type="spellEnd"/>
      <w:r w:rsidRPr="00CA63EE">
        <w:rPr>
          <w:rFonts w:ascii="Verdana" w:hAnsi="Verdana"/>
          <w:bCs/>
          <w:sz w:val="20"/>
        </w:rPr>
        <w:t xml:space="preserve">-inversionista y su experiencia en la inversión de proyectos similares a los financiados a través de dichos Instrumentos. El Responsable del Área de Inversiones o en su caso el Responsable del Área de Riesgos, según lo determine la Administradora, deberá acreditar que el </w:t>
      </w:r>
      <w:proofErr w:type="spellStart"/>
      <w:r w:rsidRPr="00CA63EE">
        <w:rPr>
          <w:rFonts w:ascii="Verdana" w:hAnsi="Verdana"/>
          <w:bCs/>
          <w:sz w:val="20"/>
        </w:rPr>
        <w:t>co</w:t>
      </w:r>
      <w:proofErr w:type="spellEnd"/>
      <w:r w:rsidRPr="00CA63EE">
        <w:rPr>
          <w:rFonts w:ascii="Verdana" w:hAnsi="Verdana"/>
          <w:bCs/>
          <w:sz w:val="20"/>
        </w:rPr>
        <w:t xml:space="preserve">-inversionista es </w:t>
      </w:r>
      <w:proofErr w:type="spellStart"/>
      <w:r w:rsidRPr="00CA63EE">
        <w:rPr>
          <w:rFonts w:ascii="Verdana" w:hAnsi="Verdana"/>
          <w:bCs/>
          <w:sz w:val="20"/>
        </w:rPr>
        <w:t>unadministrador</w:t>
      </w:r>
      <w:proofErr w:type="spellEnd"/>
      <w:r w:rsidRPr="00CA63EE">
        <w:rPr>
          <w:rFonts w:ascii="Verdana" w:hAnsi="Verdana"/>
          <w:bCs/>
          <w:sz w:val="20"/>
        </w:rPr>
        <w:t xml:space="preserve"> de fondos de capital privado, un fondo de pensión, un fondo soberano, socio operador, empresa productiva del estado o inversionista que acredite tener experiencia en la inversión o desarrollo de proyectos similares a los financiados por el Instrumento Estructurado;</w:t>
      </w:r>
    </w:p>
    <w:p w:rsidR="00CA63EE" w:rsidRPr="00CA63EE" w:rsidRDefault="00CA63EE" w:rsidP="00CA63EE">
      <w:pPr>
        <w:jc w:val="both"/>
        <w:rPr>
          <w:rFonts w:ascii="Verdana" w:hAnsi="Verdana"/>
          <w:bCs/>
          <w:sz w:val="20"/>
        </w:rPr>
      </w:pPr>
      <w:r w:rsidRPr="00CA63EE">
        <w:rPr>
          <w:rFonts w:ascii="Verdana" w:hAnsi="Verdana"/>
          <w:bCs/>
          <w:sz w:val="20"/>
        </w:rPr>
        <w:t>ii.     La estructura de operación de los vehículos de inversión, así como la etapa de desarrollo de los proyectos objeto de financiamiento, los sectores, las actividades económicas, las fuentes de ingresos y las cascadas de pagos;</w:t>
      </w:r>
    </w:p>
    <w:p w:rsidR="00CA63EE" w:rsidRPr="00CA63EE" w:rsidRDefault="00CA63EE" w:rsidP="00CA63EE">
      <w:pPr>
        <w:jc w:val="both"/>
        <w:rPr>
          <w:rFonts w:ascii="Verdana" w:hAnsi="Verdana"/>
          <w:bCs/>
          <w:sz w:val="20"/>
        </w:rPr>
      </w:pPr>
      <w:r w:rsidRPr="00CA63EE">
        <w:rPr>
          <w:rFonts w:ascii="Verdana" w:hAnsi="Verdana"/>
          <w:bCs/>
          <w:sz w:val="20"/>
        </w:rPr>
        <w:t>iii.    Las políticas de comisiones cobradas a los inversionistas;</w:t>
      </w:r>
    </w:p>
    <w:p w:rsidR="00CA63EE" w:rsidRPr="00CA63EE" w:rsidRDefault="00CA63EE" w:rsidP="00CA63EE">
      <w:pPr>
        <w:jc w:val="both"/>
        <w:rPr>
          <w:rFonts w:ascii="Verdana" w:hAnsi="Verdana"/>
          <w:bCs/>
          <w:sz w:val="20"/>
        </w:rPr>
      </w:pPr>
      <w:r w:rsidRPr="00CA63EE">
        <w:rPr>
          <w:rFonts w:ascii="Verdana" w:hAnsi="Verdana"/>
          <w:bCs/>
          <w:sz w:val="20"/>
        </w:rPr>
        <w:t xml:space="preserve">iv.    Las políticas de alineación de los intereses del equipo de administración del patrimonio del fideicomiso correspondiente al Instrumento Estructurado y la FIBRA de que se trate con aquellos de los inversionistas. Dentro de dichas políticas, deberán incluirse los porcentajes de coinversión, previamente determinados por el Comité de Inversión, que deberá realizar el administrador en los mismos proyectos financiados a través del fideicomiso correspondiente al Instrumento Estructurado o la FIBRA de que se trate. Este porcentaje deberá ser determinado considerando los riesgos de los proyectos financiados, así como de acuerdo con la evaluación del administrador realizada a través del cuestionario previsto en el Anexo B de las presentes Disposiciones. Para efectos de lo previsto en el presente inciso, el Comité de Inversiones deberá conocer y tomar en cuenta si el administrador es una Entidad </w:t>
      </w:r>
      <w:r w:rsidRPr="00CA63EE">
        <w:rPr>
          <w:rFonts w:ascii="Verdana" w:hAnsi="Verdana"/>
          <w:bCs/>
          <w:sz w:val="20"/>
        </w:rPr>
        <w:lastRenderedPageBreak/>
        <w:t xml:space="preserve">Relacionada o mantiene algún Nexo Patrimonial, en su caso, con el </w:t>
      </w:r>
      <w:proofErr w:type="spellStart"/>
      <w:r w:rsidRPr="00CA63EE">
        <w:rPr>
          <w:rFonts w:ascii="Verdana" w:hAnsi="Verdana"/>
          <w:bCs/>
          <w:sz w:val="20"/>
        </w:rPr>
        <w:t>co</w:t>
      </w:r>
      <w:proofErr w:type="spellEnd"/>
      <w:r w:rsidRPr="00CA63EE">
        <w:rPr>
          <w:rFonts w:ascii="Verdana" w:hAnsi="Verdana"/>
          <w:bCs/>
          <w:sz w:val="20"/>
        </w:rPr>
        <w:t>-inversionista. Finalmente, las políticas previstas en el presente numeral podrán ser diferentes para cada tipo de Instrumento Estructurado y FIBRA, asimismo</w:t>
      </w:r>
    </w:p>
    <w:p w:rsidR="00CA63EE" w:rsidRPr="00CA63EE" w:rsidRDefault="00CA63EE" w:rsidP="00CA63EE">
      <w:pPr>
        <w:jc w:val="both"/>
        <w:rPr>
          <w:rFonts w:ascii="Verdana" w:hAnsi="Verdana"/>
          <w:bCs/>
          <w:sz w:val="20"/>
        </w:rPr>
      </w:pPr>
      <w:r w:rsidRPr="00CA63EE">
        <w:rPr>
          <w:rFonts w:ascii="Verdana" w:hAnsi="Verdana"/>
          <w:bCs/>
          <w:sz w:val="20"/>
        </w:rPr>
        <w:t>v.     Las políticas que contengan los criterios adicionales de revelación de información a las previstas en la Ley del Mercado de Valores y en las Disposiciones de carácter general aplicables a las emisoras de valores y a otros participantes del mercado de valores, expedidas por la Comisión Nacional Bancaria y de Valores, incluyendo auditorías del activo así como del Vehículo en cuestión;</w:t>
      </w:r>
    </w:p>
    <w:p w:rsidR="00CA63EE" w:rsidRPr="00CA63EE" w:rsidRDefault="00CA63EE" w:rsidP="00CA63EE">
      <w:pPr>
        <w:jc w:val="both"/>
        <w:rPr>
          <w:rFonts w:ascii="Verdana" w:hAnsi="Verdana"/>
          <w:bCs/>
          <w:sz w:val="20"/>
        </w:rPr>
      </w:pPr>
      <w:r w:rsidRPr="00CA63EE">
        <w:rPr>
          <w:rFonts w:ascii="Verdana" w:hAnsi="Verdana"/>
          <w:bCs/>
          <w:sz w:val="20"/>
        </w:rPr>
        <w:t xml:space="preserve">                   Para efectos de los análisis que deriven de la determinación de las políticas previstas en el presente inciso, aplicables a los Instrumentos Estructurados, el Comité de Inversión o en su caso el Comité de Riesgos Financieros, deberá identificar plenamente, y dejar constancia de ello, a la entidad que, de entre el administrador y el </w:t>
      </w:r>
      <w:proofErr w:type="spellStart"/>
      <w:r w:rsidRPr="00CA63EE">
        <w:rPr>
          <w:rFonts w:ascii="Verdana" w:hAnsi="Verdana"/>
          <w:bCs/>
          <w:sz w:val="20"/>
        </w:rPr>
        <w:t>co</w:t>
      </w:r>
      <w:proofErr w:type="spellEnd"/>
      <w:r w:rsidRPr="00CA63EE">
        <w:rPr>
          <w:rFonts w:ascii="Verdana" w:hAnsi="Verdana"/>
          <w:bCs/>
          <w:sz w:val="20"/>
        </w:rPr>
        <w:t xml:space="preserve">-inversionista, tenga a su cargo definir la tesis de inversión de los referidos instrumentos, así como la entidad encargada de la labor de ejecución y, en su caso, la relación que exista entre la entidad que define la tesis de inversión y la que la ejecuta. Los </w:t>
      </w:r>
      <w:proofErr w:type="spellStart"/>
      <w:r w:rsidRPr="00CA63EE">
        <w:rPr>
          <w:rFonts w:ascii="Verdana" w:hAnsi="Verdana"/>
          <w:bCs/>
          <w:sz w:val="20"/>
        </w:rPr>
        <w:t>co</w:t>
      </w:r>
      <w:proofErr w:type="spellEnd"/>
      <w:r w:rsidRPr="00CA63EE">
        <w:rPr>
          <w:rFonts w:ascii="Verdana" w:hAnsi="Verdana"/>
          <w:bCs/>
          <w:sz w:val="20"/>
        </w:rPr>
        <w:t>-inversionistas deberán apegarse a lo previsto en el Anexo B, Capítulo I, fracción IV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b)   Para los Vehículos de Inversión Inmobiliaria que puedan ser adquiridos de manera individual por la Sociedad de Inversión, se incluirá:</w:t>
      </w:r>
    </w:p>
    <w:p w:rsidR="00CA63EE" w:rsidRPr="00CA63EE" w:rsidRDefault="00CA63EE" w:rsidP="00CA63EE">
      <w:pPr>
        <w:jc w:val="both"/>
        <w:rPr>
          <w:rFonts w:ascii="Verdana" w:hAnsi="Verdana"/>
          <w:bCs/>
          <w:sz w:val="20"/>
        </w:rPr>
      </w:pPr>
      <w:r w:rsidRPr="00CA63EE">
        <w:rPr>
          <w:rFonts w:ascii="Verdana" w:hAnsi="Verdana"/>
          <w:bCs/>
          <w:sz w:val="20"/>
        </w:rPr>
        <w:t>i.    La experiencia del equipo de administración del Vehículo de Inversión Inmobiliaria en las actividades objeto de la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    La estructura de operación de los vehículos de inversión, así como la etapa de desarrollo de los proyectos objeto de financiamiento, los sectores, las actividades económicas, las fuentes de ingresos y las cascadas de pagos;</w:t>
      </w:r>
    </w:p>
    <w:p w:rsidR="00CA63EE" w:rsidRPr="00CA63EE" w:rsidRDefault="00CA63EE" w:rsidP="00CA63EE">
      <w:pPr>
        <w:jc w:val="both"/>
        <w:rPr>
          <w:rFonts w:ascii="Verdana" w:hAnsi="Verdana"/>
          <w:bCs/>
          <w:sz w:val="20"/>
        </w:rPr>
      </w:pPr>
      <w:r w:rsidRPr="00CA63EE">
        <w:rPr>
          <w:rFonts w:ascii="Verdana" w:hAnsi="Verdana"/>
          <w:bCs/>
          <w:sz w:val="20"/>
        </w:rPr>
        <w:t>iii.   Las políticas de comisiones cobradas a los inversionistas, y</w:t>
      </w:r>
    </w:p>
    <w:p w:rsidR="00CA63EE" w:rsidRPr="00CA63EE" w:rsidRDefault="00CA63EE" w:rsidP="00CA63EE">
      <w:pPr>
        <w:jc w:val="both"/>
        <w:rPr>
          <w:rFonts w:ascii="Verdana" w:hAnsi="Verdana"/>
          <w:bCs/>
          <w:sz w:val="20"/>
        </w:rPr>
      </w:pPr>
      <w:r w:rsidRPr="00CA63EE">
        <w:rPr>
          <w:rFonts w:ascii="Verdana" w:hAnsi="Verdana"/>
          <w:bCs/>
          <w:sz w:val="20"/>
        </w:rPr>
        <w:t>iv.   Las políticas de alineación de intereses del equipo de administración del activo con los de los inversionistas.</w:t>
      </w:r>
    </w:p>
    <w:p w:rsidR="00CA63EE" w:rsidRPr="00CA63EE" w:rsidRDefault="00CA63EE" w:rsidP="00CA63EE">
      <w:pPr>
        <w:jc w:val="both"/>
        <w:rPr>
          <w:rFonts w:ascii="Verdana" w:hAnsi="Verdana"/>
          <w:bCs/>
          <w:sz w:val="20"/>
        </w:rPr>
      </w:pPr>
      <w:r w:rsidRPr="00CA63EE">
        <w:rPr>
          <w:rFonts w:ascii="Verdana" w:hAnsi="Verdana"/>
          <w:bCs/>
          <w:sz w:val="20"/>
        </w:rPr>
        <w:t>c)   Para los Certificados Bursátiles Vinculados a Activos Reales que puedan ser adquiridos de manera individual, se deberá incluir lo siguiente:</w:t>
      </w:r>
    </w:p>
    <w:p w:rsidR="00CA63EE" w:rsidRPr="00CA63EE" w:rsidRDefault="00CA63EE" w:rsidP="00CA63EE">
      <w:pPr>
        <w:jc w:val="both"/>
        <w:rPr>
          <w:rFonts w:ascii="Verdana" w:hAnsi="Verdana"/>
          <w:bCs/>
          <w:sz w:val="20"/>
        </w:rPr>
      </w:pPr>
      <w:r w:rsidRPr="00CA63EE">
        <w:rPr>
          <w:rFonts w:ascii="Verdana" w:hAnsi="Verdana"/>
          <w:bCs/>
          <w:sz w:val="20"/>
        </w:rPr>
        <w:t>i.    El fideicomitente, o en su caso quien aporte los activos o proyectos reales que generan los derechos de cobro, así como el operador de dichos activos, incluyendo entre otros factores, las funciones de los agentes involucrados en el instrumento, y</w:t>
      </w:r>
    </w:p>
    <w:p w:rsidR="00CA63EE" w:rsidRPr="00CA63EE" w:rsidRDefault="00CA63EE" w:rsidP="00CA63EE">
      <w:pPr>
        <w:jc w:val="both"/>
        <w:rPr>
          <w:rFonts w:ascii="Verdana" w:hAnsi="Verdana"/>
          <w:bCs/>
          <w:sz w:val="20"/>
        </w:rPr>
      </w:pPr>
      <w:r w:rsidRPr="00CA63EE">
        <w:rPr>
          <w:rFonts w:ascii="Verdana" w:hAnsi="Verdana"/>
          <w:bCs/>
          <w:sz w:val="20"/>
        </w:rPr>
        <w:t>ii.    La estructura de operación de los vehículos de inversión, incluyendo entre otros factores, el patrimonio y fines del fidecomiso, destino de los recursos de la emisión, cascadas de pagos, garantías, los sectores o actividades económicas en las que se opera.</w:t>
      </w:r>
    </w:p>
    <w:p w:rsidR="00CA63EE" w:rsidRPr="00CA63EE" w:rsidRDefault="00CA63EE" w:rsidP="00CA63EE">
      <w:pPr>
        <w:jc w:val="both"/>
        <w:rPr>
          <w:rFonts w:ascii="Verdana" w:hAnsi="Verdana"/>
          <w:bCs/>
          <w:sz w:val="20"/>
        </w:rPr>
      </w:pPr>
      <w:r w:rsidRPr="00CA63EE">
        <w:rPr>
          <w:rFonts w:ascii="Verdana" w:hAnsi="Verdana"/>
          <w:bCs/>
          <w:sz w:val="20"/>
        </w:rPr>
        <w:lastRenderedPageBreak/>
        <w:t>             El Comité de Inversión deberá prever las políticas de elegibilidad sobre los conceptos previstos en el Anexo B, Capítulo I de las presentes Disposiciones. En caso que el Comité de Inversión decida no prever políticas de elegibilidad de alguno de los conceptos del Anexo en comento, deberá justificar dicha decisión y asentarlo en el Acta Pormenorizada correspondiente.</w:t>
      </w:r>
    </w:p>
    <w:p w:rsidR="00CA63EE" w:rsidRPr="00CA63EE" w:rsidRDefault="00CA63EE" w:rsidP="00CA63EE">
      <w:pPr>
        <w:jc w:val="both"/>
        <w:rPr>
          <w:rFonts w:ascii="Verdana" w:hAnsi="Verdana"/>
          <w:bCs/>
          <w:sz w:val="20"/>
        </w:rPr>
      </w:pPr>
      <w:r w:rsidRPr="00CA63EE">
        <w:rPr>
          <w:rFonts w:ascii="Verdana" w:hAnsi="Verdana"/>
          <w:bCs/>
          <w:sz w:val="20"/>
        </w:rPr>
        <w:t>             El área de inversiones deberá evaluar el cumplimiento de las políticas referidas en la presente fracción, respecto de cada uno de los Instrumentos Estructurados, FIBRAS y Certificados Bursátiles Vinculados a Proyectos Reales, con base en la información pública disponible de conformidad con el mecanismo de colocación del instrumento en cuestión y en términos de lo previsto en la Ley del Mercado de Valores y en las Disposiciones de carácter general aplicables a las emisoras de valores y a otros participantes del mercado de valores, expedidas por la Comisión Nacional Bancaria y de Valores.</w:t>
      </w:r>
    </w:p>
    <w:p w:rsidR="00CA63EE" w:rsidRPr="00CA63EE" w:rsidRDefault="00CA63EE" w:rsidP="00CA63EE">
      <w:pPr>
        <w:jc w:val="both"/>
        <w:rPr>
          <w:rFonts w:ascii="Verdana" w:hAnsi="Verdana"/>
          <w:bCs/>
          <w:sz w:val="20"/>
        </w:rPr>
      </w:pPr>
      <w:r w:rsidRPr="00CA63EE">
        <w:rPr>
          <w:rFonts w:ascii="Verdana" w:hAnsi="Verdana"/>
          <w:bCs/>
          <w:sz w:val="20"/>
        </w:rPr>
        <w:t xml:space="preserve">             Para la evaluación de los Certificados Bursátiles Fiduciarios de Proyectos de Inversión, el Comité de Inversión deberá considerar adicionalmente la información que en su caso sea provista por el </w:t>
      </w:r>
      <w:proofErr w:type="spellStart"/>
      <w:r w:rsidRPr="00CA63EE">
        <w:rPr>
          <w:rFonts w:ascii="Verdana" w:hAnsi="Verdana"/>
          <w:bCs/>
          <w:sz w:val="20"/>
        </w:rPr>
        <w:t>co</w:t>
      </w:r>
      <w:proofErr w:type="spellEnd"/>
      <w:r w:rsidRPr="00CA63EE">
        <w:rPr>
          <w:rFonts w:ascii="Verdana" w:hAnsi="Verdana"/>
          <w:bCs/>
          <w:sz w:val="20"/>
        </w:rPr>
        <w:t>-inversionista.</w:t>
      </w:r>
    </w:p>
    <w:p w:rsidR="00CA63EE" w:rsidRPr="00CA63EE" w:rsidRDefault="00CA63EE" w:rsidP="00CA63EE">
      <w:pPr>
        <w:jc w:val="both"/>
        <w:rPr>
          <w:rFonts w:ascii="Verdana" w:hAnsi="Verdana"/>
          <w:bCs/>
          <w:sz w:val="20"/>
        </w:rPr>
      </w:pPr>
      <w:r w:rsidRPr="00CA63EE">
        <w:rPr>
          <w:rFonts w:ascii="Verdana" w:hAnsi="Verdana"/>
          <w:bCs/>
          <w:sz w:val="20"/>
        </w:rPr>
        <w:t xml:space="preserve">             Para la evaluación de los Instrumentos Estructurados, el Comité de Inversión deberá considerar adicionalmente, la información que, en su caso, sea provista a los tenedores de dichos instrumentos de conformidad con lo dispuesto en la Ley del Mercado de Valores y en las Disposiciones de carácter general aplicables a las emisoras de valores y a otros participantes del mercado de valores, expedidas por la Comisión Nacional Bancaria y de Valores, así como </w:t>
      </w:r>
      <w:proofErr w:type="spellStart"/>
      <w:r w:rsidRPr="00CA63EE">
        <w:rPr>
          <w:rFonts w:ascii="Verdana" w:hAnsi="Verdana"/>
          <w:bCs/>
          <w:sz w:val="20"/>
        </w:rPr>
        <w:t>lainformación</w:t>
      </w:r>
      <w:proofErr w:type="spellEnd"/>
      <w:r w:rsidRPr="00CA63EE">
        <w:rPr>
          <w:rFonts w:ascii="Verdana" w:hAnsi="Verdana"/>
          <w:bCs/>
          <w:sz w:val="20"/>
        </w:rPr>
        <w:t xml:space="preserve"> que, en su caso, sea proporcionada por el valuador independiente.</w:t>
      </w:r>
    </w:p>
    <w:p w:rsidR="00CA63EE" w:rsidRPr="00CA63EE" w:rsidRDefault="00CA63EE" w:rsidP="00CA63EE">
      <w:pPr>
        <w:jc w:val="both"/>
        <w:rPr>
          <w:rFonts w:ascii="Verdana" w:hAnsi="Verdana"/>
          <w:bCs/>
          <w:sz w:val="20"/>
        </w:rPr>
      </w:pPr>
      <w:r w:rsidRPr="00CA63EE">
        <w:rPr>
          <w:rFonts w:ascii="Verdana" w:hAnsi="Verdana"/>
          <w:bCs/>
          <w:sz w:val="20"/>
        </w:rPr>
        <w:t xml:space="preserve">             El Comité de Inversión deberá proponer a los Funcionarios o representantes internos o externos de la Administradora que deberán asistir a los comités técnicos de los fideicomisos correspondientes a los Instrumentos Estructurados, cerciorándose de que, cuando dos o más representantes asistan a los comités técnicos, al menos uno de ellos sea independiente a la Administradora. Lo anterior deberá llevarse a cabo de conformidad con los derechos </w:t>
      </w:r>
      <w:proofErr w:type="spellStart"/>
      <w:r w:rsidRPr="00CA63EE">
        <w:rPr>
          <w:rFonts w:ascii="Verdana" w:hAnsi="Verdana"/>
          <w:bCs/>
          <w:sz w:val="20"/>
        </w:rPr>
        <w:t>yobligaciones</w:t>
      </w:r>
      <w:proofErr w:type="spellEnd"/>
      <w:r w:rsidRPr="00CA63EE">
        <w:rPr>
          <w:rFonts w:ascii="Verdana" w:hAnsi="Verdana"/>
          <w:bCs/>
          <w:sz w:val="20"/>
        </w:rPr>
        <w:t xml:space="preserve"> que se establezcan en cada instrumento, así como también de conformidad con las reglas previstas en la Ley del Mercado de Valores y en las Disposiciones de carácter general aplicables a las emisoras de valores y a otros participantes del mercado de valores, expedidas por la Comisión Nacional Bancaria y de Valores.</w:t>
      </w:r>
    </w:p>
    <w:p w:rsidR="00CA63EE" w:rsidRPr="00CA63EE" w:rsidRDefault="00CA63EE" w:rsidP="00CA63EE">
      <w:pPr>
        <w:jc w:val="both"/>
        <w:rPr>
          <w:rFonts w:ascii="Verdana" w:hAnsi="Verdana"/>
          <w:bCs/>
          <w:sz w:val="20"/>
        </w:rPr>
      </w:pPr>
      <w:r w:rsidRPr="00CA63EE">
        <w:rPr>
          <w:rFonts w:ascii="Verdana" w:hAnsi="Verdana"/>
          <w:bCs/>
          <w:sz w:val="20"/>
        </w:rPr>
        <w:t>             Asimismo, el Comité de Inversión deberá aprobar el mecanismo que proponga el Responsable del Área de Inversiones a fin de que la Administradora no tenga control de los proyectos financiados, en términos de la Ley del Mercado de Valores, a través del Instrumento Estructurado.</w:t>
      </w:r>
    </w:p>
    <w:p w:rsidR="00CA63EE" w:rsidRPr="00CA63EE" w:rsidRDefault="00CA63EE" w:rsidP="00CA63EE">
      <w:pPr>
        <w:jc w:val="both"/>
        <w:rPr>
          <w:rFonts w:ascii="Verdana" w:hAnsi="Verdana"/>
          <w:bCs/>
          <w:sz w:val="20"/>
        </w:rPr>
      </w:pPr>
      <w:r w:rsidRPr="00CA63EE">
        <w:rPr>
          <w:rFonts w:ascii="Verdana" w:hAnsi="Verdana"/>
          <w:bCs/>
          <w:sz w:val="20"/>
        </w:rPr>
        <w:t xml:space="preserve">             El Comité de Inversión deberá definir y aprobar políticas referentes a la enajenación de activos o proyectos que hayan formado parte del patrimonio de los fideicomisos correspondientes a los Instrumentos Estructurados y, en su caso, a las FIBRAS, Vehículos de Inversión Inmobiliaria o los Certificados Bursátiles Vinculados a Proyectos Reales, de conformidad con las mejores prácticas para estos fines, cuidando </w:t>
      </w:r>
      <w:r w:rsidRPr="00CA63EE">
        <w:rPr>
          <w:rFonts w:ascii="Verdana" w:hAnsi="Verdana"/>
          <w:bCs/>
          <w:sz w:val="20"/>
        </w:rPr>
        <w:lastRenderedPageBreak/>
        <w:t>que en todo momento se proteja el interés de los afiliados al Sistema de Ahorro para el Retiro.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Aprobar el contenido de un cuestionario que permita evaluar las políticas definidas en los distintos conceptos de los Instrumentos Estructurados, FIBRAS y Certificados Bursátiles Vinculados a Proyectos Reales en los que pretenda invertir la Sociedad de Inversión que corresponda. Al efecto, dicho cuestionario deberá corresponder al previsto en el Anexo B, Capítulo II, de las presentes Disposiciones. Sin menoscabo de lo anterior, el Comité de Inversión puede optar por aplicar contenidos distintos a los previstos en el referido Anexo B, capítulo II. En caso que el Comité de Inversión decida no incluir algunos de los contenidos del Anexo citado en esta fracción, deberá justificar dicha decisión, lo cual deberá quedar asentado en el Acta Pormenorizada correspondiente. Asimismo, el Comité de Inversión deberá señalar claramente si existe alguna información adicional que deba agregarse al cuestionario referido en la presente fracción, lo cual deberá dejarse claramente asentado en Acta Pormenorizada correspondiente;</w:t>
      </w:r>
    </w:p>
    <w:p w:rsidR="00CA63EE" w:rsidRPr="00CA63EE" w:rsidRDefault="00CA63EE" w:rsidP="00CA63EE">
      <w:pPr>
        <w:jc w:val="both"/>
        <w:rPr>
          <w:rFonts w:ascii="Verdana" w:hAnsi="Verdana"/>
          <w:bCs/>
          <w:sz w:val="20"/>
        </w:rPr>
      </w:pPr>
      <w:r w:rsidRPr="00CA63EE">
        <w:rPr>
          <w:rFonts w:ascii="Verdana" w:hAnsi="Verdana"/>
          <w:bCs/>
          <w:sz w:val="20"/>
        </w:rPr>
        <w:t>IV.         Respecto de los Instrumentos Estructurados, FIBRAS y Certificados Bursátiles Vinculados a Proyectos Reales, deberán definir políticas que el administrador, o la figura correspondiente para los Certificados Bursátiles Vinculados a Proyectos Reales, deberá observar referente a la evaluación de los riesgos operativos, legales, técnicos, políticos y sociales a los que estén expuestas las inversiones subyacentes de los activos que conformarán los patrimonios de los fideicomisos correspondientes a dichos instrumentos. El Comité de Inversión deberá considerar lo anterior para efectos de la elegibilidad de los administradores, o la figura correspondiente para los Certificados Bursátiles Vinculados a Proyectos Reales, en los que invertirán las Sociedades de Inversión operadas por la Administradora. Dichas políticas y sus evaluaciones pueden ser diferenciadas para cada tipo de activo que conforma el conjunto de los fideicomisos correspondientes a los Instrumentos Estructurados, FIBRAS y los Certificados Bursátiles Vinculados a Proyectos Reales, lo cual deberá quedar claramente asentado en el Acta Pormenorizada correspondiente;</w:t>
      </w:r>
    </w:p>
    <w:p w:rsidR="00CA63EE" w:rsidRPr="00CA63EE" w:rsidRDefault="00CA63EE" w:rsidP="00CA63EE">
      <w:pPr>
        <w:jc w:val="both"/>
        <w:rPr>
          <w:rFonts w:ascii="Verdana" w:hAnsi="Verdana"/>
          <w:bCs/>
          <w:sz w:val="20"/>
        </w:rPr>
      </w:pPr>
      <w:r w:rsidRPr="00CA63EE">
        <w:rPr>
          <w:rFonts w:ascii="Verdana" w:hAnsi="Verdana"/>
          <w:bCs/>
          <w:sz w:val="20"/>
        </w:rPr>
        <w:t>V.          Opinar y autorizar los montos a invertir en Instrumentos Estructurados, FIBRAS, Vehículos de Inversión Inmobiliaria y los Certificados Bursátiles Vinculados a Proyectos Reales, con base en los elementos referidos en el presente artículo. El Comité de Inversión podrá definir políticas diferenciadas para cada tipo de activo considerado dentro de los Instrumentos Estructurados, de las FIBRAS, de los Vehículos de Inversión Inmobiliaria y de los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 xml:space="preserve">             Adicionalmente, para la inversión en Instrumentos Estructurados, el Comité de Inversión o, en su caso, el Comité de Riesgos Financieros, según lo determine la Administradora, deberá definir el porcentaje máximo de concentración en una misma emisión, en un mismo proyecto financiado, así como en un mismo administrador. El Comité de Inversión deberá hacer constar en el Acta Pormenorizada de la sesión que corresponda, que cuente con el voto favorable de la mayoría de los Consejeros </w:t>
      </w:r>
      <w:r w:rsidRPr="00CA63EE">
        <w:rPr>
          <w:rFonts w:ascii="Verdana" w:hAnsi="Verdana"/>
          <w:bCs/>
          <w:sz w:val="20"/>
        </w:rPr>
        <w:lastRenderedPageBreak/>
        <w:t>Independientes que sean miembros del Comité de Inversión, el porcentaje máximo de concentración que determine para cada uno de los elementos referidos en el presente párrafo, así como los análisis por los cuales determinaron dichos porcentajes máximos.</w:t>
      </w:r>
    </w:p>
    <w:p w:rsidR="00CA63EE" w:rsidRPr="00CA63EE" w:rsidRDefault="00CA63EE" w:rsidP="00CA63EE">
      <w:pPr>
        <w:jc w:val="both"/>
        <w:rPr>
          <w:rFonts w:ascii="Verdana" w:hAnsi="Verdana"/>
          <w:bCs/>
          <w:sz w:val="20"/>
        </w:rPr>
      </w:pPr>
      <w:r w:rsidRPr="00CA63EE">
        <w:rPr>
          <w:rFonts w:ascii="Verdana" w:hAnsi="Verdana"/>
          <w:bCs/>
          <w:sz w:val="20"/>
        </w:rPr>
        <w:t xml:space="preserve">             Para el caso de los Instrumentos Estructurados, el Comité de Inversión podrá determinar la participación de la Sociedad de Inversión en esquemas de participación voluntarios previstos en el prospecto de emisión del instrumento en cuestión. Dichos esquemas pueden comprender series optativas o llamadas de capital no obligatorias, entre otros. Los referidos esquemas de participación voluntaria deberán ser ofrecidos a todos los inversionistas del Instrumento Estructurado y los montos asignados a cada uno deberán observar políticas establecidas a detalle en el prospecto de emisión del instrumento en cuestión, las cuales podrán comprender, entre otros casos, reglas de prorrata. El ejercicio de los esquemas de participación voluntaria podrá estar subordinado al cumplimiento por parte de la Sociedad de Inversión de los compromisos de inversión que no sean voluntarios en el Instrumento Estructurado, o bien ser sustitutos de estos, de conformidad con el prospecto de emisión. El Comité de Inversión deberá definir políticas de inversión máxima a través de los esquemas de participación voluntaria que </w:t>
      </w:r>
      <w:proofErr w:type="spellStart"/>
      <w:r w:rsidRPr="00CA63EE">
        <w:rPr>
          <w:rFonts w:ascii="Verdana" w:hAnsi="Verdana"/>
          <w:bCs/>
          <w:sz w:val="20"/>
        </w:rPr>
        <w:t>laSociedad</w:t>
      </w:r>
      <w:proofErr w:type="spellEnd"/>
      <w:r w:rsidRPr="00CA63EE">
        <w:rPr>
          <w:rFonts w:ascii="Verdana" w:hAnsi="Verdana"/>
          <w:bCs/>
          <w:sz w:val="20"/>
        </w:rPr>
        <w:t xml:space="preserve"> de Inversión deberá observar.</w:t>
      </w:r>
    </w:p>
    <w:p w:rsidR="00CA63EE" w:rsidRPr="00CA63EE" w:rsidRDefault="00CA63EE" w:rsidP="00CA63EE">
      <w:pPr>
        <w:jc w:val="both"/>
        <w:rPr>
          <w:rFonts w:ascii="Verdana" w:hAnsi="Verdana"/>
          <w:bCs/>
          <w:sz w:val="20"/>
        </w:rPr>
      </w:pPr>
      <w:r w:rsidRPr="00CA63EE">
        <w:rPr>
          <w:rFonts w:ascii="Verdana" w:hAnsi="Verdana"/>
          <w:bCs/>
          <w:sz w:val="20"/>
        </w:rPr>
        <w:t>             Lo previsto en la presente fracción deberá quedar claramente asentado en el Acta Pormenorizada correspondiente contando con el voto favorable de la mayoría de los Consejeros Independientes que sean miembros del Comité de Inversión;</w:t>
      </w:r>
    </w:p>
    <w:p w:rsidR="00CA63EE" w:rsidRPr="00CA63EE" w:rsidRDefault="00CA63EE" w:rsidP="00CA63EE">
      <w:pPr>
        <w:jc w:val="both"/>
        <w:rPr>
          <w:rFonts w:ascii="Verdana" w:hAnsi="Verdana"/>
          <w:bCs/>
          <w:sz w:val="20"/>
        </w:rPr>
      </w:pPr>
      <w:r w:rsidRPr="00CA63EE">
        <w:rPr>
          <w:rFonts w:ascii="Verdana" w:hAnsi="Verdana"/>
          <w:bCs/>
          <w:sz w:val="20"/>
        </w:rPr>
        <w:t>VI.         Deberá aprobar, en su caso, y de conformidad con la fracción II de la 139 de las presentes Disposiciones, un programa de inversión en Instrumentos Estructurados referidos en el inciso a), fracción LI, disposición Segunda de las Disposiciones generales que establecen el régimen de inversión al que deberán sujetarse las Sociedades de Inversión, uno en FIBRAS y uno en Certificados Bursátiles Vinculados a Proyectos Reales, en sustitución de las autorizaciones</w:t>
      </w:r>
    </w:p>
    <w:p w:rsidR="00CA63EE" w:rsidRPr="00CA63EE" w:rsidRDefault="00CA63EE" w:rsidP="00CA63EE">
      <w:pPr>
        <w:jc w:val="both"/>
        <w:rPr>
          <w:rFonts w:ascii="Verdana" w:hAnsi="Verdana"/>
          <w:bCs/>
          <w:sz w:val="20"/>
        </w:rPr>
      </w:pPr>
      <w:proofErr w:type="gramStart"/>
      <w:r w:rsidRPr="00CA63EE">
        <w:rPr>
          <w:rFonts w:ascii="Verdana" w:hAnsi="Verdana"/>
          <w:bCs/>
          <w:sz w:val="20"/>
        </w:rPr>
        <w:t>individuales</w:t>
      </w:r>
      <w:proofErr w:type="gramEnd"/>
      <w:r w:rsidRPr="00CA63EE">
        <w:rPr>
          <w:rFonts w:ascii="Verdana" w:hAnsi="Verdana"/>
          <w:bCs/>
          <w:sz w:val="20"/>
        </w:rPr>
        <w:t xml:space="preserve"> de estos activos. Para tales efectos, se deberá definir con precisión los tipos de activos elegibles para cada programa. Asimismo, deberá prever políticas para que el área de inversiones de la Sociedad de Inversión, al instrumentar cada programa de inversión previsto en el presente párrafo, rinda cuentas al Comité de Inversión sobre el cumplimiento de cada instrumento que forme parte de cada programa. Dicha rendición de cuentas debe ser respecto de las fracciones previstas en el presente artículo. Dichos programas de inversión podrán ser diferenciados para cada uno de los tipos de activo considerados en el presente párrafo;</w:t>
      </w:r>
    </w:p>
    <w:p w:rsidR="00CA63EE" w:rsidRPr="00CA63EE" w:rsidRDefault="00CA63EE" w:rsidP="00CA63EE">
      <w:pPr>
        <w:jc w:val="both"/>
        <w:rPr>
          <w:rFonts w:ascii="Verdana" w:hAnsi="Verdana"/>
          <w:bCs/>
          <w:sz w:val="20"/>
        </w:rPr>
      </w:pPr>
      <w:r w:rsidRPr="00CA63EE">
        <w:rPr>
          <w:rFonts w:ascii="Verdana" w:hAnsi="Verdana"/>
          <w:bCs/>
          <w:sz w:val="20"/>
        </w:rPr>
        <w:t xml:space="preserve">VII.        Manifestar expresamente su opinión sobre la información recabada a través del cuestionario previsto en el Anexo B, Capítulo II que provea el área de inversiones, o en caso el área de riesgos, respecto de cada Instrumento Estructurado, FIBRA y Certificado Bursátil Vinculado a Proyectos Reales en el que se pretenda invertir. El área de inversiones, o en su caso el área de riesgos, recabará la información del cuestionario de cada Instrumento Estructurado, FIBRA y Certificado Bursátil Vinculado a Proyectos Reales en el que se pretenda invertir con base en la información disponible para los tenedores del instrumento de conformidad con los derechos y obligaciones que se establezcan en cada instrumento, así como también en términos de la Ley del </w:t>
      </w:r>
      <w:r w:rsidRPr="00CA63EE">
        <w:rPr>
          <w:rFonts w:ascii="Verdana" w:hAnsi="Verdana"/>
          <w:bCs/>
          <w:sz w:val="20"/>
        </w:rPr>
        <w:lastRenderedPageBreak/>
        <w:t>Mercado de Valores y de las Disposiciones de carácter general aplicables a las emisoras de valores y a otros participantes del mercado de valores, expedidas por la Comisión Nacional Bancaria y de Valores.</w:t>
      </w:r>
    </w:p>
    <w:p w:rsidR="00CA63EE" w:rsidRPr="00CA63EE" w:rsidRDefault="00CA63EE" w:rsidP="00CA63EE">
      <w:pPr>
        <w:jc w:val="both"/>
        <w:rPr>
          <w:rFonts w:ascii="Verdana" w:hAnsi="Verdana"/>
          <w:bCs/>
          <w:sz w:val="20"/>
        </w:rPr>
      </w:pPr>
      <w:r w:rsidRPr="00CA63EE">
        <w:rPr>
          <w:rFonts w:ascii="Verdana" w:hAnsi="Verdana"/>
          <w:bCs/>
          <w:sz w:val="20"/>
        </w:rPr>
        <w:t xml:space="preserve">             Para los Certificados Bursátiles Fiduciarios de Proyectos de Inversión, el Comité de Inversión deberá considerar la información adicional que, en su caso, sea provista por el </w:t>
      </w:r>
      <w:proofErr w:type="spellStart"/>
      <w:r w:rsidRPr="00CA63EE">
        <w:rPr>
          <w:rFonts w:ascii="Verdana" w:hAnsi="Verdana"/>
          <w:bCs/>
          <w:sz w:val="20"/>
        </w:rPr>
        <w:t>co</w:t>
      </w:r>
      <w:proofErr w:type="spellEnd"/>
      <w:r w:rsidRPr="00CA63EE">
        <w:rPr>
          <w:rFonts w:ascii="Verdana" w:hAnsi="Verdana"/>
          <w:bCs/>
          <w:sz w:val="20"/>
        </w:rPr>
        <w:t>-inversionista.</w:t>
      </w:r>
    </w:p>
    <w:p w:rsidR="00CA63EE" w:rsidRPr="00CA63EE" w:rsidRDefault="00CA63EE" w:rsidP="00CA63EE">
      <w:pPr>
        <w:jc w:val="both"/>
        <w:rPr>
          <w:rFonts w:ascii="Verdana" w:hAnsi="Verdana"/>
          <w:bCs/>
          <w:sz w:val="20"/>
        </w:rPr>
      </w:pPr>
      <w:r w:rsidRPr="00CA63EE">
        <w:rPr>
          <w:rFonts w:ascii="Verdana" w:hAnsi="Verdana"/>
          <w:bCs/>
          <w:sz w:val="20"/>
        </w:rPr>
        <w:t>             El Comité de Inversión podrá proponer en sus respectivas sesiones, que la Administradora, a través de las Sociedades de Inversión que opera, realicen actividades orientadas a la adopción de las mejores prácticas de revelación de información para los Instrumentos Estructurados, FIBRAS, Vehículos de Inversión Inmobiliaria y los Certificados Bursátiles Vinculados a Proyectos Reales en los que dichas Sociedades de Inversión ya inviertan o bien, en los que tengan planeado invertir. Lo anterior, en el caso de Instrumentos Estructurados, de conformidad con los estándares internacionales de la "</w:t>
      </w:r>
      <w:proofErr w:type="spellStart"/>
      <w:r w:rsidRPr="00CA63EE">
        <w:rPr>
          <w:rFonts w:ascii="Verdana" w:hAnsi="Verdana"/>
          <w:bCs/>
          <w:sz w:val="20"/>
        </w:rPr>
        <w:t>Institutional</w:t>
      </w:r>
      <w:proofErr w:type="spellEnd"/>
      <w:r w:rsidRPr="00CA63EE">
        <w:rPr>
          <w:rFonts w:ascii="Verdana" w:hAnsi="Verdana"/>
          <w:bCs/>
          <w:sz w:val="20"/>
        </w:rPr>
        <w:t xml:space="preserve"> </w:t>
      </w:r>
      <w:proofErr w:type="spellStart"/>
      <w:r w:rsidRPr="00CA63EE">
        <w:rPr>
          <w:rFonts w:ascii="Verdana" w:hAnsi="Verdana"/>
          <w:bCs/>
          <w:sz w:val="20"/>
        </w:rPr>
        <w:t>Limited</w:t>
      </w:r>
      <w:proofErr w:type="spellEnd"/>
      <w:r w:rsidRPr="00CA63EE">
        <w:rPr>
          <w:rFonts w:ascii="Verdana" w:hAnsi="Verdana"/>
          <w:bCs/>
          <w:sz w:val="20"/>
        </w:rPr>
        <w:t xml:space="preserve"> </w:t>
      </w:r>
      <w:proofErr w:type="spellStart"/>
      <w:r w:rsidRPr="00CA63EE">
        <w:rPr>
          <w:rFonts w:ascii="Verdana" w:hAnsi="Verdana"/>
          <w:bCs/>
          <w:sz w:val="20"/>
        </w:rPr>
        <w:t>Partners</w:t>
      </w:r>
      <w:proofErr w:type="spellEnd"/>
      <w:r w:rsidRPr="00CA63EE">
        <w:rPr>
          <w:rFonts w:ascii="Verdana" w:hAnsi="Verdana"/>
          <w:bCs/>
          <w:sz w:val="20"/>
        </w:rPr>
        <w:t xml:space="preserve"> </w:t>
      </w:r>
      <w:proofErr w:type="spellStart"/>
      <w:r w:rsidRPr="00CA63EE">
        <w:rPr>
          <w:rFonts w:ascii="Verdana" w:hAnsi="Verdana"/>
          <w:bCs/>
          <w:sz w:val="20"/>
        </w:rPr>
        <w:t>Association</w:t>
      </w:r>
      <w:proofErr w:type="spellEnd"/>
      <w:r w:rsidRPr="00CA63EE">
        <w:rPr>
          <w:rFonts w:ascii="Verdana" w:hAnsi="Verdana"/>
          <w:bCs/>
          <w:sz w:val="20"/>
        </w:rPr>
        <w:t>", ILPA, por su acrónimo en el idioma inglés y conocidos en el idioma español como la Asociación de Inversionistas Institucionales.</w:t>
      </w:r>
    </w:p>
    <w:p w:rsidR="00CA63EE" w:rsidRPr="00CA63EE" w:rsidRDefault="00CA63EE" w:rsidP="00CA63EE">
      <w:pPr>
        <w:jc w:val="both"/>
        <w:rPr>
          <w:rFonts w:ascii="Verdana" w:hAnsi="Verdana"/>
          <w:bCs/>
          <w:sz w:val="20"/>
        </w:rPr>
      </w:pPr>
      <w:r w:rsidRPr="00CA63EE">
        <w:rPr>
          <w:rFonts w:ascii="Verdana" w:hAnsi="Verdana"/>
          <w:bCs/>
          <w:sz w:val="20"/>
        </w:rPr>
        <w:t>             Para los Instrumentos Estructurados, FIBRAS y Certificados Bursátiles Vinculados a Proyectos Reales, se deberán prever políticas para que el área de inversiones de la Sociedad de Inversión de que se trate, cuente con un análisis sobre las características y riesgos inherentes a cada instrumento previsto en el presente párrafo en que se invierta. Cuando se realicen inversiones subsecuentes en alguno de los instrumentos a que se refiere el presente párrafo que haya sido previamente adquirido por la Sociedad de Inversión, no será necesario realizar dicho análisis de las inversiones subsecuentes en ese instrumento. Lo previsto en el presente párrafo deberá realizarse de conformidad con lo dispuesto en el artículo 139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VIII.        Respecto de los Instrumentos Estructurados y FIBRAS, el Comité de Inversión deberá manifestar expresamente su opinión sobre los criterios de valuación de los activos subyacentes. Asimismo, el Comité de Inversión deberá manifestar una segunda opinión respecto de los referidos criterios una vez que el Instrumento Estructurado cuente con un valuador, incluyendo su experiencia e independencia;</w:t>
      </w:r>
    </w:p>
    <w:p w:rsidR="00CA63EE" w:rsidRPr="00CA63EE" w:rsidRDefault="00CA63EE" w:rsidP="00CA63EE">
      <w:pPr>
        <w:jc w:val="both"/>
        <w:rPr>
          <w:rFonts w:ascii="Verdana" w:hAnsi="Verdana"/>
          <w:bCs/>
          <w:sz w:val="20"/>
        </w:rPr>
      </w:pPr>
      <w:r w:rsidRPr="00CA63EE">
        <w:rPr>
          <w:rFonts w:ascii="Verdana" w:hAnsi="Verdana"/>
          <w:bCs/>
          <w:sz w:val="20"/>
        </w:rPr>
        <w:t xml:space="preserve">IX.         Aprobar la función o política de cobro de comisiones del Instrumento Estructurado, FIBRA, Vehículo de Inversión Inmobiliaria y Certificado Bursátil Vinculado a Proyectos Reales, prevista en el prospecto de colocación, incluida aquella aplicable durante el período de búsqueda de proyectos y sobre cualquier otro concepto previsto en el prospecto de colocación del instrumento en cuestión. Dicha aprobación deberá efectuarse previamente a la adquisición de los Instrumentos Estructurados, FIBRAS, Vehículos de Inversión Inmobiliaria o los </w:t>
      </w:r>
      <w:proofErr w:type="spellStart"/>
      <w:r w:rsidRPr="00CA63EE">
        <w:rPr>
          <w:rFonts w:ascii="Verdana" w:hAnsi="Verdana"/>
          <w:bCs/>
          <w:sz w:val="20"/>
        </w:rPr>
        <w:t>CertificadosBursátiles</w:t>
      </w:r>
      <w:proofErr w:type="spellEnd"/>
      <w:r w:rsidRPr="00CA63EE">
        <w:rPr>
          <w:rFonts w:ascii="Verdana" w:hAnsi="Verdana"/>
          <w:bCs/>
          <w:sz w:val="20"/>
        </w:rPr>
        <w:t xml:space="preserve"> Vinculados a Proyectos Reales, y en la sesión inmediata posterior a que exista algún cambio a la política de cobro de comisiones de alguno de estos instrumentos. Para los Instrumentos Estructurados, el contrato de fideicomiso respectivo deberá establecer que el pago de las comisiones, compensaciones, honorarios, distribuciones, incentivos o similares aplicables al administrador, el fideicomitente o las personas relacionadas con los </w:t>
      </w:r>
      <w:r w:rsidRPr="00CA63EE">
        <w:rPr>
          <w:rFonts w:ascii="Verdana" w:hAnsi="Verdana"/>
          <w:bCs/>
          <w:sz w:val="20"/>
        </w:rPr>
        <w:lastRenderedPageBreak/>
        <w:t>mismos, deberá quedar subordinado al pago de cierta cantidad determinada o determinable a los tenedores de dichos instrumentos, salvo por aquellas comisiones, honorarios, distribuciones o similares que sean necesarias para la operación del administrador, fideicomitente o personas relacionadas con los mismos, en relación con los servicios que presten al fideicomiso respectivo. Al respecto, el Comité de Inversión podrá acordar que se propongan modificaciones a la estructura de</w:t>
      </w:r>
    </w:p>
    <w:p w:rsidR="00CA63EE" w:rsidRPr="00CA63EE" w:rsidRDefault="00CA63EE" w:rsidP="00CA63EE">
      <w:pPr>
        <w:jc w:val="both"/>
        <w:rPr>
          <w:rFonts w:ascii="Verdana" w:hAnsi="Verdana"/>
          <w:bCs/>
          <w:sz w:val="20"/>
        </w:rPr>
      </w:pPr>
      <w:r w:rsidRPr="00CA63EE">
        <w:rPr>
          <w:rFonts w:ascii="Verdana" w:hAnsi="Verdana"/>
          <w:bCs/>
          <w:sz w:val="20"/>
        </w:rPr>
        <w:t>comisiones, lo cual deberá quedar asentado en el Acta Pormenorizada de la sesión que corresponda, contar con el voto favorable de la mayoría de los Consejeros Independientes y expresar los motivos, así como tener a disposición de la Comisión los análisis, que dieron origen a dicha propuesta;</w:t>
      </w:r>
    </w:p>
    <w:p w:rsidR="00CA63EE" w:rsidRPr="00CA63EE" w:rsidRDefault="00CA63EE" w:rsidP="00CA63EE">
      <w:pPr>
        <w:jc w:val="both"/>
        <w:rPr>
          <w:rFonts w:ascii="Verdana" w:hAnsi="Verdana"/>
          <w:bCs/>
          <w:sz w:val="20"/>
        </w:rPr>
      </w:pPr>
      <w:r w:rsidRPr="00CA63EE">
        <w:rPr>
          <w:rFonts w:ascii="Verdana" w:hAnsi="Verdana"/>
          <w:bCs/>
          <w:sz w:val="20"/>
        </w:rPr>
        <w:t xml:space="preserve">X.          Respecto de los Instrumentos Estructurados, deberán manifestar su opinión respecto a las llamadas de capital pendientes en cuanto al monto y plazo en que serán requeridas, en caso de ser aplicable. Asimismo, el Comité de Inversión podrá determinar, quedando asentando en el Acta Pormenorizada de la sesión que corresponda, contando con el voto favorable de la mayoría de los Consejeros Independientes que sean miembros del Comité de Inversión, así como expresar los motivos de su decisión, no participar en las llamadas de capital pendientes de </w:t>
      </w:r>
      <w:proofErr w:type="spellStart"/>
      <w:r w:rsidRPr="00CA63EE">
        <w:rPr>
          <w:rFonts w:ascii="Verdana" w:hAnsi="Verdana"/>
          <w:bCs/>
          <w:sz w:val="20"/>
        </w:rPr>
        <w:t>algúnInstrumento</w:t>
      </w:r>
      <w:proofErr w:type="spellEnd"/>
      <w:r w:rsidRPr="00CA63EE">
        <w:rPr>
          <w:rFonts w:ascii="Verdana" w:hAnsi="Verdana"/>
          <w:bCs/>
          <w:sz w:val="20"/>
        </w:rPr>
        <w:t xml:space="preserve"> Estructurado que forme parte de la cartera de inversión de las Sociedades de Inversión, para lo cual el Comité de Inversión deberá realizar lo conducente para que los Instrumentos Estructurados que se encuentren en el presente supuesto dejen de formar parte de las carteras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XI.         Para el caso de los Certificados Bursátiles Vinculados a Proyectos Reales para que dichos instrumentos sean considerados como colocados por un emisor independiente, el Comité de Inversión deberá contar con evidencia del cumplimiento de lo siguiente:</w:t>
      </w:r>
    </w:p>
    <w:p w:rsidR="00CA63EE" w:rsidRPr="00CA63EE" w:rsidRDefault="00CA63EE" w:rsidP="00CA63EE">
      <w:pPr>
        <w:jc w:val="both"/>
        <w:rPr>
          <w:rFonts w:ascii="Verdana" w:hAnsi="Verdana"/>
          <w:bCs/>
          <w:sz w:val="20"/>
        </w:rPr>
      </w:pPr>
      <w:r w:rsidRPr="00CA63EE">
        <w:rPr>
          <w:rFonts w:ascii="Verdana" w:hAnsi="Verdana"/>
          <w:bCs/>
          <w:sz w:val="20"/>
        </w:rPr>
        <w:t>a)   Que la emisión cuente con un fideicomiso irrevocable, cuyo patrimonio sea uno o varios activos reales o proyectos reales, o bien los derechos de cobro sobre los ingresos que estos generen, en cuyo caso los ingresos que generen los activos reales, los proyectos reales o los derechos de cobro sean aportados directamente por dichas fuentes al fideicomiso;</w:t>
      </w:r>
    </w:p>
    <w:p w:rsidR="00CA63EE" w:rsidRPr="00CA63EE" w:rsidRDefault="00CA63EE" w:rsidP="00CA63EE">
      <w:pPr>
        <w:jc w:val="both"/>
        <w:rPr>
          <w:rFonts w:ascii="Verdana" w:hAnsi="Verdana"/>
          <w:bCs/>
          <w:sz w:val="20"/>
        </w:rPr>
      </w:pPr>
      <w:r w:rsidRPr="00CA63EE">
        <w:rPr>
          <w:rFonts w:ascii="Verdana" w:hAnsi="Verdana"/>
          <w:bCs/>
          <w:sz w:val="20"/>
        </w:rPr>
        <w:t>b)   Que sean emitidos al amparo de la Ley del Mercado de Valores y las Disposiciones de carácter general aplicables a las emisoras de valores y a otros participantes del mercado de valores, expedidas por la Comisión Nacional Bancaria y de Valores, y en su caso de la regulación aplicable a los Países Elegibles para Inversiones, y</w:t>
      </w:r>
    </w:p>
    <w:p w:rsidR="00CA63EE" w:rsidRPr="00CA63EE" w:rsidRDefault="00CA63EE" w:rsidP="00CA63EE">
      <w:pPr>
        <w:jc w:val="both"/>
        <w:rPr>
          <w:rFonts w:ascii="Verdana" w:hAnsi="Verdana"/>
          <w:bCs/>
          <w:sz w:val="20"/>
        </w:rPr>
      </w:pPr>
      <w:r w:rsidRPr="00CA63EE">
        <w:rPr>
          <w:rFonts w:ascii="Verdana" w:hAnsi="Verdana"/>
          <w:bCs/>
          <w:sz w:val="20"/>
        </w:rPr>
        <w:t>c)   Que cuenten con las calificaciones crediticias otorgadas por al menos dos instituciones calificadoras de valores autorizadas, en cuyo caso deberá cumplir con las calificaciones crediticias mínimas previstas en las Disposiciones de carácter general que establecen el régimen de inversión al que deberán sujetarse las Sociedades de Inversión aplicables a las emisiones de los Instrumentos de Deuda.</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XII.        Dar seguimiento a las inversiones realizadas en los Instrumentos Estructurados y FIBRAS en cuanto a rendimientos netos, riesgos y decisiones de inversión con base exclusivamente en la información pública que se disponga y, en el caso de los Instrumentos Estructurados, con base en la información provista en los comités técnicos o bien en las asambleas a los tenedores del instrumento de conformidad con la Ley del Mercado de Valores y las Disposiciones de carácter general aplicables a las emisoras de valores y a otros participantes del mercado de valores, expedidas por la Comisión Nacional Bancaria y de Valores, o bien, por el valuador independiente o en su caso la información provista por el </w:t>
      </w:r>
      <w:proofErr w:type="spellStart"/>
      <w:r w:rsidRPr="00CA63EE">
        <w:rPr>
          <w:rFonts w:ascii="Verdana" w:hAnsi="Verdana"/>
          <w:bCs/>
          <w:sz w:val="20"/>
        </w:rPr>
        <w:t>co</w:t>
      </w:r>
      <w:proofErr w:type="spellEnd"/>
      <w:r w:rsidRPr="00CA63EE">
        <w:rPr>
          <w:rFonts w:ascii="Verdana" w:hAnsi="Verdana"/>
          <w:bCs/>
          <w:sz w:val="20"/>
        </w:rPr>
        <w:t>-inversionista;</w:t>
      </w:r>
    </w:p>
    <w:p w:rsidR="00CA63EE" w:rsidRPr="00CA63EE" w:rsidRDefault="00CA63EE" w:rsidP="00CA63EE">
      <w:pPr>
        <w:jc w:val="both"/>
        <w:rPr>
          <w:rFonts w:ascii="Verdana" w:hAnsi="Verdana"/>
          <w:bCs/>
          <w:sz w:val="20"/>
        </w:rPr>
      </w:pPr>
      <w:r w:rsidRPr="00CA63EE">
        <w:rPr>
          <w:rFonts w:ascii="Verdana" w:hAnsi="Verdana"/>
          <w:bCs/>
          <w:sz w:val="20"/>
        </w:rPr>
        <w:t>XIII.        Para el caso de los Instrumentos Estructurados, de manera retrospectiva y de acuerdo con la información disponible para los inversionistas en términos de la Ley del Mercado de Valores y las Disposiciones de carácter general aplicables a las emisoras de valores y a otros participantes del mercado de valores, expedidas por la Comisión Nacional Bancaria y de Valores, deberán conocer los costos efectivamente pagados y compararlos con los costos definidos en el prospecto de colocación del Instrumento Estructurado, desagregando los montos de cada concepto por el que se eroguen dichos costos;</w:t>
      </w:r>
    </w:p>
    <w:p w:rsidR="00CA63EE" w:rsidRPr="00CA63EE" w:rsidRDefault="00CA63EE" w:rsidP="00CA63EE">
      <w:pPr>
        <w:jc w:val="both"/>
        <w:rPr>
          <w:rFonts w:ascii="Verdana" w:hAnsi="Verdana"/>
          <w:bCs/>
          <w:sz w:val="20"/>
        </w:rPr>
      </w:pPr>
      <w:r w:rsidRPr="00CA63EE">
        <w:rPr>
          <w:rFonts w:ascii="Verdana" w:hAnsi="Verdana"/>
          <w:bCs/>
          <w:sz w:val="20"/>
        </w:rPr>
        <w:t>XIV.       Respecto de las FIBRAS, deberán requerir al área de inversiones de la Sociedad de Inversión, o en su caso al área de riesgos, dar seguimiento a la política de derechos corporativos, como las distribuciones de derecho patrimonial, el resultado de las asambleas y cualquier evento relevante que se presente durante el periodo;</w:t>
      </w:r>
    </w:p>
    <w:p w:rsidR="00CA63EE" w:rsidRPr="00CA63EE" w:rsidRDefault="00CA63EE" w:rsidP="00CA63EE">
      <w:pPr>
        <w:jc w:val="both"/>
        <w:rPr>
          <w:rFonts w:ascii="Verdana" w:hAnsi="Verdana"/>
          <w:bCs/>
          <w:sz w:val="20"/>
        </w:rPr>
      </w:pPr>
      <w:r w:rsidRPr="00CA63EE">
        <w:rPr>
          <w:rFonts w:ascii="Verdana" w:hAnsi="Verdana"/>
          <w:bCs/>
          <w:sz w:val="20"/>
        </w:rPr>
        <w:t>XV.        Respecto de los Instrumentos Estructurados referidos en el inciso a), fracción LI, disposición Segunda de las Disposiciones generales que establecen el régimen de inversión al que deberán sujetarse las Sociedades de Inversión, deberán observar que se acredite ante la Comisión que el representante de la Administradora en el comité técnico del Instrumento Estructurado, y en su caso en la asamblea de tenedores, se abstuvo de emitir voto en las decisiones de inversión del referido instrumento cuando el fideicomiso emisor realice inversiones en activos o proyectos de alguna Sociedad Relacionada Entre Sí o con Nexos Patrimoniales con la Sociedad de Inversión que sea operada por la Administradora que se trate;</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XVI.       Para el caso de los Certificados Bursátiles Fiduciarios de Proyectos de Inversión, deberán verificar que:</w:t>
      </w:r>
    </w:p>
    <w:p w:rsidR="00CA63EE" w:rsidRPr="00CA63EE" w:rsidRDefault="00CA63EE" w:rsidP="00CA63EE">
      <w:pPr>
        <w:jc w:val="both"/>
        <w:rPr>
          <w:rFonts w:ascii="Verdana" w:hAnsi="Verdana"/>
          <w:bCs/>
          <w:sz w:val="20"/>
        </w:rPr>
      </w:pPr>
      <w:r w:rsidRPr="00CA63EE">
        <w:rPr>
          <w:rFonts w:ascii="Verdana" w:hAnsi="Verdana"/>
          <w:bCs/>
          <w:sz w:val="20"/>
        </w:rPr>
        <w:t xml:space="preserve">a)   La estructura del instrumento involucre la participación de un vehículo paralelo o </w:t>
      </w:r>
      <w:proofErr w:type="spellStart"/>
      <w:r w:rsidRPr="00CA63EE">
        <w:rPr>
          <w:rFonts w:ascii="Verdana" w:hAnsi="Verdana"/>
          <w:bCs/>
          <w:sz w:val="20"/>
        </w:rPr>
        <w:t>co</w:t>
      </w:r>
      <w:proofErr w:type="spellEnd"/>
      <w:r w:rsidRPr="00CA63EE">
        <w:rPr>
          <w:rFonts w:ascii="Verdana" w:hAnsi="Verdana"/>
          <w:bCs/>
          <w:sz w:val="20"/>
        </w:rPr>
        <w:t xml:space="preserve">-inversionista, que invierta en los mismos proyectos que el fideicomiso emisor. El porcentaje mínimo de </w:t>
      </w:r>
      <w:proofErr w:type="spellStart"/>
      <w:r w:rsidRPr="00CA63EE">
        <w:rPr>
          <w:rFonts w:ascii="Verdana" w:hAnsi="Verdana"/>
          <w:bCs/>
          <w:sz w:val="20"/>
        </w:rPr>
        <w:t>co</w:t>
      </w:r>
      <w:proofErr w:type="spellEnd"/>
      <w:r w:rsidRPr="00CA63EE">
        <w:rPr>
          <w:rFonts w:ascii="Verdana" w:hAnsi="Verdana"/>
          <w:bCs/>
          <w:sz w:val="20"/>
        </w:rPr>
        <w:t>-inversión deberá cumplir con lo establecido en las Disposiciones de carácter general que establecen el régimen de inversión al que deberán sujetarse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Cs/>
          <w:sz w:val="20"/>
        </w:rPr>
        <w:t>b)   Las inversiones deberán realizarse directamente o en su caso a través de vehículos de inversión de la misma naturaleza que los Instrumentos Estructurados;</w:t>
      </w:r>
    </w:p>
    <w:p w:rsidR="00CA63EE" w:rsidRPr="00CA63EE" w:rsidRDefault="00CA63EE" w:rsidP="00CA63EE">
      <w:pPr>
        <w:jc w:val="both"/>
        <w:rPr>
          <w:rFonts w:ascii="Verdana" w:hAnsi="Verdana"/>
          <w:bCs/>
          <w:sz w:val="20"/>
        </w:rPr>
      </w:pPr>
      <w:r w:rsidRPr="00CA63EE">
        <w:rPr>
          <w:rFonts w:ascii="Verdana" w:hAnsi="Verdana"/>
          <w:bCs/>
          <w:sz w:val="20"/>
        </w:rPr>
        <w:lastRenderedPageBreak/>
        <w:t>c)   El contrato del fideicomiso del instrumento indique que cuando exista oposición judicial de los tenedores con derecho a ello se obligue al administrador del instrumento a suspender la inversión, y</w:t>
      </w:r>
    </w:p>
    <w:p w:rsidR="00CA63EE" w:rsidRPr="00CA63EE" w:rsidRDefault="00CA63EE" w:rsidP="00CA63EE">
      <w:pPr>
        <w:jc w:val="both"/>
        <w:rPr>
          <w:rFonts w:ascii="Verdana" w:hAnsi="Verdana"/>
          <w:bCs/>
          <w:sz w:val="20"/>
        </w:rPr>
      </w:pPr>
      <w:r w:rsidRPr="00CA63EE">
        <w:rPr>
          <w:rFonts w:ascii="Verdana" w:hAnsi="Verdana"/>
          <w:bCs/>
          <w:sz w:val="20"/>
        </w:rPr>
        <w:t>d)   El contrato de fideicomiso del instrumento establezca que el administrador del instrumento, con independencia de si es una entidad financiera o una distinta, velará en primera instancia y en todo momento por los intereses de los inversionistas.</w:t>
      </w:r>
    </w:p>
    <w:p w:rsidR="00CA63EE" w:rsidRPr="00CA63EE" w:rsidRDefault="00CA63EE" w:rsidP="00CA63EE">
      <w:pPr>
        <w:jc w:val="both"/>
        <w:rPr>
          <w:rFonts w:ascii="Verdana" w:hAnsi="Verdana"/>
          <w:bCs/>
          <w:sz w:val="20"/>
        </w:rPr>
      </w:pPr>
      <w:r w:rsidRPr="00CA63EE">
        <w:rPr>
          <w:rFonts w:ascii="Verdana" w:hAnsi="Verdana"/>
          <w:bCs/>
          <w:sz w:val="20"/>
        </w:rPr>
        <w:t>e)   En caso de que la inversión dentro del territorio nacional sea menor al porcentaje definido en la disposición vigésima cuarta, fracción VI de las Disposiciones de carácter general que establecen el régimen de inversión al que deberán sujetarse las sociedades de inversión especializadas de fondos para el retiro, los Certificados Bursátiles Fiduciarios de Proyectos de Inversión se computarán dentro del límite a que hace referencia la disposición décima sexta fracción I inciso d) de las referidas disposiciones.</w:t>
      </w:r>
    </w:p>
    <w:p w:rsidR="00CA63EE" w:rsidRPr="00CA63EE" w:rsidRDefault="00CA63EE" w:rsidP="00CA63EE">
      <w:pPr>
        <w:jc w:val="both"/>
        <w:rPr>
          <w:rFonts w:ascii="Verdana" w:hAnsi="Verdana"/>
          <w:bCs/>
          <w:sz w:val="20"/>
        </w:rPr>
      </w:pPr>
      <w:r w:rsidRPr="00CA63EE">
        <w:rPr>
          <w:rFonts w:ascii="Verdana" w:hAnsi="Verdana"/>
          <w:bCs/>
          <w:sz w:val="20"/>
        </w:rPr>
        <w:t>XVII.      Respecto a la FIBRA-E, deberán definir políticas para analizar, evaluar y, en su caso, dar seguimiento a:</w:t>
      </w:r>
    </w:p>
    <w:p w:rsidR="00CA63EE" w:rsidRPr="00CA63EE" w:rsidRDefault="00CA63EE" w:rsidP="00CA63EE">
      <w:pPr>
        <w:jc w:val="both"/>
        <w:rPr>
          <w:rFonts w:ascii="Verdana" w:hAnsi="Verdana"/>
          <w:bCs/>
          <w:sz w:val="20"/>
        </w:rPr>
      </w:pPr>
      <w:r w:rsidRPr="00CA63EE">
        <w:rPr>
          <w:rFonts w:ascii="Verdana" w:hAnsi="Verdana"/>
          <w:bCs/>
          <w:sz w:val="20"/>
        </w:rPr>
        <w:t>a)   Los criterios para el apalancamiento de las sociedades mexicanas que adquiera el fideicomiso;</w:t>
      </w:r>
    </w:p>
    <w:p w:rsidR="00CA63EE" w:rsidRPr="00CA63EE" w:rsidRDefault="00CA63EE" w:rsidP="00CA63EE">
      <w:pPr>
        <w:jc w:val="both"/>
        <w:rPr>
          <w:rFonts w:ascii="Verdana" w:hAnsi="Verdana"/>
          <w:bCs/>
          <w:sz w:val="20"/>
        </w:rPr>
      </w:pPr>
      <w:r w:rsidRPr="00CA63EE">
        <w:rPr>
          <w:rFonts w:ascii="Verdana" w:hAnsi="Verdana"/>
          <w:bCs/>
          <w:sz w:val="20"/>
        </w:rPr>
        <w:t>b)   Los niveles de apalancamiento máximo del fideicomiso, y</w:t>
      </w:r>
    </w:p>
    <w:p w:rsidR="00CA63EE" w:rsidRPr="00CA63EE" w:rsidRDefault="00CA63EE" w:rsidP="00CA63EE">
      <w:pPr>
        <w:jc w:val="both"/>
        <w:rPr>
          <w:rFonts w:ascii="Verdana" w:hAnsi="Verdana"/>
          <w:bCs/>
          <w:sz w:val="20"/>
        </w:rPr>
      </w:pPr>
      <w:r w:rsidRPr="00CA63EE">
        <w:rPr>
          <w:rFonts w:ascii="Verdana" w:hAnsi="Verdana"/>
          <w:bCs/>
          <w:sz w:val="20"/>
        </w:rPr>
        <w:t>c)   Analizar y evaluar si la administración del instrumento es interna o externa.</w:t>
      </w:r>
    </w:p>
    <w:p w:rsidR="00CA63EE" w:rsidRPr="00CA63EE" w:rsidRDefault="00CA63EE" w:rsidP="00CA63EE">
      <w:pPr>
        <w:jc w:val="both"/>
        <w:rPr>
          <w:rFonts w:ascii="Verdana" w:hAnsi="Verdana"/>
          <w:bCs/>
          <w:sz w:val="20"/>
        </w:rPr>
      </w:pPr>
      <w:r w:rsidRPr="00CA63EE">
        <w:rPr>
          <w:rFonts w:ascii="Verdana" w:hAnsi="Verdana"/>
          <w:bCs/>
          <w:sz w:val="20"/>
        </w:rPr>
        <w:t xml:space="preserve">XVIII.      Para el caso de los Instrumentos Estructurados, deberá cerciorarse que el monto máximo a invertir en cada Instrumento Estructurado no sea superior al equivalente al 2% del Activo Total correspondiente al conjunto de las Sociedades de Inversión Básicas elegibles para inversiones en Instrumentos Estructurados, operadas por la misma Administradora. El Comité de Inversión podrá modificar el límite porcentual máximo a invertir descrito en la presente fracción, para lo cual deberá contar con el voto favorable de los Consejeros Independientes y deberá </w:t>
      </w:r>
      <w:proofErr w:type="spellStart"/>
      <w:r w:rsidRPr="00CA63EE">
        <w:rPr>
          <w:rFonts w:ascii="Verdana" w:hAnsi="Verdana"/>
          <w:bCs/>
          <w:sz w:val="20"/>
        </w:rPr>
        <w:t>dejarloclaramente</w:t>
      </w:r>
      <w:proofErr w:type="spellEnd"/>
      <w:r w:rsidRPr="00CA63EE">
        <w:rPr>
          <w:rFonts w:ascii="Verdana" w:hAnsi="Verdana"/>
          <w:bCs/>
          <w:sz w:val="20"/>
        </w:rPr>
        <w:t xml:space="preserve"> asentado en el Acta Pormenorizada de la sesión que corresponda;</w:t>
      </w:r>
    </w:p>
    <w:p w:rsidR="00CA63EE" w:rsidRPr="00CA63EE" w:rsidRDefault="00CA63EE" w:rsidP="00CA63EE">
      <w:pPr>
        <w:jc w:val="both"/>
        <w:rPr>
          <w:rFonts w:ascii="Verdana" w:hAnsi="Verdana"/>
          <w:bCs/>
          <w:sz w:val="20"/>
        </w:rPr>
      </w:pPr>
      <w:r w:rsidRPr="00CA63EE">
        <w:rPr>
          <w:rFonts w:ascii="Verdana" w:hAnsi="Verdana"/>
          <w:bCs/>
          <w:sz w:val="20"/>
        </w:rPr>
        <w:t>XIX.       Para el caso de la FIBRA-E y los Instrumentos Estructurados, deberá cerciorarse que el administrador participe con un 2% o más del valor de las inversiones realizadas a través de la FIBRA-E y los Instrumentos Estructurados, en caso de que el administrador participe como </w:t>
      </w:r>
      <w:proofErr w:type="spellStart"/>
      <w:r w:rsidRPr="00CA63EE">
        <w:rPr>
          <w:rFonts w:ascii="Verdana" w:hAnsi="Verdana"/>
          <w:bCs/>
          <w:sz w:val="20"/>
        </w:rPr>
        <w:t>co</w:t>
      </w:r>
      <w:proofErr w:type="spellEnd"/>
      <w:r w:rsidRPr="00CA63EE">
        <w:rPr>
          <w:rFonts w:ascii="Verdana" w:hAnsi="Verdana"/>
          <w:bCs/>
          <w:sz w:val="20"/>
        </w:rPr>
        <w:t xml:space="preserve">-inversionista de la FIBRA-E o los Instrumentos Estructurados en cuestión, dicha participación del 2% no será adicional al monto de la coinversión. El Comité de Inversión podrá modificar el límite porcentual mínimo a invertir descrito en la presente fracción, para la cual podrá considerar criterios adicionales como tamaño de la emisión, experiencia del administrador o sector de los proyectos financiados, lo cual deberá quedar asentado en el Acta Pormenorizada de la sesión que corresponda, contar con el voto favorable de la mayoría de los Consejeros Independientes que sean miembros del Comité de Inversión, hacer constar el límite aprobado y expresar los motivos, así como tener a </w:t>
      </w:r>
      <w:r w:rsidRPr="00CA63EE">
        <w:rPr>
          <w:rFonts w:ascii="Verdana" w:hAnsi="Verdana"/>
          <w:bCs/>
          <w:sz w:val="20"/>
        </w:rPr>
        <w:lastRenderedPageBreak/>
        <w:t>disposición de la Comisión los análisis por los cuales se determinó la modificación a dicho límite;</w:t>
      </w:r>
    </w:p>
    <w:p w:rsidR="00CA63EE" w:rsidRPr="00CA63EE" w:rsidRDefault="00CA63EE" w:rsidP="00CA63EE">
      <w:pPr>
        <w:jc w:val="both"/>
        <w:rPr>
          <w:rFonts w:ascii="Verdana" w:hAnsi="Verdana"/>
          <w:bCs/>
          <w:sz w:val="20"/>
        </w:rPr>
      </w:pPr>
      <w:r w:rsidRPr="00CA63EE">
        <w:rPr>
          <w:rFonts w:ascii="Verdana" w:hAnsi="Verdana"/>
          <w:bCs/>
          <w:sz w:val="20"/>
        </w:rPr>
        <w:t>XX.        Para el caso de FIBRAS, deberá cerciorarse que la inversión en conjunto de las Sociedades de Inversión que opere la Administradora, perteneciente a una misma emisión podrá ser hasta el 35% del total del valor de la emisión, y</w:t>
      </w:r>
    </w:p>
    <w:p w:rsidR="00CA63EE" w:rsidRPr="00CA63EE" w:rsidRDefault="00CA63EE" w:rsidP="00CA63EE">
      <w:pPr>
        <w:jc w:val="both"/>
        <w:rPr>
          <w:rFonts w:ascii="Verdana" w:hAnsi="Verdana"/>
          <w:bCs/>
          <w:sz w:val="20"/>
        </w:rPr>
      </w:pPr>
      <w:r w:rsidRPr="00CA63EE">
        <w:rPr>
          <w:rFonts w:ascii="Verdana" w:hAnsi="Verdana"/>
          <w:bCs/>
          <w:sz w:val="20"/>
        </w:rPr>
        <w:t>XXI.       Las Sociedades de Inversión que incumplan las reglas previstas en el Anexo T de las presentes disposiciones deberán suspender su participación en otros Instrumentos Estructurados hasta en tanto cumplan con el régimen de inversión, sin menoscabo de lo anterior, las Sociedades de Inversión deberán participar en las llamadas de capital pendientes de los Instrumentos Estructurados en los que haya participado previamente a fin de evitar algún perjuicio en el ahorro de los Trabajadores.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XXII.      Para el caso de los Certificados Bursátiles Vinculados a Proyectos Reales, deberán verificar que:</w:t>
      </w:r>
    </w:p>
    <w:p w:rsidR="00CA63EE" w:rsidRPr="00CA63EE" w:rsidRDefault="00CA63EE" w:rsidP="00CA63EE">
      <w:pPr>
        <w:jc w:val="both"/>
        <w:rPr>
          <w:rFonts w:ascii="Verdana" w:hAnsi="Verdana"/>
          <w:bCs/>
          <w:sz w:val="20"/>
        </w:rPr>
      </w:pPr>
      <w:r w:rsidRPr="00CA63EE">
        <w:rPr>
          <w:rFonts w:ascii="Verdana" w:hAnsi="Verdana"/>
          <w:bCs/>
          <w:sz w:val="20"/>
        </w:rPr>
        <w:t>a)   Sean títulos o valores que representan derechos de cobros o flujos de efectivo emitidos a través de Vehículos y cuyos activos subyacentes sean dichos derechos de cobros o flujos de efectivo, que representen un compromiso de pago de Cupones, principal o ambos para el emisor del instrumento y que cuenten con las calificaciones crediticias previstas en las Disposiciones de carácter general que establecen el régimen de inversión al que deberán sujetarse las sociedades de inversión especializadas de fondos para el retiro; y</w:t>
      </w:r>
    </w:p>
    <w:p w:rsidR="00CA63EE" w:rsidRPr="00CA63EE" w:rsidRDefault="00CA63EE" w:rsidP="00CA63EE">
      <w:pPr>
        <w:jc w:val="both"/>
        <w:rPr>
          <w:rFonts w:ascii="Verdana" w:hAnsi="Verdana"/>
          <w:bCs/>
          <w:sz w:val="20"/>
        </w:rPr>
      </w:pPr>
      <w:r w:rsidRPr="00CA63EE">
        <w:rPr>
          <w:rFonts w:ascii="Verdana" w:hAnsi="Verdana"/>
          <w:bCs/>
          <w:sz w:val="20"/>
        </w:rPr>
        <w:t>b)   La fuente de pago de dichos certificados no provenga de derechos de crédito, arrendamientos o cuentas por cobrar.</w:t>
      </w:r>
    </w:p>
    <w:p w:rsidR="00CA63EE" w:rsidRPr="00CA63EE" w:rsidRDefault="00CA63EE" w:rsidP="00CA63EE">
      <w:pPr>
        <w:jc w:val="both"/>
        <w:rPr>
          <w:rFonts w:ascii="Verdana" w:hAnsi="Verdana"/>
          <w:bCs/>
          <w:sz w:val="20"/>
        </w:rPr>
      </w:pPr>
      <w:r w:rsidRPr="00CA63EE">
        <w:rPr>
          <w:rFonts w:ascii="Verdana" w:hAnsi="Verdana"/>
          <w:bCs/>
          <w:sz w:val="20"/>
        </w:rPr>
        <w:t>En el caso de los Instrumentos Estructurados y FIBRAS, se deberá actualizar por el Responsable del Área de Inversiones, a los Comités de Inversión, la información del Instrumento Estructurado y de la FIBRA cuando realice inversiones o desinversiones de proyectos subyacentes y esta información se haga del conocimiento de los inversionistas.</w:t>
      </w:r>
    </w:p>
    <w:p w:rsidR="00CA63EE" w:rsidRPr="00CA63EE" w:rsidRDefault="00CA63EE" w:rsidP="00CA63EE">
      <w:pPr>
        <w:jc w:val="both"/>
        <w:rPr>
          <w:rFonts w:ascii="Verdana" w:hAnsi="Verdana"/>
          <w:bCs/>
          <w:sz w:val="20"/>
        </w:rPr>
      </w:pPr>
      <w:r w:rsidRPr="00CA63EE">
        <w:rPr>
          <w:rFonts w:ascii="Verdana" w:hAnsi="Verdana"/>
          <w:bCs/>
          <w:sz w:val="20"/>
        </w:rPr>
        <w:t xml:space="preserve">Las obligaciones previstas en el presente artículo deberán ser evaluadas y, en su caso, actualizadas y presentadas por el Responsable del Área de Inversiones cada año o antes si el Comité de Inversión lo solicita con base en la información pública disponible en términos de la Ley del Mercado de Valores, las Disposiciones de carácter general aplicables a las emisoras de valores y a otros participantes del mercado de valores, expedidas por la Comisión Nacional Bancaria y de Valores y, en caso de ser aplicable, con base en la información provista a los tenedores de los Instrumentos Estructurados, FIBRAS y Certificado Bursátil Vinculado a Proyectos Reales y la proveniente por parte del valuador independiente. Para los Certificados Bursátiles Fiduciarios de Proyectos de Inversión, se deberá considerar, adicionalmente, la información que en su caso sea provista por el </w:t>
      </w:r>
      <w:proofErr w:type="spellStart"/>
      <w:r w:rsidRPr="00CA63EE">
        <w:rPr>
          <w:rFonts w:ascii="Verdana" w:hAnsi="Verdana"/>
          <w:bCs/>
          <w:sz w:val="20"/>
        </w:rPr>
        <w:t>co</w:t>
      </w:r>
      <w:proofErr w:type="spellEnd"/>
      <w:r w:rsidRPr="00CA63EE">
        <w:rPr>
          <w:rFonts w:ascii="Verdana" w:hAnsi="Verdana"/>
          <w:bCs/>
          <w:sz w:val="20"/>
        </w:rPr>
        <w:t xml:space="preserve">-inversionista. Para los Vehículos de Inversión Inmobiliaria se podrá </w:t>
      </w:r>
      <w:r w:rsidRPr="00CA63EE">
        <w:rPr>
          <w:rFonts w:ascii="Verdana" w:hAnsi="Verdana"/>
          <w:bCs/>
          <w:sz w:val="20"/>
        </w:rPr>
        <w:lastRenderedPageBreak/>
        <w:t>considerar la información divulgada de conformidad con la normatividad aplicable de los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Las evaluaciones actualizadas en términos de lo previsto en el párrafo anterior, deberán ser presentadas por el Responsable del Área de Inversiones, en la siguiente sesión ordinaria del Comité de Inversión en caso de que se presenten cambios relevantes en la estructura u operatividad de algún Instrumento Estructurado, FIBRA, Vehículo de Inversión Inmobiliaria o Certificado Bursátil Vinculado a Proyectos Reales, cuando se adquiera o enajene alguno de estos instrumentos o bien, cuando el Comité de Inversión lo solicite.</w:t>
      </w:r>
    </w:p>
    <w:p w:rsidR="00CA63EE" w:rsidRPr="00CA63EE" w:rsidRDefault="00CA63EE" w:rsidP="00CA63EE">
      <w:pPr>
        <w:jc w:val="both"/>
        <w:rPr>
          <w:rFonts w:ascii="Verdana" w:hAnsi="Verdana"/>
          <w:bCs/>
          <w:sz w:val="20"/>
        </w:rPr>
      </w:pPr>
      <w:r w:rsidRPr="00CA63EE">
        <w:rPr>
          <w:rFonts w:ascii="Verdana" w:hAnsi="Verdana"/>
          <w:bCs/>
          <w:sz w:val="20"/>
        </w:rPr>
        <w:t>Para dar cumplimiento con los análisis o aplicación de políticas previstos en las fracciones II, VII, y XIV del presente artículo, la Administradora deberá definir como responsable al Comité de Inversión o al Comité de Riesgos Financieros. En caso de que la Administradora defina al Comité de Inversión, éste deberá:</w:t>
      </w:r>
    </w:p>
    <w:p w:rsidR="00CA63EE" w:rsidRPr="00CA63EE" w:rsidRDefault="00CA63EE" w:rsidP="00CA63EE">
      <w:pPr>
        <w:jc w:val="both"/>
        <w:rPr>
          <w:rFonts w:ascii="Verdana" w:hAnsi="Verdana"/>
          <w:bCs/>
          <w:sz w:val="20"/>
        </w:rPr>
      </w:pPr>
      <w:r w:rsidRPr="00CA63EE">
        <w:rPr>
          <w:rFonts w:ascii="Verdana" w:hAnsi="Verdana"/>
          <w:bCs/>
          <w:sz w:val="20"/>
        </w:rPr>
        <w:t>1.1. Designar al Funcionario del área de inversiones responsable de dar cumplimiento a los análisis o aplicación de políticas previstos en la presente fracción, y</w:t>
      </w:r>
    </w:p>
    <w:p w:rsidR="00CA63EE" w:rsidRPr="00CA63EE" w:rsidRDefault="00CA63EE" w:rsidP="00CA63EE">
      <w:pPr>
        <w:jc w:val="both"/>
        <w:rPr>
          <w:rFonts w:ascii="Verdana" w:hAnsi="Verdana"/>
          <w:bCs/>
          <w:sz w:val="20"/>
        </w:rPr>
      </w:pPr>
      <w:r w:rsidRPr="00CA63EE">
        <w:rPr>
          <w:rFonts w:ascii="Verdana" w:hAnsi="Verdana"/>
          <w:bCs/>
          <w:sz w:val="20"/>
        </w:rPr>
        <w:t>1.2. Verificar que la designación y las actividades a realizar se incluyan en el Manual de Inversión.</w:t>
      </w:r>
    </w:p>
    <w:p w:rsidR="00CA63EE" w:rsidRPr="00CA63EE" w:rsidRDefault="00CA63EE" w:rsidP="00CA63EE">
      <w:pPr>
        <w:jc w:val="both"/>
        <w:rPr>
          <w:rFonts w:ascii="Verdana" w:hAnsi="Verdana"/>
          <w:bCs/>
          <w:sz w:val="20"/>
        </w:rPr>
      </w:pPr>
      <w:r w:rsidRPr="00CA63EE">
        <w:rPr>
          <w:rFonts w:ascii="Verdana" w:hAnsi="Verdana"/>
          <w:b/>
          <w:bCs/>
          <w:sz w:val="20"/>
        </w:rPr>
        <w:t>Artículo 31.- </w:t>
      </w:r>
      <w:r w:rsidRPr="00CA63EE">
        <w:rPr>
          <w:rFonts w:ascii="Verdana" w:hAnsi="Verdana"/>
          <w:bCs/>
          <w:sz w:val="20"/>
        </w:rPr>
        <w:t>Los Comités de Inversión deberán aprobar y dar seguimiento a la inversión en Componentes de Renta Variable, para lo cual deberán:</w:t>
      </w:r>
    </w:p>
    <w:p w:rsidR="00CA63EE" w:rsidRPr="00CA63EE" w:rsidRDefault="00CA63EE" w:rsidP="00CA63EE">
      <w:pPr>
        <w:jc w:val="both"/>
        <w:rPr>
          <w:rFonts w:ascii="Verdana" w:hAnsi="Verdana"/>
          <w:bCs/>
          <w:sz w:val="20"/>
        </w:rPr>
      </w:pPr>
      <w:r w:rsidRPr="00CA63EE">
        <w:rPr>
          <w:rFonts w:ascii="Verdana" w:hAnsi="Verdana"/>
          <w:bCs/>
          <w:sz w:val="20"/>
        </w:rPr>
        <w:t>I.           Definir y aprobar la Estrategia de Inversión en Componentes de Renta Variable de conformidad con las Disposiciones de carácter general que establecen el régimen de inversión al que deberán sujetarse las Sociedades de Inversión, los criterios que defina el Comité de Análisis de Riesgos y los límites que defina el Comité de Riesgos Financieros considerando diferentes horizontes de inversión autorizados por el Comité de Inversión;</w:t>
      </w:r>
    </w:p>
    <w:p w:rsidR="00CA63EE" w:rsidRPr="00CA63EE" w:rsidRDefault="00CA63EE" w:rsidP="00CA63EE">
      <w:pPr>
        <w:jc w:val="both"/>
        <w:rPr>
          <w:rFonts w:ascii="Verdana" w:hAnsi="Verdana"/>
          <w:bCs/>
          <w:sz w:val="20"/>
        </w:rPr>
      </w:pPr>
      <w:r w:rsidRPr="00CA63EE">
        <w:rPr>
          <w:rFonts w:ascii="Verdana" w:hAnsi="Verdana"/>
          <w:bCs/>
          <w:sz w:val="20"/>
        </w:rPr>
        <w:t>II.          Aprobar los Componentes de Renta Variable contenidos en el Régimen de Inversión Autorizado y, en su caso, las Estructuras Vinculadas a Subyacentes de Renta Variable, en los términos previstos en las presentes Disposiciones. Adicionalmente, deberán aprobar la Desviación Permitida de los Índices Accionarios previstos en las Disposiciones de carácter general que establecen el régimen de inversión al que deberán sujetarse las Sociedades de Inversión, así como la inversión en acciones individuales;</w:t>
      </w:r>
    </w:p>
    <w:p w:rsidR="00CA63EE" w:rsidRPr="00CA63EE" w:rsidRDefault="00CA63EE" w:rsidP="00CA63EE">
      <w:pPr>
        <w:jc w:val="both"/>
        <w:rPr>
          <w:rFonts w:ascii="Verdana" w:hAnsi="Verdana"/>
          <w:bCs/>
          <w:sz w:val="20"/>
        </w:rPr>
      </w:pPr>
      <w:r w:rsidRPr="00CA63EE">
        <w:rPr>
          <w:rFonts w:ascii="Verdana" w:hAnsi="Verdana"/>
          <w:bCs/>
          <w:sz w:val="20"/>
        </w:rPr>
        <w:t xml:space="preserve">III.          Contar previamente con un análisis sobre las características y riesgos inherentes que defina el Comité de Inversión en Componentes de Renta Variable que se pretendan adquirir de conformidad con lo dispuesto por las Reglas Prudenciales en materia de administración de riesgos emitidas por la Comisión y en las presentes Disposiciones. En el caso de las inversiones en ofertas públicas iniciales y acciones individuales, dicho análisis deberá incluir </w:t>
      </w:r>
      <w:proofErr w:type="spellStart"/>
      <w:r w:rsidRPr="00CA63EE">
        <w:rPr>
          <w:rFonts w:ascii="Verdana" w:hAnsi="Verdana"/>
          <w:bCs/>
          <w:sz w:val="20"/>
        </w:rPr>
        <w:t>losfundamentales</w:t>
      </w:r>
      <w:proofErr w:type="spellEnd"/>
      <w:r w:rsidRPr="00CA63EE">
        <w:rPr>
          <w:rFonts w:ascii="Verdana" w:hAnsi="Verdana"/>
          <w:bCs/>
          <w:sz w:val="20"/>
        </w:rPr>
        <w:t xml:space="preserve"> de la empresa que se está financiando de conformidad con lo establecido en el Anexo C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Cs/>
          <w:sz w:val="20"/>
        </w:rPr>
        <w:t>             En el caso de la réplica de un índice nacional accionario o inmobiliario y ésta presente desviaciones en un rango que no exceda de +/- 1.5 puntos porcentuales de los ponderadores oficiales evitando que dichos ponderadores sean negativos, se requerirá el análisis sobre las características y riesgos inherentes, pero no el análisis de los fundamentales de la empresa a los que se refiere el párrafo anterior. No obstante lo anterior, el análisis fundamental será requerido cuando una emisora no forme parte del índice objeto de réplica;</w:t>
      </w:r>
    </w:p>
    <w:p w:rsidR="00CA63EE" w:rsidRPr="00CA63EE" w:rsidRDefault="00CA63EE" w:rsidP="00CA63EE">
      <w:pPr>
        <w:jc w:val="both"/>
        <w:rPr>
          <w:rFonts w:ascii="Verdana" w:hAnsi="Verdana"/>
          <w:bCs/>
          <w:sz w:val="20"/>
        </w:rPr>
      </w:pPr>
      <w:r w:rsidRPr="00CA63EE">
        <w:rPr>
          <w:rFonts w:ascii="Verdana" w:hAnsi="Verdana"/>
          <w:bCs/>
          <w:sz w:val="20"/>
        </w:rPr>
        <w:t>             El análisis sobre las características y riesgos inherentes podrá incluir, además, el análisis del apego de las emisoras a los principios ambientales, sociales y de gobernanza corporativa (ESG por sus siglas en el idioma inglés), considerando:</w:t>
      </w:r>
    </w:p>
    <w:p w:rsidR="00CA63EE" w:rsidRPr="00CA63EE" w:rsidRDefault="00CA63EE" w:rsidP="00CA63EE">
      <w:pPr>
        <w:jc w:val="both"/>
        <w:rPr>
          <w:rFonts w:ascii="Verdana" w:hAnsi="Verdana"/>
          <w:bCs/>
          <w:sz w:val="20"/>
        </w:rPr>
      </w:pPr>
      <w:r w:rsidRPr="00CA63EE">
        <w:rPr>
          <w:rFonts w:ascii="Verdana" w:hAnsi="Verdana"/>
          <w:bCs/>
          <w:sz w:val="20"/>
        </w:rPr>
        <w:t>a)   En el caso de la inversión en acciones individuales, la calificación o posición de las emisoras en un ranking elaborado de conformidad a los principios ESG, el cual sea generado por expertos de reconocido prestigio internacional, o bien, la ponderación de dichas acciones en Índices que se apeguen a los principios ESG.</w:t>
      </w:r>
    </w:p>
    <w:p w:rsidR="00CA63EE" w:rsidRPr="00CA63EE" w:rsidRDefault="00CA63EE" w:rsidP="00CA63EE">
      <w:pPr>
        <w:jc w:val="both"/>
        <w:rPr>
          <w:rFonts w:ascii="Verdana" w:hAnsi="Verdana"/>
          <w:bCs/>
          <w:sz w:val="20"/>
        </w:rPr>
      </w:pPr>
      <w:r w:rsidRPr="00CA63EE">
        <w:rPr>
          <w:rFonts w:ascii="Verdana" w:hAnsi="Verdana"/>
          <w:bCs/>
          <w:sz w:val="20"/>
        </w:rPr>
        <w:t>b)   En caso de la inversión a través de Índices Accionarios de Países Elegibles para Inversiones, podrán considerar las políticas de selección y la ponderación de sus componentes con base en la calificación elaborada de conformidad con los principios ESG, la cual sea generada por expertos de reconocido prestigio internacional.</w:t>
      </w:r>
    </w:p>
    <w:p w:rsidR="00CA63EE" w:rsidRPr="00CA63EE" w:rsidRDefault="00CA63EE" w:rsidP="00CA63EE">
      <w:pPr>
        <w:jc w:val="both"/>
        <w:rPr>
          <w:rFonts w:ascii="Verdana" w:hAnsi="Verdana"/>
          <w:bCs/>
          <w:sz w:val="20"/>
        </w:rPr>
      </w:pPr>
      <w:r w:rsidRPr="00CA63EE">
        <w:rPr>
          <w:rFonts w:ascii="Verdana" w:hAnsi="Verdana"/>
          <w:bCs/>
          <w:sz w:val="20"/>
        </w:rPr>
        <w:t>c)   El desempeño histórico de los índices referidos en los dos incisos anteriores.</w:t>
      </w:r>
    </w:p>
    <w:p w:rsidR="00CA63EE" w:rsidRPr="00CA63EE" w:rsidRDefault="00CA63EE" w:rsidP="00CA63EE">
      <w:pPr>
        <w:jc w:val="both"/>
        <w:rPr>
          <w:rFonts w:ascii="Verdana" w:hAnsi="Verdana"/>
          <w:bCs/>
          <w:sz w:val="20"/>
        </w:rPr>
      </w:pPr>
      <w:r w:rsidRPr="00CA63EE">
        <w:rPr>
          <w:rFonts w:ascii="Verdana" w:hAnsi="Verdana"/>
          <w:bCs/>
          <w:sz w:val="20"/>
        </w:rPr>
        <w:t>d)   Elementos adicionales que el Comité de Inversión considere relevantes;</w:t>
      </w:r>
    </w:p>
    <w:p w:rsidR="00CA63EE" w:rsidRPr="00CA63EE" w:rsidRDefault="00CA63EE" w:rsidP="00CA63EE">
      <w:pPr>
        <w:jc w:val="both"/>
        <w:rPr>
          <w:rFonts w:ascii="Verdana" w:hAnsi="Verdana"/>
          <w:bCs/>
          <w:sz w:val="20"/>
        </w:rPr>
      </w:pPr>
      <w:r w:rsidRPr="00CA63EE">
        <w:rPr>
          <w:rFonts w:ascii="Verdana" w:hAnsi="Verdana"/>
          <w:bCs/>
          <w:sz w:val="20"/>
        </w:rPr>
        <w:t>IV.         Analizar la liquidez de los Componentes de Renta Variable en el mercado secundario;</w:t>
      </w:r>
    </w:p>
    <w:p w:rsidR="00CA63EE" w:rsidRPr="00CA63EE" w:rsidRDefault="00CA63EE" w:rsidP="00CA63EE">
      <w:pPr>
        <w:jc w:val="both"/>
        <w:rPr>
          <w:rFonts w:ascii="Verdana" w:hAnsi="Verdana"/>
          <w:bCs/>
          <w:sz w:val="20"/>
        </w:rPr>
      </w:pPr>
      <w:r w:rsidRPr="00CA63EE">
        <w:rPr>
          <w:rFonts w:ascii="Verdana" w:hAnsi="Verdana"/>
          <w:bCs/>
          <w:sz w:val="20"/>
        </w:rPr>
        <w:t>V.          Dar seguimiento de forma periódica al rendimiento observado y esperado de las inversiones realizadas en Componentes de Renta Variable. Para efecto de lo anterior, se deberán considerar las medidas de rendimiento y de riesgos que el Comité de Inversión haya aprobado e indicado en el Manual de Inversión. Las medidas previstas en el presente párrafo, no sustituirán las medidas definidas por el Comité de Riesgos Financieros que deben ser empleadas para evaluar el cumplimiento de los Límites Prudenciales, y</w:t>
      </w:r>
    </w:p>
    <w:p w:rsidR="00CA63EE" w:rsidRPr="00CA63EE" w:rsidRDefault="00CA63EE" w:rsidP="00CA63EE">
      <w:pPr>
        <w:jc w:val="both"/>
        <w:rPr>
          <w:rFonts w:ascii="Verdana" w:hAnsi="Verdana"/>
          <w:bCs/>
          <w:sz w:val="20"/>
        </w:rPr>
      </w:pPr>
      <w:r w:rsidRPr="00CA63EE">
        <w:rPr>
          <w:rFonts w:ascii="Verdana" w:hAnsi="Verdana"/>
          <w:bCs/>
          <w:sz w:val="20"/>
        </w:rPr>
        <w:t>VI.         Dar seguimiento de forma periódica al cumplimiento de los criterios definidos por el Comité de Análisis de Riesgos, aplicables a Vehículos que tengan por objeto replicar Componentes de Renta Variable. Asimismo dichas políticas deberán incluir la experiencia del administrador como gestor de Vehículos, incluyendo a los Fondos Mutuos y en su caso Vehículos accionarios, de deuda o inmobiliarios y el monto mínimo de activos bajo administración requerido.</w:t>
      </w:r>
    </w:p>
    <w:p w:rsidR="00CA63EE" w:rsidRPr="00CA63EE" w:rsidRDefault="00CA63EE" w:rsidP="00CA63EE">
      <w:pPr>
        <w:jc w:val="both"/>
        <w:rPr>
          <w:rFonts w:ascii="Verdana" w:hAnsi="Verdana"/>
          <w:bCs/>
          <w:sz w:val="20"/>
        </w:rPr>
      </w:pPr>
      <w:r w:rsidRPr="00CA63EE">
        <w:rPr>
          <w:rFonts w:ascii="Verdana" w:hAnsi="Verdana"/>
          <w:bCs/>
          <w:sz w:val="20"/>
        </w:rPr>
        <w:t xml:space="preserve">VII.        En caso de que la Administradora, a través de las Sociedades de Inversión que opera, pretenda participar en la oferta pública inicial de acciones representativas </w:t>
      </w:r>
      <w:r w:rsidRPr="00CA63EE">
        <w:rPr>
          <w:rFonts w:ascii="Verdana" w:hAnsi="Verdana"/>
          <w:bCs/>
          <w:sz w:val="20"/>
        </w:rPr>
        <w:lastRenderedPageBreak/>
        <w:t>del capital social de una Empresa Privada que tengan adheridas títulos opcionales a los que se refiere el inciso d) de la fracción LII de la disposición Segunda de las Disposiciones de carácter general que establecen el régimen de inversión al que deberán sujetarse las sociedades de inversión, previamente deberán:</w:t>
      </w:r>
    </w:p>
    <w:p w:rsidR="00CA63EE" w:rsidRPr="00CA63EE" w:rsidRDefault="00CA63EE" w:rsidP="00CA63EE">
      <w:pPr>
        <w:jc w:val="both"/>
        <w:rPr>
          <w:rFonts w:ascii="Verdana" w:hAnsi="Verdana"/>
          <w:bCs/>
          <w:sz w:val="20"/>
        </w:rPr>
      </w:pPr>
      <w:r w:rsidRPr="00CA63EE">
        <w:rPr>
          <w:rFonts w:ascii="Verdana" w:hAnsi="Verdana"/>
          <w:bCs/>
          <w:sz w:val="20"/>
        </w:rPr>
        <w:t xml:space="preserve">i.    Contar con la valuación de las referidas acciones y títulos opcionales en términos de lo previsto en el artículo 16 </w:t>
      </w:r>
      <w:proofErr w:type="gramStart"/>
      <w:r w:rsidRPr="00CA63EE">
        <w:rPr>
          <w:rFonts w:ascii="Verdana" w:hAnsi="Verdana"/>
          <w:bCs/>
          <w:sz w:val="20"/>
        </w:rPr>
        <w:t>fracción</w:t>
      </w:r>
      <w:proofErr w:type="gramEnd"/>
      <w:r w:rsidRPr="00CA63EE">
        <w:rPr>
          <w:rFonts w:ascii="Verdana" w:hAnsi="Verdana"/>
          <w:bCs/>
          <w:sz w:val="20"/>
        </w:rPr>
        <w:t xml:space="preserve"> X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ii.    Realizar un análisis que contenga lo previsto en la fracción III anterior, así como lo establecido en el Capítulo I, fracción I, inciso a) a d) y Capítulo II, fracción I, incisos a) a g), i) y k), del Anexo B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Las Sociedades de Inversión que pretendan realizar operaciones en el mercado secundario con los títulos opcionales a los que se refiere el inciso d) de la fracción LII de la disposición Segunda de las Disposiciones de carácter general que establecen el régimen de inversión al que deberán sujetarse las sociedades de inversión, deberán contar previamente con la no objeción de la Comisión para la Operación de Opciones cuyos subyacentes sean Componentes de Renta Variable, y</w:t>
      </w:r>
    </w:p>
    <w:p w:rsidR="00CA63EE" w:rsidRPr="00CA63EE" w:rsidRDefault="00CA63EE" w:rsidP="00CA63EE">
      <w:pPr>
        <w:jc w:val="both"/>
        <w:rPr>
          <w:rFonts w:ascii="Verdana" w:hAnsi="Verdana"/>
          <w:bCs/>
          <w:sz w:val="20"/>
        </w:rPr>
      </w:pPr>
      <w:r w:rsidRPr="00CA63EE">
        <w:rPr>
          <w:rFonts w:ascii="Verdana" w:hAnsi="Verdana"/>
          <w:bCs/>
          <w:sz w:val="20"/>
        </w:rPr>
        <w:t>VIII.        Definir, de la relación de Índices Accionarios de Países Elegibles para Inversiones prevista en el Anexo V de las presentes disposiciones, el índice que utilizarán como referencia para determinar los límites máximos de inversión en acciones individuales de Emisores Nacionales listadas en una bolsa de valores autorizada para organizarse y operar en términos de la Ley del Mercado de Valores, a los que se refiere la fracción II, de la disposición Vigésima Cuarta de las Disposiciones de carácter general que establecen el régimen de inversión al que deberán sujetarse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 fracción I: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las fracciones III a VI: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
          <w:bCs/>
          <w:sz w:val="20"/>
        </w:rPr>
        <w:t>Artículo 32.- </w:t>
      </w:r>
      <w:r w:rsidRPr="00CA63EE">
        <w:rPr>
          <w:rFonts w:ascii="Verdana" w:hAnsi="Verdana"/>
          <w:bCs/>
          <w:sz w:val="20"/>
        </w:rPr>
        <w:t>Los Comités de Inversión deberán definir, aprobar y dar seguimiento a la Estrategia de Inversión en Divisas, atendiendo a lo previsto en el Anexo D de las presentes disposiciones. Para efectos de lo previsto en el presente artículo, se deberán considerar las Posiciones Puras en Divisas, así como la exposición agregada, directa e indirecta, de la cartera de inversión en Divisas.</w:t>
      </w:r>
    </w:p>
    <w:p w:rsidR="00CA63EE" w:rsidRPr="00CA63EE" w:rsidRDefault="00CA63EE" w:rsidP="00CA63EE">
      <w:pPr>
        <w:jc w:val="both"/>
        <w:rPr>
          <w:rFonts w:ascii="Verdana" w:hAnsi="Verdana"/>
          <w:bCs/>
          <w:sz w:val="20"/>
        </w:rPr>
      </w:pPr>
      <w:r w:rsidRPr="00CA63EE">
        <w:rPr>
          <w:rFonts w:ascii="Verdana" w:hAnsi="Verdana"/>
          <w:bCs/>
          <w:sz w:val="20"/>
        </w:rPr>
        <w:t>Para cumplir con lo anterior, los Comités de Inversión deberán:</w:t>
      </w:r>
    </w:p>
    <w:p w:rsidR="00CA63EE" w:rsidRPr="00CA63EE" w:rsidRDefault="00CA63EE" w:rsidP="00CA63EE">
      <w:pPr>
        <w:jc w:val="both"/>
        <w:rPr>
          <w:rFonts w:ascii="Verdana" w:hAnsi="Verdana"/>
          <w:bCs/>
          <w:sz w:val="20"/>
        </w:rPr>
      </w:pPr>
      <w:r w:rsidRPr="00CA63EE">
        <w:rPr>
          <w:rFonts w:ascii="Verdana" w:hAnsi="Verdana"/>
          <w:bCs/>
          <w:sz w:val="20"/>
        </w:rPr>
        <w:lastRenderedPageBreak/>
        <w:t>I.           Definir y aprobar la Estrategia de Inversión en Divisas, de conformidad con las Disposiciones de carácter general que establecen el régimen de inversión al que deberán sujetarse las Sociedades de Inversión, cuantificados de conformidad con las presentes Disposiciones, los límites que defina el Comité de Riesgos Financieros, y considerando diferentes horizontes de inversión, así como los criterios que defina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II.          Contar de manera previa a la inversión con un análisis sobre las características y riesgos inherentes que defina el Comité de Inversión a la inversión en Divisas que se pretendan adquirir, de conformidad con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III.          Analizar la liquidez de las inversiones en Divisas cuya exposición esté prevista en la Estrategia de Inversión.</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 fracción I: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las fracciones II y III: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
          <w:bCs/>
          <w:sz w:val="20"/>
        </w:rPr>
        <w:t>Artículo 33.-</w:t>
      </w:r>
      <w:r w:rsidRPr="00CA63EE">
        <w:rPr>
          <w:rFonts w:ascii="Verdana" w:hAnsi="Verdana"/>
          <w:bCs/>
          <w:sz w:val="20"/>
        </w:rPr>
        <w:t xml:space="preserve"> Los Comités de Inversión deberán definir, aprobar y dar seguimiento a la Estrategia de Inversión del Activo Administrado por la Sociedad de Inversión en Instrumentos de Deuda y Valores Extranjeros de Deuda, incluidos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y con excepción de los valores gubernamentales, para lo cual, los Comités de Inversión deberán:</w:t>
      </w:r>
    </w:p>
    <w:p w:rsidR="00CA63EE" w:rsidRPr="00CA63EE" w:rsidRDefault="00CA63EE" w:rsidP="00CA63EE">
      <w:pPr>
        <w:jc w:val="both"/>
        <w:rPr>
          <w:rFonts w:ascii="Verdana" w:hAnsi="Verdana"/>
          <w:bCs/>
          <w:sz w:val="20"/>
        </w:rPr>
      </w:pPr>
      <w:r w:rsidRPr="00CA63EE">
        <w:rPr>
          <w:rFonts w:ascii="Verdana" w:hAnsi="Verdana"/>
          <w:bCs/>
          <w:sz w:val="20"/>
        </w:rPr>
        <w:t>I.           Definir, aprobar y dar seguimiento a la Estrategia de Inversión en Instrumentos de Deuda y Valores Extranjeros de Deuda emitidos, avalados o aceptados por un mismo emisor, de conformidad con las Disposiciones de carácter general que establecen el régimen de inversión al que deberán sujetarse las Sociedades de Inversión, cuantificados de conformidad con las presentes Disposiciones, los límites que defina el Comité de Riesgos Financieros, así como los criterios que defina el Comité de Análisis de Riesgos. Para tales fines, el Comité de Inversión deberá definir el horizonte de inversión, la calificación crediticia, los montos y los porcentajes del Activo Total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II.          Crear y actualizar matrices que contengan la emisión y el margen de tasa de interés requerida respecto a la referencia gubernamental o soberana que corresponda para los distintos Instrumentos de Deuda o Valores Extranjeros de Deuda, las cuales se deberán determinar en función de las variables y Factores de Riesgo que determine el mismo Comité de Inversión incluyendo la liquidez del instrumento, la prelación de pago, el plazo a vencimiento o duración, así como la calificación crediticia.</w:t>
      </w:r>
    </w:p>
    <w:p w:rsidR="00CA63EE" w:rsidRPr="00CA63EE" w:rsidRDefault="00CA63EE" w:rsidP="00CA63EE">
      <w:pPr>
        <w:jc w:val="both"/>
        <w:rPr>
          <w:rFonts w:ascii="Verdana" w:hAnsi="Verdana"/>
          <w:bCs/>
          <w:sz w:val="20"/>
        </w:rPr>
      </w:pPr>
      <w:r w:rsidRPr="00CA63EE">
        <w:rPr>
          <w:rFonts w:ascii="Verdana" w:hAnsi="Verdana"/>
          <w:bCs/>
          <w:sz w:val="20"/>
        </w:rPr>
        <w:lastRenderedPageBreak/>
        <w:t>Todos los Instrumentos de Deuda y Valores Extranjeros de Deuda a los que se refiere el presente artículo deberán quedar contemplados en alguna de las matrices previstas en la presente fracción;</w:t>
      </w:r>
    </w:p>
    <w:p w:rsidR="00CA63EE" w:rsidRPr="00CA63EE" w:rsidRDefault="00CA63EE" w:rsidP="00CA63EE">
      <w:pPr>
        <w:jc w:val="both"/>
        <w:rPr>
          <w:rFonts w:ascii="Verdana" w:hAnsi="Verdana"/>
          <w:bCs/>
          <w:sz w:val="20"/>
        </w:rPr>
      </w:pPr>
      <w:r w:rsidRPr="00CA63EE">
        <w:rPr>
          <w:rFonts w:ascii="Verdana" w:hAnsi="Verdana"/>
          <w:bCs/>
          <w:sz w:val="20"/>
        </w:rPr>
        <w:t>III.          Definir y dar seguimiento a políticas referentes al análisis de los Riesgos Financieros aplicables a los Instrumentos de Deuda y Valores Extranjeros de Deuda que sean adquiridos;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IV.         Dar seguimiento a los criterios internos de evaluación crediticia definidos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V.          Definir políticas para clasificar las emisiones por sector, región u otra clasificación que el Comité de Inversión considere necesaria. Dar seguimiento a esta clasificación a fin de detectar cualquier desviación en la Estrategia de Inversión o concentración excesiva en alguna clasificación determinada. Asimismo, el Comité de Inversión deberá tomar conocimiento del seguimiento a las Alarmas Tempranas realizado por el Comité de Riesgos Financieros para cada clasificación definida;</w:t>
      </w:r>
    </w:p>
    <w:p w:rsidR="00CA63EE" w:rsidRPr="00CA63EE" w:rsidRDefault="00CA63EE" w:rsidP="00CA63EE">
      <w:pPr>
        <w:jc w:val="both"/>
        <w:rPr>
          <w:rFonts w:ascii="Verdana" w:hAnsi="Verdana"/>
          <w:bCs/>
          <w:sz w:val="20"/>
        </w:rPr>
      </w:pPr>
      <w:r w:rsidRPr="00CA63EE">
        <w:rPr>
          <w:rFonts w:ascii="Verdana" w:hAnsi="Verdana"/>
          <w:bCs/>
          <w:sz w:val="20"/>
        </w:rPr>
        <w:t>VI.         Para el caso de los Instrumentos de Deuda Híbridos verificar que una parte de la emisión se realiza en mercados internacionales;</w:t>
      </w:r>
    </w:p>
    <w:p w:rsidR="00CA63EE" w:rsidRPr="00CA63EE" w:rsidRDefault="00CA63EE" w:rsidP="00CA63EE">
      <w:pPr>
        <w:jc w:val="both"/>
        <w:rPr>
          <w:rFonts w:ascii="Verdana" w:hAnsi="Verdana"/>
          <w:bCs/>
          <w:sz w:val="20"/>
        </w:rPr>
      </w:pPr>
      <w:r w:rsidRPr="00CA63EE">
        <w:rPr>
          <w:rFonts w:ascii="Verdana" w:hAnsi="Verdana"/>
          <w:bCs/>
          <w:sz w:val="20"/>
        </w:rPr>
        <w:t>VII.        Para el caso de los Instrumentos de Deuda Híbridos analizar la liquidez en el mercado secundario y los Factores de Riesgo que afecten al precio de estos instrumentos, y</w:t>
      </w:r>
    </w:p>
    <w:p w:rsidR="00CA63EE" w:rsidRPr="00CA63EE" w:rsidRDefault="00CA63EE" w:rsidP="00CA63EE">
      <w:pPr>
        <w:jc w:val="both"/>
        <w:rPr>
          <w:rFonts w:ascii="Verdana" w:hAnsi="Verdana"/>
          <w:bCs/>
          <w:sz w:val="20"/>
        </w:rPr>
      </w:pPr>
      <w:r w:rsidRPr="00CA63EE">
        <w:rPr>
          <w:rFonts w:ascii="Verdana" w:hAnsi="Verdana"/>
          <w:bCs/>
          <w:sz w:val="20"/>
        </w:rPr>
        <w:t>VIII.        Para el caso de los Instrumentos de Deuda Híbridos verificar que el emisor ha distribuido dividendos o ganancias a sus inversionistas con anterioridad y que cuenta con bonos emitidos en mercados reconocidos.</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las fracciones I y IV: anualmente;</w:t>
      </w:r>
    </w:p>
    <w:p w:rsidR="00CA63EE" w:rsidRPr="00CA63EE" w:rsidRDefault="00CA63EE" w:rsidP="00CA63EE">
      <w:pPr>
        <w:jc w:val="both"/>
        <w:rPr>
          <w:rFonts w:ascii="Verdana" w:hAnsi="Verdana"/>
          <w:bCs/>
          <w:sz w:val="20"/>
        </w:rPr>
      </w:pPr>
      <w:r w:rsidRPr="00CA63EE">
        <w:rPr>
          <w:rFonts w:ascii="Verdana" w:hAnsi="Verdana"/>
          <w:bCs/>
          <w:sz w:val="20"/>
        </w:rPr>
        <w:t>1.2. La información de la fracción II, VI, VII y VIII: de conformidad con lo que establezca el Comité de Inversión, y</w:t>
      </w:r>
    </w:p>
    <w:p w:rsidR="00CA63EE" w:rsidRPr="00CA63EE" w:rsidRDefault="00CA63EE" w:rsidP="00CA63EE">
      <w:pPr>
        <w:jc w:val="both"/>
        <w:rPr>
          <w:rFonts w:ascii="Verdana" w:hAnsi="Verdana"/>
          <w:bCs/>
          <w:sz w:val="20"/>
        </w:rPr>
      </w:pPr>
      <w:r w:rsidRPr="00CA63EE">
        <w:rPr>
          <w:rFonts w:ascii="Verdana" w:hAnsi="Verdana"/>
          <w:bCs/>
          <w:sz w:val="20"/>
        </w:rPr>
        <w:t>1.3. La información de las fracciones III y V: semestralmente.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Cs/>
          <w:sz w:val="20"/>
        </w:rPr>
        <w:t>El Comité de Inversión deberá definir y aprobar las políticas que los subcomités previstos en el artículo 46 de las presentes Disposiciones o a quienes designe el Comité de Inversión, deberán observar para actualizar la información que será presentada en las sesiones del referido Comité para las siguientes situaciones:</w:t>
      </w:r>
    </w:p>
    <w:p w:rsidR="00CA63EE" w:rsidRPr="00CA63EE" w:rsidRDefault="00CA63EE" w:rsidP="00CA63EE">
      <w:pPr>
        <w:jc w:val="both"/>
        <w:rPr>
          <w:rFonts w:ascii="Verdana" w:hAnsi="Verdana"/>
          <w:bCs/>
          <w:sz w:val="20"/>
        </w:rPr>
      </w:pPr>
      <w:r w:rsidRPr="00CA63EE">
        <w:rPr>
          <w:rFonts w:ascii="Verdana" w:hAnsi="Verdana"/>
          <w:bCs/>
          <w:sz w:val="20"/>
        </w:rPr>
        <w:lastRenderedPageBreak/>
        <w:t>2.1. Incumplimientos de las obligaciones;</w:t>
      </w:r>
    </w:p>
    <w:p w:rsidR="00CA63EE" w:rsidRPr="00CA63EE" w:rsidRDefault="00CA63EE" w:rsidP="00CA63EE">
      <w:pPr>
        <w:jc w:val="both"/>
        <w:rPr>
          <w:rFonts w:ascii="Verdana" w:hAnsi="Verdana"/>
          <w:bCs/>
          <w:sz w:val="20"/>
        </w:rPr>
      </w:pPr>
      <w:r w:rsidRPr="00CA63EE">
        <w:rPr>
          <w:rFonts w:ascii="Verdana" w:hAnsi="Verdana"/>
          <w:bCs/>
          <w:sz w:val="20"/>
        </w:rPr>
        <w:t>2.2. Cambios en las calificaciones crediticias;</w:t>
      </w:r>
    </w:p>
    <w:p w:rsidR="00CA63EE" w:rsidRPr="00CA63EE" w:rsidRDefault="00CA63EE" w:rsidP="00CA63EE">
      <w:pPr>
        <w:jc w:val="both"/>
        <w:rPr>
          <w:rFonts w:ascii="Verdana" w:hAnsi="Verdana"/>
          <w:bCs/>
          <w:sz w:val="20"/>
        </w:rPr>
      </w:pPr>
      <w:r w:rsidRPr="00CA63EE">
        <w:rPr>
          <w:rFonts w:ascii="Verdana" w:hAnsi="Verdana"/>
          <w:bCs/>
          <w:sz w:val="20"/>
        </w:rPr>
        <w:t>2.3. Cambios en enaltecedores de crédito o en garantías;</w:t>
      </w:r>
    </w:p>
    <w:p w:rsidR="00CA63EE" w:rsidRPr="00CA63EE" w:rsidRDefault="00CA63EE" w:rsidP="00CA63EE">
      <w:pPr>
        <w:jc w:val="both"/>
        <w:rPr>
          <w:rFonts w:ascii="Verdana" w:hAnsi="Verdana"/>
          <w:bCs/>
          <w:sz w:val="20"/>
        </w:rPr>
      </w:pPr>
      <w:r w:rsidRPr="00CA63EE">
        <w:rPr>
          <w:rFonts w:ascii="Verdana" w:hAnsi="Verdana"/>
          <w:bCs/>
          <w:sz w:val="20"/>
        </w:rPr>
        <w:t>2.4. Aplicación de reglas específicas de derechos de los tenedores conocidas en la práctica y en el idioma inglés como "</w:t>
      </w:r>
      <w:proofErr w:type="spellStart"/>
      <w:r w:rsidRPr="00CA63EE">
        <w:rPr>
          <w:rFonts w:ascii="Verdana" w:hAnsi="Verdana"/>
          <w:bCs/>
          <w:sz w:val="20"/>
        </w:rPr>
        <w:t>covenants</w:t>
      </w:r>
      <w:proofErr w:type="spellEnd"/>
      <w:r w:rsidRPr="00CA63EE">
        <w:rPr>
          <w:rFonts w:ascii="Verdana" w:hAnsi="Verdana"/>
          <w:bCs/>
          <w:sz w:val="20"/>
        </w:rPr>
        <w:t>", y</w:t>
      </w:r>
    </w:p>
    <w:p w:rsidR="00CA63EE" w:rsidRPr="00CA63EE" w:rsidRDefault="00CA63EE" w:rsidP="00CA63EE">
      <w:pPr>
        <w:jc w:val="both"/>
        <w:rPr>
          <w:rFonts w:ascii="Verdana" w:hAnsi="Verdana"/>
          <w:bCs/>
          <w:sz w:val="20"/>
        </w:rPr>
      </w:pPr>
      <w:r w:rsidRPr="00CA63EE">
        <w:rPr>
          <w:rFonts w:ascii="Verdana" w:hAnsi="Verdana"/>
          <w:bCs/>
          <w:sz w:val="20"/>
        </w:rPr>
        <w:t>2.5. Otras situaciones que defina el Comité de Inversión.</w:t>
      </w:r>
    </w:p>
    <w:p w:rsidR="00CA63EE" w:rsidRPr="00CA63EE" w:rsidRDefault="00CA63EE" w:rsidP="00CA63EE">
      <w:pPr>
        <w:jc w:val="both"/>
        <w:rPr>
          <w:rFonts w:ascii="Verdana" w:hAnsi="Verdana"/>
          <w:bCs/>
          <w:sz w:val="20"/>
        </w:rPr>
      </w:pPr>
      <w:r w:rsidRPr="00CA63EE">
        <w:rPr>
          <w:rFonts w:ascii="Verdana" w:hAnsi="Verdana"/>
          <w:bCs/>
          <w:sz w:val="20"/>
        </w:rPr>
        <w:t>Sin perjuicio de lo anterior, los subcomités o a quienes haya designado el Comité de Inversión, deberán dar seguimiento a la información referida en los incisos anteriores.</w:t>
      </w:r>
    </w:p>
    <w:p w:rsidR="00CA63EE" w:rsidRPr="00CA63EE" w:rsidRDefault="00CA63EE" w:rsidP="00CA63EE">
      <w:pPr>
        <w:jc w:val="both"/>
        <w:rPr>
          <w:rFonts w:ascii="Verdana" w:hAnsi="Verdana"/>
          <w:bCs/>
          <w:sz w:val="20"/>
        </w:rPr>
      </w:pPr>
      <w:r w:rsidRPr="00CA63EE">
        <w:rPr>
          <w:rFonts w:ascii="Verdana" w:hAnsi="Verdana"/>
          <w:b/>
          <w:bCs/>
          <w:sz w:val="20"/>
        </w:rPr>
        <w:t>Artículo 34.- </w:t>
      </w:r>
      <w:r w:rsidRPr="00CA63EE">
        <w:rPr>
          <w:rFonts w:ascii="Verdana" w:hAnsi="Verdana"/>
          <w:bCs/>
          <w:sz w:val="20"/>
        </w:rPr>
        <w:t>Cuando la Administradora cuente con la no objeción de la Comisión para celebrar operaciones con Derivados, el Comité de Inversión deberá definir, aprobar y dar seguimiento a la política que aplicará en el empleo de Derivados, para lo cual:</w:t>
      </w:r>
    </w:p>
    <w:p w:rsidR="00CA63EE" w:rsidRPr="00CA63EE" w:rsidRDefault="00CA63EE" w:rsidP="00CA63EE">
      <w:pPr>
        <w:jc w:val="both"/>
        <w:rPr>
          <w:rFonts w:ascii="Verdana" w:hAnsi="Verdana"/>
          <w:bCs/>
          <w:sz w:val="20"/>
        </w:rPr>
      </w:pPr>
      <w:r w:rsidRPr="00CA63EE">
        <w:rPr>
          <w:rFonts w:ascii="Verdana" w:hAnsi="Verdana"/>
          <w:bCs/>
          <w:sz w:val="20"/>
        </w:rPr>
        <w:t>I.           Definirá los subyacentes a los que adquirirá exposición, los plazos y los tipos de operaciones con Derivados, dentro del conjunto de operaciones para las que cuente con la no objeción de la Comisión;</w:t>
      </w:r>
    </w:p>
    <w:p w:rsidR="00CA63EE" w:rsidRPr="00CA63EE" w:rsidRDefault="00CA63EE" w:rsidP="00CA63EE">
      <w:pPr>
        <w:jc w:val="both"/>
        <w:rPr>
          <w:rFonts w:ascii="Verdana" w:hAnsi="Verdana"/>
          <w:bCs/>
          <w:sz w:val="20"/>
        </w:rPr>
      </w:pPr>
      <w:r w:rsidRPr="00CA63EE">
        <w:rPr>
          <w:rFonts w:ascii="Verdana" w:hAnsi="Verdana"/>
          <w:bCs/>
          <w:sz w:val="20"/>
        </w:rPr>
        <w:t>II.          Definirá los mercados, plataformas de negociación y las Contrapartes con quienes podrá realizar operaciones con Derivados;</w:t>
      </w:r>
    </w:p>
    <w:p w:rsidR="00CA63EE" w:rsidRPr="00CA63EE" w:rsidRDefault="00CA63EE" w:rsidP="00CA63EE">
      <w:pPr>
        <w:jc w:val="both"/>
        <w:rPr>
          <w:rFonts w:ascii="Verdana" w:hAnsi="Verdana"/>
          <w:bCs/>
          <w:sz w:val="20"/>
        </w:rPr>
      </w:pPr>
      <w:r w:rsidRPr="00CA63EE">
        <w:rPr>
          <w:rFonts w:ascii="Verdana" w:hAnsi="Verdana"/>
          <w:bCs/>
          <w:sz w:val="20"/>
        </w:rPr>
        <w:t>III.          Definirá el tipo y determinará el monto de las garantías, esto último respecto al valor de las operaciones concertadas, que podrá dar y recibir durante la vigencia de las operaciones;</w:t>
      </w:r>
    </w:p>
    <w:p w:rsidR="00CA63EE" w:rsidRPr="00CA63EE" w:rsidRDefault="00CA63EE" w:rsidP="00CA63EE">
      <w:pPr>
        <w:jc w:val="both"/>
        <w:rPr>
          <w:rFonts w:ascii="Verdana" w:hAnsi="Verdana"/>
          <w:bCs/>
          <w:sz w:val="20"/>
        </w:rPr>
      </w:pPr>
      <w:r w:rsidRPr="00CA63EE">
        <w:rPr>
          <w:rFonts w:ascii="Verdana" w:hAnsi="Verdana"/>
          <w:bCs/>
          <w:sz w:val="20"/>
        </w:rPr>
        <w:t xml:space="preserve">IV.         Deberá dar seguimiento al límite de apalancamiento máximo definido por el Comité de Riesgos Financieros, para las operaciones con Derivados al que expondrá los Activos Administrados por la Sociedad de Inversión, y en su caso los Activos Administrados por los Mandatarios, los cuales serán monitoreados por la UAIR e informados en cada sesión de este Comité. Dichos límites deberán considerar el apalancamiento total para la cartera de inversión del Activo Administrado por la Sociedad de Inversión y en su caso, deberá definir políticas similares para la cartera </w:t>
      </w:r>
      <w:proofErr w:type="spellStart"/>
      <w:r w:rsidRPr="00CA63EE">
        <w:rPr>
          <w:rFonts w:ascii="Verdana" w:hAnsi="Verdana"/>
          <w:bCs/>
          <w:sz w:val="20"/>
        </w:rPr>
        <w:t>deinversión</w:t>
      </w:r>
      <w:proofErr w:type="spellEnd"/>
      <w:r w:rsidRPr="00CA63EE">
        <w:rPr>
          <w:rFonts w:ascii="Verdana" w:hAnsi="Verdana"/>
          <w:bCs/>
          <w:sz w:val="20"/>
        </w:rPr>
        <w:t xml:space="preserve"> de los Activos Administrados por cada Mandatario;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V.          Deberá dar seguimiento a la exposición y al valor a mercado de las operaciones que se consideran para el cómputo de los Anexos E, F, G, H y I de las presentes Disposiciones, así como el Anexo N de las Disposiciones de carácter general que establecen el régimen de inversión al que deberán sujetarse las Sociedades de Inversión. Dichos cálculos se harán con la cartera de inversión del Activo Administrado por la Sociedad de Inversión, y en su caso con la cartera de inversión de los Activos Administrados por cada Mandatario;</w:t>
      </w:r>
    </w:p>
    <w:p w:rsidR="00CA63EE" w:rsidRPr="00CA63EE" w:rsidRDefault="00CA63EE" w:rsidP="00CA63EE">
      <w:pPr>
        <w:jc w:val="both"/>
        <w:rPr>
          <w:rFonts w:ascii="Verdana" w:hAnsi="Verdana"/>
          <w:bCs/>
          <w:sz w:val="20"/>
        </w:rPr>
      </w:pPr>
      <w:r w:rsidRPr="00CA63EE">
        <w:rPr>
          <w:rFonts w:ascii="Verdana" w:hAnsi="Verdana"/>
          <w:bCs/>
          <w:sz w:val="20"/>
        </w:rPr>
        <w:t>VI.         Definirá los criterios para la operación de compra, venta y confirmación en mercados de Derivados;</w:t>
      </w:r>
    </w:p>
    <w:p w:rsidR="00CA63EE" w:rsidRPr="00CA63EE" w:rsidRDefault="00CA63EE" w:rsidP="00CA63EE">
      <w:pPr>
        <w:jc w:val="both"/>
        <w:rPr>
          <w:rFonts w:ascii="Verdana" w:hAnsi="Verdana"/>
          <w:bCs/>
          <w:sz w:val="20"/>
        </w:rPr>
      </w:pPr>
      <w:r w:rsidRPr="00CA63EE">
        <w:rPr>
          <w:rFonts w:ascii="Verdana" w:hAnsi="Verdana"/>
          <w:bCs/>
          <w:sz w:val="20"/>
        </w:rPr>
        <w:lastRenderedPageBreak/>
        <w:t>VII.        Deberá dar seguimiento a las calificaciones crediticias de las cámaras de compensación y Contrapartes con las que operen las Sociedades de Inversión y, en su caso, definir una política que deban observar a este respecto los Mandatarios;</w:t>
      </w:r>
    </w:p>
    <w:p w:rsidR="00CA63EE" w:rsidRPr="00CA63EE" w:rsidRDefault="00CA63EE" w:rsidP="00CA63EE">
      <w:pPr>
        <w:jc w:val="both"/>
        <w:rPr>
          <w:rFonts w:ascii="Verdana" w:hAnsi="Verdana"/>
          <w:bCs/>
          <w:sz w:val="20"/>
        </w:rPr>
      </w:pPr>
      <w:r w:rsidRPr="00CA63EE">
        <w:rPr>
          <w:rFonts w:ascii="Verdana" w:hAnsi="Verdana"/>
          <w:bCs/>
          <w:sz w:val="20"/>
        </w:rPr>
        <w:t>VIII.        Definir y dar seguimiento al uso de las líneas de crédito de cada Contraparte;</w:t>
      </w:r>
    </w:p>
    <w:p w:rsidR="00CA63EE" w:rsidRPr="00CA63EE" w:rsidRDefault="00CA63EE" w:rsidP="00CA63EE">
      <w:pPr>
        <w:jc w:val="both"/>
        <w:rPr>
          <w:rFonts w:ascii="Verdana" w:hAnsi="Verdana"/>
          <w:bCs/>
          <w:sz w:val="20"/>
        </w:rPr>
      </w:pPr>
      <w:r w:rsidRPr="00CA63EE">
        <w:rPr>
          <w:rFonts w:ascii="Verdana" w:hAnsi="Verdana"/>
          <w:bCs/>
          <w:sz w:val="20"/>
        </w:rPr>
        <w:t>IX.         Deberá contar con un análisis periódico que identifique las posiciones de operaciones con Derivados que considere que puedan tener algún efecto que se exacerbe con el ciclo de los Factores de Riesgo, conocidos en la práctica como "efectos pro-cíclicos", y la metodología para darles seguimiento, así como conocer los resultados de las métricas de riesgos definidas por la Comisión aplicadas a la cartera de inversión de la Sociedad de Inversión que corresponda y, en su caso ajustar las Estrategias de Inversión con Instrumentos Derivados, y</w:t>
      </w:r>
    </w:p>
    <w:p w:rsidR="00CA63EE" w:rsidRPr="00CA63EE" w:rsidRDefault="00CA63EE" w:rsidP="00CA63EE">
      <w:pPr>
        <w:jc w:val="both"/>
        <w:rPr>
          <w:rFonts w:ascii="Verdana" w:hAnsi="Verdana"/>
          <w:bCs/>
          <w:sz w:val="20"/>
        </w:rPr>
      </w:pPr>
      <w:r w:rsidRPr="00CA63EE">
        <w:rPr>
          <w:rFonts w:ascii="Verdana" w:hAnsi="Verdana"/>
          <w:bCs/>
          <w:sz w:val="20"/>
        </w:rPr>
        <w:t>X.          Deberá definir la política de cobertura de los Activos Objeto de Inversión denominados en las Divisas pertenecientes a los Grupos II y III del Anexo D de las presentes disposiciones, la cual deberá incluir al menos lo siguiente:</w:t>
      </w:r>
    </w:p>
    <w:p w:rsidR="00CA63EE" w:rsidRPr="00CA63EE" w:rsidRDefault="00CA63EE" w:rsidP="00CA63EE">
      <w:pPr>
        <w:jc w:val="both"/>
        <w:rPr>
          <w:rFonts w:ascii="Verdana" w:hAnsi="Verdana"/>
          <w:bCs/>
          <w:sz w:val="20"/>
        </w:rPr>
      </w:pPr>
      <w:r w:rsidRPr="00CA63EE">
        <w:rPr>
          <w:rFonts w:ascii="Verdana" w:hAnsi="Verdana"/>
          <w:bCs/>
          <w:sz w:val="20"/>
        </w:rPr>
        <w:t>i.    Los porcentajes de nivel de cobertura de dichos Activos Objeto de Inversión; la cobertura puede ser total o parcial, y</w:t>
      </w:r>
    </w:p>
    <w:p w:rsidR="00CA63EE" w:rsidRPr="00CA63EE" w:rsidRDefault="00CA63EE" w:rsidP="00CA63EE">
      <w:pPr>
        <w:jc w:val="both"/>
        <w:rPr>
          <w:rFonts w:ascii="Verdana" w:hAnsi="Verdana"/>
          <w:bCs/>
          <w:sz w:val="20"/>
        </w:rPr>
      </w:pPr>
      <w:r w:rsidRPr="00CA63EE">
        <w:rPr>
          <w:rFonts w:ascii="Verdana" w:hAnsi="Verdana"/>
          <w:bCs/>
          <w:sz w:val="20"/>
        </w:rPr>
        <w:t>ii.    Las políticas de seguimiento y acciones correctivas en caso de que las Sociedades de Inversión excedan el margen de desviación máximo a que se refiere el artículo 3, fracción XXI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xml:space="preserve">             Quedan prohibidas las coberturas indirectas de Divisas, conocidas en el idioma inglés como "proxy </w:t>
      </w:r>
      <w:proofErr w:type="spellStart"/>
      <w:r w:rsidRPr="00CA63EE">
        <w:rPr>
          <w:rFonts w:ascii="Verdana" w:hAnsi="Verdana"/>
          <w:bCs/>
          <w:sz w:val="20"/>
        </w:rPr>
        <w:t>hedge</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las fracciones I, II, III, IV, VI, VII, VIII, y X: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las fracciones V y IX: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
          <w:bCs/>
          <w:sz w:val="20"/>
        </w:rPr>
        <w:t>Artículo 35.- </w:t>
      </w:r>
      <w:r w:rsidRPr="00CA63EE">
        <w:rPr>
          <w:rFonts w:ascii="Verdana" w:hAnsi="Verdana"/>
          <w:bCs/>
          <w:sz w:val="20"/>
        </w:rPr>
        <w:t>Los Comités de Inversión de las Sociedades de Inversión, en caso de aprobar los contratos de intermediación en los que otorguen mandatos de inversión a Mandatarios, deberán:</w:t>
      </w:r>
    </w:p>
    <w:p w:rsidR="00CA63EE" w:rsidRPr="00CA63EE" w:rsidRDefault="00CA63EE" w:rsidP="00CA63EE">
      <w:pPr>
        <w:jc w:val="both"/>
        <w:rPr>
          <w:rFonts w:ascii="Verdana" w:hAnsi="Verdana"/>
          <w:bCs/>
          <w:sz w:val="20"/>
        </w:rPr>
      </w:pPr>
      <w:r w:rsidRPr="00CA63EE">
        <w:rPr>
          <w:rFonts w:ascii="Verdana" w:hAnsi="Verdana"/>
          <w:bCs/>
          <w:sz w:val="20"/>
        </w:rPr>
        <w:t xml:space="preserve">I.           Aprobar lineamientos internos para la operatividad del mandato y cumplimiento del régimen de inversión, dentro de los criterios operativos que al efecto haya definido la Comisión y el Comité de Análisis de Riesgos que hayan sido notificados a las Administradoras. Asimismo, las Administradoras podrán definir </w:t>
      </w:r>
      <w:r w:rsidRPr="00CA63EE">
        <w:rPr>
          <w:rFonts w:ascii="Verdana" w:hAnsi="Verdana"/>
          <w:bCs/>
          <w:sz w:val="20"/>
        </w:rPr>
        <w:lastRenderedPageBreak/>
        <w:t>lineamientos internos adicionales a los establecidos por la Comisión para la operatividad del mandato;</w:t>
      </w:r>
    </w:p>
    <w:p w:rsidR="00CA63EE" w:rsidRPr="00CA63EE" w:rsidRDefault="00CA63EE" w:rsidP="00CA63EE">
      <w:pPr>
        <w:jc w:val="both"/>
        <w:rPr>
          <w:rFonts w:ascii="Verdana" w:hAnsi="Verdana"/>
          <w:bCs/>
          <w:sz w:val="20"/>
        </w:rPr>
      </w:pPr>
      <w:r w:rsidRPr="00CA63EE">
        <w:rPr>
          <w:rFonts w:ascii="Verdana" w:hAnsi="Verdana"/>
          <w:bCs/>
          <w:sz w:val="20"/>
        </w:rPr>
        <w:t>II.          Definir el contenido de la solicitud de propuesta conocida en la práctica como "</w:t>
      </w:r>
      <w:proofErr w:type="spellStart"/>
      <w:r w:rsidRPr="00CA63EE">
        <w:rPr>
          <w:rFonts w:ascii="Verdana" w:hAnsi="Verdana"/>
          <w:bCs/>
          <w:sz w:val="20"/>
        </w:rPr>
        <w:t>Request</w:t>
      </w:r>
      <w:proofErr w:type="spellEnd"/>
      <w:r w:rsidRPr="00CA63EE">
        <w:rPr>
          <w:rFonts w:ascii="Verdana" w:hAnsi="Verdana"/>
          <w:bCs/>
          <w:sz w:val="20"/>
        </w:rPr>
        <w:t xml:space="preserve"> </w:t>
      </w:r>
      <w:proofErr w:type="spellStart"/>
      <w:r w:rsidRPr="00CA63EE">
        <w:rPr>
          <w:rFonts w:ascii="Verdana" w:hAnsi="Verdana"/>
          <w:bCs/>
          <w:sz w:val="20"/>
        </w:rPr>
        <w:t>for</w:t>
      </w:r>
      <w:proofErr w:type="spellEnd"/>
      <w:r w:rsidRPr="00CA63EE">
        <w:rPr>
          <w:rFonts w:ascii="Verdana" w:hAnsi="Verdana"/>
          <w:bCs/>
          <w:sz w:val="20"/>
        </w:rPr>
        <w:t> </w:t>
      </w:r>
      <w:proofErr w:type="spellStart"/>
      <w:r w:rsidRPr="00CA63EE">
        <w:rPr>
          <w:rFonts w:ascii="Verdana" w:hAnsi="Verdana"/>
          <w:bCs/>
          <w:sz w:val="20"/>
        </w:rPr>
        <w:t>Proposal</w:t>
      </w:r>
      <w:proofErr w:type="spellEnd"/>
      <w:r w:rsidRPr="00CA63EE">
        <w:rPr>
          <w:rFonts w:ascii="Verdana" w:hAnsi="Verdana"/>
          <w:bCs/>
          <w:sz w:val="20"/>
        </w:rPr>
        <w:t>", RFP, por su acrónimo en el idioma inglés, para seleccionar a los Mandatarios con los que celebrará el contrato de intermediación de conformidad con los lineamientos aprobados por el Comité de Análisis de Riesgos en esta materia, así mismo deberán asegurar la aplicación de las solicitudes de propuesta aprobadas;</w:t>
      </w:r>
    </w:p>
    <w:p w:rsidR="00CA63EE" w:rsidRPr="00CA63EE" w:rsidRDefault="00CA63EE" w:rsidP="00CA63EE">
      <w:pPr>
        <w:jc w:val="both"/>
        <w:rPr>
          <w:rFonts w:ascii="Verdana" w:hAnsi="Verdana"/>
          <w:bCs/>
          <w:sz w:val="20"/>
        </w:rPr>
      </w:pPr>
      <w:r w:rsidRPr="00CA63EE">
        <w:rPr>
          <w:rFonts w:ascii="Verdana" w:hAnsi="Verdana"/>
          <w:bCs/>
          <w:sz w:val="20"/>
        </w:rPr>
        <w:t>III.          Definir el contenido de los contratos de intermediación en los que otorguen mandatos de inversión a Mandatarios de conformidad con las Disposiciones de carácter general que establecen el régimen de inversión al que deberán sujetarse las Sociedades de Inversión emitidas por la Comisión, y los criterios definidos por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IV.         Definir el porcentaje de activos administrados que se otorgará a través de contratos de intermediación a los Mandatarios;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V.          Determinar el tipo de inversión de acuerdo a la región, activo, y horizonte de inversión para los que se encuentren autorizados, que la Sociedad de Inversión otorgará a los Mandatarios que en su caso hubiere contratado;</w:t>
      </w:r>
    </w:p>
    <w:p w:rsidR="00CA63EE" w:rsidRPr="00CA63EE" w:rsidRDefault="00CA63EE" w:rsidP="00CA63EE">
      <w:pPr>
        <w:jc w:val="both"/>
        <w:rPr>
          <w:rFonts w:ascii="Verdana" w:hAnsi="Verdana"/>
          <w:bCs/>
          <w:sz w:val="20"/>
        </w:rPr>
      </w:pPr>
      <w:r w:rsidRPr="00CA63EE">
        <w:rPr>
          <w:rFonts w:ascii="Verdana" w:hAnsi="Verdana"/>
          <w:bCs/>
          <w:sz w:val="20"/>
        </w:rPr>
        <w:t xml:space="preserve">VI.         Definir un portafolio de referencia con el que se evaluará el desempeño de cada Mandatario, el cual será acorde con el tipo de inversión que la Sociedad de Inversión hubiere </w:t>
      </w:r>
      <w:proofErr w:type="spellStart"/>
      <w:r w:rsidRPr="00CA63EE">
        <w:rPr>
          <w:rFonts w:ascii="Verdana" w:hAnsi="Verdana"/>
          <w:bCs/>
          <w:sz w:val="20"/>
        </w:rPr>
        <w:t>tercerizado</w:t>
      </w:r>
      <w:proofErr w:type="spellEnd"/>
      <w:r w:rsidRPr="00CA63EE">
        <w:rPr>
          <w:rFonts w:ascii="Verdana" w:hAnsi="Verdana"/>
          <w:bCs/>
          <w:sz w:val="20"/>
        </w:rPr>
        <w:t xml:space="preserve"> y, en su caso, un margen de desviación máximo sobre los ponderadores u otro criterio de desviación relativo a dicho portafolio. Sera responsabilidad de la UAIR dar seguimiento de estas medidas;</w:t>
      </w:r>
    </w:p>
    <w:p w:rsidR="00CA63EE" w:rsidRPr="00CA63EE" w:rsidRDefault="00CA63EE" w:rsidP="00CA63EE">
      <w:pPr>
        <w:jc w:val="both"/>
        <w:rPr>
          <w:rFonts w:ascii="Verdana" w:hAnsi="Verdana"/>
          <w:bCs/>
          <w:sz w:val="20"/>
        </w:rPr>
      </w:pPr>
      <w:r w:rsidRPr="00CA63EE">
        <w:rPr>
          <w:rFonts w:ascii="Verdana" w:hAnsi="Verdana"/>
          <w:bCs/>
          <w:sz w:val="20"/>
        </w:rPr>
        <w:t>VII.        Contar con una bitácora en la que se registren y actualicen las modificaciones al contrato con cada Mandatario, así como las desviaciones de éste, y</w:t>
      </w:r>
    </w:p>
    <w:p w:rsidR="00CA63EE" w:rsidRPr="00CA63EE" w:rsidRDefault="00CA63EE" w:rsidP="00CA63EE">
      <w:pPr>
        <w:jc w:val="both"/>
        <w:rPr>
          <w:rFonts w:ascii="Verdana" w:hAnsi="Verdana"/>
          <w:bCs/>
          <w:sz w:val="20"/>
        </w:rPr>
      </w:pPr>
      <w:r w:rsidRPr="00CA63EE">
        <w:rPr>
          <w:rFonts w:ascii="Verdana" w:hAnsi="Verdana"/>
          <w:bCs/>
          <w:sz w:val="20"/>
        </w:rPr>
        <w:t>VIII.        Determinar la periodicidad del cálculo, así como su horizonte de la atribución al riesgo y rendimiento de la cartera de inversión del Activo Administrado por el Mandatario aplicando una metodología aprobada por 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las fracciones I a V y VII: anualmente, y</w:t>
      </w:r>
    </w:p>
    <w:p w:rsidR="00CA63EE" w:rsidRPr="00CA63EE" w:rsidRDefault="00CA63EE" w:rsidP="00CA63EE">
      <w:pPr>
        <w:jc w:val="both"/>
        <w:rPr>
          <w:rFonts w:ascii="Verdana" w:hAnsi="Verdana"/>
          <w:bCs/>
          <w:sz w:val="20"/>
        </w:rPr>
      </w:pPr>
      <w:r w:rsidRPr="00CA63EE">
        <w:rPr>
          <w:rFonts w:ascii="Verdana" w:hAnsi="Verdana"/>
          <w:bCs/>
          <w:sz w:val="20"/>
        </w:rPr>
        <w:t>1.2. La información de la fracción VI: cuatrimestralmente.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Para efectos de analizar los rendimientos y riesgos que se provean al Comité de Inversión, se deberá señalar si dichas medidas se sujetan a estándares internacionales como los emitidos por "Global </w:t>
      </w:r>
      <w:proofErr w:type="spellStart"/>
      <w:r w:rsidRPr="00CA63EE">
        <w:rPr>
          <w:rFonts w:ascii="Verdana" w:hAnsi="Verdana"/>
          <w:bCs/>
          <w:sz w:val="20"/>
        </w:rPr>
        <w:t>Investment</w:t>
      </w:r>
      <w:proofErr w:type="spellEnd"/>
      <w:r w:rsidRPr="00CA63EE">
        <w:rPr>
          <w:rFonts w:ascii="Verdana" w:hAnsi="Verdana"/>
          <w:bCs/>
          <w:sz w:val="20"/>
        </w:rPr>
        <w:t xml:space="preserve"> Performance </w:t>
      </w:r>
      <w:proofErr w:type="spellStart"/>
      <w:r w:rsidRPr="00CA63EE">
        <w:rPr>
          <w:rFonts w:ascii="Verdana" w:hAnsi="Verdana"/>
          <w:bCs/>
          <w:sz w:val="20"/>
        </w:rPr>
        <w:t>Standards</w:t>
      </w:r>
      <w:proofErr w:type="spellEnd"/>
      <w:r w:rsidRPr="00CA63EE">
        <w:rPr>
          <w:rFonts w:ascii="Verdana" w:hAnsi="Verdana"/>
          <w:bCs/>
          <w:sz w:val="20"/>
        </w:rPr>
        <w:t>", GIPS, por su acrónimo en el idioma inglés y traducidos en el idioma español como Estándares Internacionales sobre Presentación de Resultados de las Inversiones, o algún otro estándar que cumpla con las mejores prácticas internacionales.</w:t>
      </w:r>
    </w:p>
    <w:p w:rsidR="00CA63EE" w:rsidRPr="00CA63EE" w:rsidRDefault="00CA63EE" w:rsidP="00CA63EE">
      <w:pPr>
        <w:jc w:val="both"/>
        <w:rPr>
          <w:rFonts w:ascii="Verdana" w:hAnsi="Verdana"/>
          <w:bCs/>
          <w:sz w:val="20"/>
        </w:rPr>
      </w:pPr>
      <w:r w:rsidRPr="00CA63EE">
        <w:rPr>
          <w:rFonts w:ascii="Verdana" w:hAnsi="Verdana"/>
          <w:b/>
          <w:bCs/>
          <w:sz w:val="20"/>
        </w:rPr>
        <w:t>Artículo 36.- </w:t>
      </w:r>
      <w:r w:rsidRPr="00CA63EE">
        <w:rPr>
          <w:rFonts w:ascii="Verdana" w:hAnsi="Verdana"/>
          <w:bCs/>
          <w:sz w:val="20"/>
        </w:rPr>
        <w:t>Los Comités de Inversión deberán definir un portafolio de referencia aplicable a la cartera de inversión del Activo Total de la Sociedad de Inversión con el que la Administradora evaluará el desempeño y el riesgo de cada Sociedad de Inversión que opere, describiendo los objetivos de inversión de largo plazo. Dicho portafolio de referencia deberá cumplir con lo establecido en las Disposiciones de carácter general que establecen el régimen de inversión al que deberán sujetarse las Sociedades de Inversión y los siguientes lineamientos:</w:t>
      </w:r>
    </w:p>
    <w:p w:rsidR="00CA63EE" w:rsidRPr="00CA63EE" w:rsidRDefault="00CA63EE" w:rsidP="00CA63EE">
      <w:pPr>
        <w:jc w:val="both"/>
        <w:rPr>
          <w:rFonts w:ascii="Verdana" w:hAnsi="Verdana"/>
          <w:bCs/>
          <w:sz w:val="20"/>
        </w:rPr>
      </w:pPr>
      <w:r w:rsidRPr="00CA63EE">
        <w:rPr>
          <w:rFonts w:ascii="Verdana" w:hAnsi="Verdana"/>
          <w:bCs/>
          <w:sz w:val="20"/>
        </w:rPr>
        <w:t>I.           El diseño del portafolio de referencia deberá considerar:</w:t>
      </w:r>
    </w:p>
    <w:p w:rsidR="00CA63EE" w:rsidRPr="00CA63EE" w:rsidRDefault="00CA63EE" w:rsidP="00CA63EE">
      <w:pPr>
        <w:jc w:val="both"/>
        <w:rPr>
          <w:rFonts w:ascii="Verdana" w:hAnsi="Verdana"/>
          <w:bCs/>
          <w:sz w:val="20"/>
        </w:rPr>
      </w:pPr>
      <w:r w:rsidRPr="00CA63EE">
        <w:rPr>
          <w:rFonts w:ascii="Verdana" w:hAnsi="Verdana"/>
          <w:bCs/>
          <w:sz w:val="20"/>
        </w:rPr>
        <w:t>a)   El horizonte de inversión más adecuado para invertir la cartera de inversión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b)   La conformación del portafolio de referencia, detallando los porcentajes de inversión autorizados cuando menos para cada uno de los siguientes conceptos:</w:t>
      </w:r>
    </w:p>
    <w:p w:rsidR="00CA63EE" w:rsidRPr="00CA63EE" w:rsidRDefault="00CA63EE" w:rsidP="00CA63EE">
      <w:pPr>
        <w:jc w:val="both"/>
        <w:rPr>
          <w:rFonts w:ascii="Verdana" w:hAnsi="Verdana"/>
          <w:bCs/>
          <w:sz w:val="20"/>
        </w:rPr>
      </w:pPr>
      <w:r w:rsidRPr="00CA63EE">
        <w:rPr>
          <w:rFonts w:ascii="Verdana" w:hAnsi="Verdana"/>
          <w:bCs/>
          <w:sz w:val="20"/>
        </w:rPr>
        <w:t>i.    Clases de Activo señaladas en la fracción VII, del artículo 2 de las presentes Disposiciones. El Comité de Inversión podrá considerar clases de activo para los portafolios de referencia adicionales a las previstas en el presente inciso;</w:t>
      </w:r>
    </w:p>
    <w:p w:rsidR="00CA63EE" w:rsidRPr="00CA63EE" w:rsidRDefault="00CA63EE" w:rsidP="00CA63EE">
      <w:pPr>
        <w:jc w:val="both"/>
        <w:rPr>
          <w:rFonts w:ascii="Verdana" w:hAnsi="Verdana"/>
          <w:bCs/>
          <w:sz w:val="20"/>
        </w:rPr>
      </w:pPr>
      <w:r w:rsidRPr="00CA63EE">
        <w:rPr>
          <w:rFonts w:ascii="Verdana" w:hAnsi="Verdana"/>
          <w:bCs/>
          <w:sz w:val="20"/>
        </w:rPr>
        <w:t>ii.    Inversiones realizadas directamente por las Sociedades de Inversión y a través de Vehículos y Mandatarios;</w:t>
      </w:r>
    </w:p>
    <w:p w:rsidR="00CA63EE" w:rsidRPr="00CA63EE" w:rsidRDefault="00CA63EE" w:rsidP="00CA63EE">
      <w:pPr>
        <w:jc w:val="both"/>
        <w:rPr>
          <w:rFonts w:ascii="Verdana" w:hAnsi="Verdana"/>
          <w:bCs/>
          <w:sz w:val="20"/>
        </w:rPr>
      </w:pPr>
      <w:r w:rsidRPr="00CA63EE">
        <w:rPr>
          <w:rFonts w:ascii="Verdana" w:hAnsi="Verdana"/>
          <w:bCs/>
          <w:sz w:val="20"/>
        </w:rPr>
        <w:t>iii.   Exposición a través de Derivados, cuantificada a través del valor delta y sujeta al Diferencial del Valor en Riesgo Condicional. Dentro de estas inversiones se debe señalar la exposición agregada por tipo de subyacente considerando Divisas, tasas de interés, acciones, Mercancías, referencias vinculadas a la inflación tales como las Unidades de Inversión, así como el porcentaje autorizado en mercados listados y en mercados extrabursátiles, y</w:t>
      </w:r>
    </w:p>
    <w:p w:rsidR="00CA63EE" w:rsidRPr="00CA63EE" w:rsidRDefault="00CA63EE" w:rsidP="00CA63EE">
      <w:pPr>
        <w:jc w:val="both"/>
        <w:rPr>
          <w:rFonts w:ascii="Verdana" w:hAnsi="Verdana"/>
          <w:bCs/>
          <w:sz w:val="20"/>
        </w:rPr>
      </w:pPr>
      <w:r w:rsidRPr="00CA63EE">
        <w:rPr>
          <w:rFonts w:ascii="Verdana" w:hAnsi="Verdana"/>
          <w:bCs/>
          <w:sz w:val="20"/>
        </w:rPr>
        <w:t>iv.   En cuanto a los Instrumentos de Deuda, deberán precisar los porcentajes autorizados de conformidad con la calificación crediticia y el plazo por vencer o duración.</w:t>
      </w:r>
    </w:p>
    <w:p w:rsidR="00CA63EE" w:rsidRPr="00CA63EE" w:rsidRDefault="00CA63EE" w:rsidP="00CA63EE">
      <w:pPr>
        <w:jc w:val="both"/>
        <w:rPr>
          <w:rFonts w:ascii="Verdana" w:hAnsi="Verdana"/>
          <w:bCs/>
          <w:sz w:val="20"/>
        </w:rPr>
      </w:pPr>
      <w:r w:rsidRPr="00CA63EE">
        <w:rPr>
          <w:rFonts w:ascii="Verdana" w:hAnsi="Verdana"/>
          <w:bCs/>
          <w:sz w:val="20"/>
        </w:rPr>
        <w:t>c)   Las características demográficas de cada Sociedad de Inversión que opere la Administradora, definiendo los supuestos y métodos de análisis demográficos utilizados, así como otras variables financieras y operativas que pudiesen modificar los requerimientos de liquidez, de tal forma que se identifique el cumplimiento de los objetivos de inversión de largo plazo. Asimismo, se deberá explicar la relación de los análisis previstos en el presente inciso con la determinación de los ponderadores del portafolio de referencia;</w:t>
      </w:r>
    </w:p>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Cs/>
          <w:sz w:val="20"/>
        </w:rPr>
        <w:t xml:space="preserve">d)   Los riesgos y los rendimientos esperados a 1, 3, 5 y 10 años. Los cálculos anteriores deberán ser realizados de acuerdo a las políticas que defina previamente el Comité de Inversión con la opinión favorable de la mayoría de los Consejeros Independientes, incluyendo la actualización de los insumos. El área de inversiones o, en su caso, el área de riesgos, deberán realizar los cálculos de los riesgos y rendimientos esperados a los que </w:t>
      </w:r>
      <w:proofErr w:type="spellStart"/>
      <w:r w:rsidRPr="00CA63EE">
        <w:rPr>
          <w:rFonts w:ascii="Verdana" w:hAnsi="Verdana"/>
          <w:bCs/>
          <w:sz w:val="20"/>
        </w:rPr>
        <w:t>serefiere</w:t>
      </w:r>
      <w:proofErr w:type="spellEnd"/>
      <w:r w:rsidRPr="00CA63EE">
        <w:rPr>
          <w:rFonts w:ascii="Verdana" w:hAnsi="Verdana"/>
          <w:bCs/>
          <w:sz w:val="20"/>
        </w:rPr>
        <w:t xml:space="preserve"> el presente inciso;</w:t>
      </w:r>
    </w:p>
    <w:p w:rsidR="00CA63EE" w:rsidRPr="00CA63EE" w:rsidRDefault="00CA63EE" w:rsidP="00CA63EE">
      <w:pPr>
        <w:jc w:val="both"/>
        <w:rPr>
          <w:rFonts w:ascii="Verdana" w:hAnsi="Verdana"/>
          <w:bCs/>
          <w:sz w:val="20"/>
        </w:rPr>
      </w:pPr>
      <w:r w:rsidRPr="00CA63EE">
        <w:rPr>
          <w:rFonts w:ascii="Verdana" w:hAnsi="Verdana"/>
          <w:bCs/>
          <w:sz w:val="20"/>
        </w:rPr>
        <w:t>e)   Las fórmulas de cálculo del nivel de rendimiento y de riesgo del portafolio de referencia;</w:t>
      </w:r>
    </w:p>
    <w:p w:rsidR="00CA63EE" w:rsidRPr="00CA63EE" w:rsidRDefault="00CA63EE" w:rsidP="00CA63EE">
      <w:pPr>
        <w:jc w:val="both"/>
        <w:rPr>
          <w:rFonts w:ascii="Verdana" w:hAnsi="Verdana"/>
          <w:bCs/>
          <w:sz w:val="20"/>
        </w:rPr>
      </w:pPr>
      <w:r w:rsidRPr="00CA63EE">
        <w:rPr>
          <w:rFonts w:ascii="Verdana" w:hAnsi="Verdana"/>
          <w:bCs/>
          <w:sz w:val="20"/>
        </w:rPr>
        <w:t>f)    Las fórmulas para la atribución de rendimiento y de riesgo de la cartera de inversión relativo al portafolio de referencia;</w:t>
      </w:r>
    </w:p>
    <w:p w:rsidR="00CA63EE" w:rsidRPr="00CA63EE" w:rsidRDefault="00CA63EE" w:rsidP="00CA63EE">
      <w:pPr>
        <w:jc w:val="both"/>
        <w:rPr>
          <w:rFonts w:ascii="Verdana" w:hAnsi="Verdana"/>
          <w:bCs/>
          <w:sz w:val="20"/>
        </w:rPr>
      </w:pPr>
      <w:r w:rsidRPr="00CA63EE">
        <w:rPr>
          <w:rFonts w:ascii="Verdana" w:hAnsi="Verdana"/>
          <w:bCs/>
          <w:sz w:val="20"/>
        </w:rPr>
        <w:t>g)   La metodología utilizada para fundamentar la asignación de los ponderadores del portafolio de referencia, por Clase de Activo o Factor de Riesgo, incluyendo el análisis de los resultados obtenidos, y</w:t>
      </w:r>
    </w:p>
    <w:p w:rsidR="00CA63EE" w:rsidRPr="00CA63EE" w:rsidRDefault="00CA63EE" w:rsidP="00CA63EE">
      <w:pPr>
        <w:jc w:val="both"/>
        <w:rPr>
          <w:rFonts w:ascii="Verdana" w:hAnsi="Verdana"/>
          <w:bCs/>
          <w:sz w:val="20"/>
        </w:rPr>
      </w:pPr>
      <w:r w:rsidRPr="00CA63EE">
        <w:rPr>
          <w:rFonts w:ascii="Verdana" w:hAnsi="Verdana"/>
          <w:bCs/>
          <w:sz w:val="20"/>
        </w:rPr>
        <w:t>h)   Clasificación de conformidad con los parámetros de liquidez de las inversiones, considerando tres escalas cualitativas referentes a la baja, media o alta liquidez. Para estos fines, el Comité de Inversión deberá definir los criterios para clasificar las inversiones en las tres escalas referidas.</w:t>
      </w:r>
    </w:p>
    <w:p w:rsidR="00CA63EE" w:rsidRPr="00CA63EE" w:rsidRDefault="00CA63EE" w:rsidP="00CA63EE">
      <w:pPr>
        <w:jc w:val="both"/>
        <w:rPr>
          <w:rFonts w:ascii="Verdana" w:hAnsi="Verdana"/>
          <w:bCs/>
          <w:sz w:val="20"/>
        </w:rPr>
      </w:pPr>
      <w:r w:rsidRPr="00CA63EE">
        <w:rPr>
          <w:rFonts w:ascii="Verdana" w:hAnsi="Verdana"/>
          <w:bCs/>
          <w:sz w:val="20"/>
        </w:rPr>
        <w:t>II.          La gobernanza del portafolio de referencia deberá incluir:</w:t>
      </w:r>
    </w:p>
    <w:p w:rsidR="00CA63EE" w:rsidRPr="00CA63EE" w:rsidRDefault="00CA63EE" w:rsidP="00CA63EE">
      <w:pPr>
        <w:jc w:val="both"/>
        <w:rPr>
          <w:rFonts w:ascii="Verdana" w:hAnsi="Verdana"/>
          <w:bCs/>
          <w:sz w:val="20"/>
        </w:rPr>
      </w:pPr>
      <w:r w:rsidRPr="00CA63EE">
        <w:rPr>
          <w:rFonts w:ascii="Verdana" w:hAnsi="Verdana"/>
          <w:bCs/>
          <w:sz w:val="20"/>
        </w:rPr>
        <w:t>a)   La política para la inclusión o exclusión de los Activos Objetivo de Inversión;</w:t>
      </w:r>
    </w:p>
    <w:p w:rsidR="00CA63EE" w:rsidRPr="00CA63EE" w:rsidRDefault="00CA63EE" w:rsidP="00CA63EE">
      <w:pPr>
        <w:jc w:val="both"/>
        <w:rPr>
          <w:rFonts w:ascii="Verdana" w:hAnsi="Verdana"/>
          <w:bCs/>
          <w:sz w:val="20"/>
        </w:rPr>
      </w:pPr>
      <w:r w:rsidRPr="00CA63EE">
        <w:rPr>
          <w:rFonts w:ascii="Verdana" w:hAnsi="Verdana"/>
          <w:bCs/>
          <w:sz w:val="20"/>
        </w:rPr>
        <w:t>b)   La política de inversión máxima para los Activos Objeto de Inversión no incluidos en el portafolio de referencia pero que forman parte de las carteras de inversión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c)   La definición de situaciones de mercado anormales y los planes de acción a seguir en estos casos;</w:t>
      </w:r>
    </w:p>
    <w:p w:rsidR="00CA63EE" w:rsidRPr="00CA63EE" w:rsidRDefault="00CA63EE" w:rsidP="00CA63EE">
      <w:pPr>
        <w:jc w:val="both"/>
        <w:rPr>
          <w:rFonts w:ascii="Verdana" w:hAnsi="Verdana"/>
          <w:bCs/>
          <w:sz w:val="20"/>
        </w:rPr>
      </w:pPr>
      <w:r w:rsidRPr="00CA63EE">
        <w:rPr>
          <w:rFonts w:ascii="Verdana" w:hAnsi="Verdana"/>
          <w:bCs/>
          <w:sz w:val="20"/>
        </w:rPr>
        <w:t>d)   La política de desviación entre el portafolio de referencia y la cartera de inversión, deberá incluir al menos:</w:t>
      </w:r>
    </w:p>
    <w:p w:rsidR="00CA63EE" w:rsidRPr="00CA63EE" w:rsidRDefault="00CA63EE" w:rsidP="00CA63EE">
      <w:pPr>
        <w:jc w:val="both"/>
        <w:rPr>
          <w:rFonts w:ascii="Verdana" w:hAnsi="Verdana"/>
          <w:bCs/>
          <w:sz w:val="20"/>
        </w:rPr>
      </w:pPr>
      <w:r w:rsidRPr="00CA63EE">
        <w:rPr>
          <w:rFonts w:ascii="Verdana" w:hAnsi="Verdana"/>
          <w:bCs/>
          <w:sz w:val="20"/>
        </w:rPr>
        <w:t>i.    La fórmula para el cálculo de dicha desviación, para la que se podrá considerar, entre otras, la conocida como "tracking error";</w:t>
      </w:r>
    </w:p>
    <w:p w:rsidR="00CA63EE" w:rsidRPr="00CA63EE" w:rsidRDefault="00CA63EE" w:rsidP="00CA63EE">
      <w:pPr>
        <w:jc w:val="both"/>
        <w:rPr>
          <w:rFonts w:ascii="Verdana" w:hAnsi="Verdana"/>
          <w:bCs/>
          <w:sz w:val="20"/>
        </w:rPr>
      </w:pPr>
      <w:r w:rsidRPr="00CA63EE">
        <w:rPr>
          <w:rFonts w:ascii="Verdana" w:hAnsi="Verdana"/>
          <w:bCs/>
          <w:sz w:val="20"/>
        </w:rPr>
        <w:t>ii.    La desviación máxima determinada a nivel agregado y por clase de activo o Factor de Riesgo, para lo cual se deberá incluir el sustento técnico de dicha desviación, y</w:t>
      </w:r>
    </w:p>
    <w:p w:rsidR="00CA63EE" w:rsidRPr="00CA63EE" w:rsidRDefault="00CA63EE" w:rsidP="00CA63EE">
      <w:pPr>
        <w:jc w:val="both"/>
        <w:rPr>
          <w:rFonts w:ascii="Verdana" w:hAnsi="Verdana"/>
          <w:bCs/>
          <w:sz w:val="20"/>
        </w:rPr>
      </w:pPr>
      <w:r w:rsidRPr="00CA63EE">
        <w:rPr>
          <w:rFonts w:ascii="Verdana" w:hAnsi="Verdana"/>
          <w:bCs/>
          <w:sz w:val="20"/>
        </w:rPr>
        <w:t>iii.   Horizonte de cálculo del nivel de desviación.</w:t>
      </w:r>
    </w:p>
    <w:p w:rsidR="00CA63EE" w:rsidRPr="00CA63EE" w:rsidRDefault="00CA63EE" w:rsidP="00CA63EE">
      <w:pPr>
        <w:jc w:val="both"/>
        <w:rPr>
          <w:rFonts w:ascii="Verdana" w:hAnsi="Verdana"/>
          <w:bCs/>
          <w:sz w:val="20"/>
        </w:rPr>
      </w:pPr>
      <w:r w:rsidRPr="00CA63EE">
        <w:rPr>
          <w:rFonts w:ascii="Verdana" w:hAnsi="Verdana"/>
          <w:bCs/>
          <w:sz w:val="20"/>
        </w:rPr>
        <w:t>e)   Las reglas para el rebalanceo del portafolio de referencia distinguiendo aquellas que apliquen a cada Clase de Activo o Factor de Riesgo incluidos en el portafolio de referencia, así como a nivel agregado, especificando la periodicidad con que se realizarán dichos rebalanceos;</w:t>
      </w:r>
    </w:p>
    <w:p w:rsidR="00CA63EE" w:rsidRPr="00CA63EE" w:rsidRDefault="00CA63EE" w:rsidP="00CA63EE">
      <w:pPr>
        <w:jc w:val="both"/>
        <w:rPr>
          <w:rFonts w:ascii="Verdana" w:hAnsi="Verdana"/>
          <w:bCs/>
          <w:sz w:val="20"/>
        </w:rPr>
      </w:pPr>
      <w:r w:rsidRPr="00CA63EE">
        <w:rPr>
          <w:rFonts w:ascii="Verdana" w:hAnsi="Verdana"/>
          <w:bCs/>
          <w:sz w:val="20"/>
        </w:rPr>
        <w:lastRenderedPageBreak/>
        <w:t>f)    Las políticas para modificar las ponderaciones del portafolio de referencia, y</w:t>
      </w:r>
    </w:p>
    <w:p w:rsidR="00CA63EE" w:rsidRPr="00CA63EE" w:rsidRDefault="00CA63EE" w:rsidP="00CA63EE">
      <w:pPr>
        <w:jc w:val="both"/>
        <w:rPr>
          <w:rFonts w:ascii="Verdana" w:hAnsi="Verdana"/>
          <w:bCs/>
          <w:sz w:val="20"/>
        </w:rPr>
      </w:pPr>
      <w:r w:rsidRPr="00CA63EE">
        <w:rPr>
          <w:rFonts w:ascii="Verdana" w:hAnsi="Verdana"/>
          <w:bCs/>
          <w:sz w:val="20"/>
        </w:rPr>
        <w:t>g)   Los criterios para realizar ajustes al portafolio de referencia en caso de no tener información completa de precios de los Activos Objeto de Inversión incluidos en dicho portafolio.</w:t>
      </w:r>
    </w:p>
    <w:p w:rsidR="00CA63EE" w:rsidRPr="00CA63EE" w:rsidRDefault="00CA63EE" w:rsidP="00CA63EE">
      <w:pPr>
        <w:jc w:val="both"/>
        <w:rPr>
          <w:rFonts w:ascii="Verdana" w:hAnsi="Verdana"/>
          <w:bCs/>
          <w:sz w:val="20"/>
        </w:rPr>
      </w:pPr>
      <w:r w:rsidRPr="00CA63EE">
        <w:rPr>
          <w:rFonts w:ascii="Verdana" w:hAnsi="Verdana"/>
          <w:bCs/>
          <w:sz w:val="20"/>
        </w:rPr>
        <w:t>III.          Seguimiento del portafolio de referencia por parte de los Comités:</w:t>
      </w:r>
    </w:p>
    <w:p w:rsidR="00CA63EE" w:rsidRPr="00CA63EE" w:rsidRDefault="00CA63EE" w:rsidP="00CA63EE">
      <w:pPr>
        <w:jc w:val="both"/>
        <w:rPr>
          <w:rFonts w:ascii="Verdana" w:hAnsi="Verdana"/>
          <w:bCs/>
          <w:sz w:val="20"/>
        </w:rPr>
      </w:pPr>
      <w:r w:rsidRPr="00CA63EE">
        <w:rPr>
          <w:rFonts w:ascii="Verdana" w:hAnsi="Verdana"/>
          <w:bCs/>
          <w:sz w:val="20"/>
        </w:rPr>
        <w:t>a)   Para dar cumplimiento con los cálculos previstos en la fracción I, inciso d) anterior y el cálculo de los rendimientos esperados previsto en el artículo 11, fracción III, la Administradora deberá definir como responsable al Comité de Inversión o al Comité de Riesgos Financieros. En caso de que la Administradora defina al Comité de Inversión, éste deberá:</w:t>
      </w:r>
    </w:p>
    <w:p w:rsidR="00CA63EE" w:rsidRPr="00CA63EE" w:rsidRDefault="00CA63EE" w:rsidP="00CA63EE">
      <w:pPr>
        <w:jc w:val="both"/>
        <w:rPr>
          <w:rFonts w:ascii="Verdana" w:hAnsi="Verdana"/>
          <w:bCs/>
          <w:sz w:val="20"/>
        </w:rPr>
      </w:pPr>
      <w:r w:rsidRPr="00CA63EE">
        <w:rPr>
          <w:rFonts w:ascii="Verdana" w:hAnsi="Verdana"/>
          <w:bCs/>
          <w:sz w:val="20"/>
        </w:rPr>
        <w:t>i.    Designar al Funcionario del área de inversiones responsable de dar cumplimiento a los cálculos previstos en la presente fracción, y</w:t>
      </w:r>
    </w:p>
    <w:p w:rsidR="00CA63EE" w:rsidRPr="00CA63EE" w:rsidRDefault="00CA63EE" w:rsidP="00CA63EE">
      <w:pPr>
        <w:jc w:val="both"/>
        <w:rPr>
          <w:rFonts w:ascii="Verdana" w:hAnsi="Verdana"/>
          <w:bCs/>
          <w:sz w:val="20"/>
        </w:rPr>
      </w:pPr>
      <w:r w:rsidRPr="00CA63EE">
        <w:rPr>
          <w:rFonts w:ascii="Verdana" w:hAnsi="Verdana"/>
          <w:bCs/>
          <w:sz w:val="20"/>
        </w:rPr>
        <w:t>ii.    Verificar que la designación y las actividades a realizar se incluyan en el Manual de Inversión.</w:t>
      </w:r>
    </w:p>
    <w:p w:rsidR="00CA63EE" w:rsidRPr="00CA63EE" w:rsidRDefault="00CA63EE" w:rsidP="00CA63EE">
      <w:pPr>
        <w:jc w:val="both"/>
        <w:rPr>
          <w:rFonts w:ascii="Verdana" w:hAnsi="Verdana"/>
          <w:bCs/>
          <w:sz w:val="20"/>
        </w:rPr>
      </w:pPr>
      <w:r w:rsidRPr="00CA63EE">
        <w:rPr>
          <w:rFonts w:ascii="Verdana" w:hAnsi="Verdana"/>
          <w:bCs/>
          <w:sz w:val="20"/>
        </w:rPr>
        <w:t>b)   La Administradora, a través de la UAIR, elaborará el análisis de atribución de rendimiento y de riesgo de la cartera de inversión del Activo Total de la Sociedad de Inversión relativo al portafolio de referencia aplicable a la cartera de inversión del Activo Total de la Sociedad de Inversión. Los Activos Administrados por los Mandatarios podrán ser excluidos para el análisis referido en el presente inciso;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c)   La Administradora, a través de la UAIR, deberá analizar las desviaciones entre los ponderadores definidos en los portafolios de referencia por clase de activo o Factor de Riesgo y la cartera de inversión del Activo Total de la Sociedad de Inversión. Los Activos Administrados por los Mandatarios podrán ser excluidos para lo previsto en este inciso, y</w:t>
      </w:r>
    </w:p>
    <w:p w:rsidR="00CA63EE" w:rsidRPr="00CA63EE" w:rsidRDefault="00CA63EE" w:rsidP="00CA63EE">
      <w:pPr>
        <w:jc w:val="both"/>
        <w:rPr>
          <w:rFonts w:ascii="Verdana" w:hAnsi="Verdana"/>
          <w:bCs/>
          <w:sz w:val="20"/>
        </w:rPr>
      </w:pPr>
      <w:r w:rsidRPr="00CA63EE">
        <w:rPr>
          <w:rFonts w:ascii="Verdana" w:hAnsi="Verdana"/>
          <w:bCs/>
          <w:sz w:val="20"/>
        </w:rPr>
        <w:t>d)   La Administradora deberá revelar la conformación del portafolio de referencia, así como la política de desviación entre éste y la cartera de inversión del Activo Total de la Sociedad de Inversión. Los Activos Administrados por los Mandatarios podrán ser excluidos para lo previsto en este inciso. Dicha revelación será a través de la página de Internet de la Administradora una vez aprobada por el Comité de Inversión, para lo cual podrán observar los contenidos del formato que se prevé en el Anexo K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IV.         La definición o modificación del portafolio de referencia requerirá:</w:t>
      </w:r>
    </w:p>
    <w:p w:rsidR="00CA63EE" w:rsidRPr="00CA63EE" w:rsidRDefault="00CA63EE" w:rsidP="00CA63EE">
      <w:pPr>
        <w:jc w:val="both"/>
        <w:rPr>
          <w:rFonts w:ascii="Verdana" w:hAnsi="Verdana"/>
          <w:bCs/>
          <w:sz w:val="20"/>
        </w:rPr>
      </w:pPr>
      <w:r w:rsidRPr="00CA63EE">
        <w:rPr>
          <w:rFonts w:ascii="Verdana" w:hAnsi="Verdana"/>
          <w:bCs/>
          <w:sz w:val="20"/>
        </w:rPr>
        <w:t>a)   Contar con las aprobaciones tanto del Comité de Inversiones como del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b)   Contar con el visto bueno de la mayoría de los Consejeros Independientes, y</w:t>
      </w:r>
    </w:p>
    <w:p w:rsidR="00CA63EE" w:rsidRPr="00CA63EE" w:rsidRDefault="00CA63EE" w:rsidP="00CA63EE">
      <w:pPr>
        <w:jc w:val="both"/>
        <w:rPr>
          <w:rFonts w:ascii="Verdana" w:hAnsi="Verdana"/>
          <w:bCs/>
          <w:sz w:val="20"/>
        </w:rPr>
      </w:pPr>
      <w:r w:rsidRPr="00CA63EE">
        <w:rPr>
          <w:rFonts w:ascii="Verdana" w:hAnsi="Verdana"/>
          <w:bCs/>
          <w:sz w:val="20"/>
        </w:rPr>
        <w:t>c)   Quedar asentada en las Actas Pormenorizadas de las sesiones de los Comités.</w:t>
      </w:r>
    </w:p>
    <w:p w:rsidR="00CA63EE" w:rsidRPr="00CA63EE" w:rsidRDefault="00CA63EE" w:rsidP="00CA63EE">
      <w:pPr>
        <w:jc w:val="both"/>
        <w:rPr>
          <w:rFonts w:ascii="Verdana" w:hAnsi="Verdana"/>
          <w:bCs/>
          <w:sz w:val="20"/>
        </w:rPr>
      </w:pPr>
      <w:r w:rsidRPr="00CA63EE">
        <w:rPr>
          <w:rFonts w:ascii="Verdana" w:hAnsi="Verdana"/>
          <w:bCs/>
          <w:sz w:val="20"/>
        </w:rPr>
        <w:lastRenderedPageBreak/>
        <w:t>El Responsable del Área de Inversiones deberá presentar ante el Comité de Inversión la información actualizada a que se refieren las fracciones anteriores con la periodicidad que se indica a continuación, o antes si dicho Comité así lo determina:</w:t>
      </w:r>
    </w:p>
    <w:p w:rsidR="00CA63EE" w:rsidRPr="00CA63EE" w:rsidRDefault="00CA63EE" w:rsidP="00CA63EE">
      <w:pPr>
        <w:jc w:val="both"/>
        <w:rPr>
          <w:rFonts w:ascii="Verdana" w:hAnsi="Verdana"/>
          <w:bCs/>
          <w:sz w:val="20"/>
        </w:rPr>
      </w:pPr>
      <w:r w:rsidRPr="00CA63EE">
        <w:rPr>
          <w:rFonts w:ascii="Verdana" w:hAnsi="Verdana"/>
          <w:bCs/>
          <w:sz w:val="20"/>
        </w:rPr>
        <w:t>1.1. La información de las fracciones I, incisos a), b) y c), II, inciso d), III, inciso d) y IV, inciso c): anualmente;</w:t>
      </w:r>
    </w:p>
    <w:p w:rsidR="00CA63EE" w:rsidRPr="00CA63EE" w:rsidRDefault="00CA63EE" w:rsidP="00CA63EE">
      <w:pPr>
        <w:jc w:val="both"/>
        <w:rPr>
          <w:rFonts w:ascii="Verdana" w:hAnsi="Verdana"/>
          <w:bCs/>
          <w:sz w:val="20"/>
        </w:rPr>
      </w:pPr>
      <w:r w:rsidRPr="00CA63EE">
        <w:rPr>
          <w:rFonts w:ascii="Verdana" w:hAnsi="Verdana"/>
          <w:bCs/>
          <w:sz w:val="20"/>
        </w:rPr>
        <w:t>1.2. La información de la fracción I, inciso d): cuatrimestralmente, y</w:t>
      </w:r>
    </w:p>
    <w:p w:rsidR="00CA63EE" w:rsidRPr="00CA63EE" w:rsidRDefault="00CA63EE" w:rsidP="00CA63EE">
      <w:pPr>
        <w:jc w:val="both"/>
        <w:rPr>
          <w:rFonts w:ascii="Verdana" w:hAnsi="Verdana"/>
          <w:bCs/>
          <w:sz w:val="20"/>
        </w:rPr>
      </w:pPr>
      <w:r w:rsidRPr="00CA63EE">
        <w:rPr>
          <w:rFonts w:ascii="Verdana" w:hAnsi="Verdana"/>
          <w:bCs/>
          <w:sz w:val="20"/>
        </w:rPr>
        <w:t>1.3. La información de la fracción III, incisos b) y c): mensualmente.</w:t>
      </w:r>
    </w:p>
    <w:p w:rsidR="00CA63EE" w:rsidRPr="00CA63EE" w:rsidRDefault="00CA63EE" w:rsidP="00CA63EE">
      <w:pPr>
        <w:jc w:val="both"/>
        <w:rPr>
          <w:rFonts w:ascii="Verdana" w:hAnsi="Verdana"/>
          <w:bCs/>
          <w:sz w:val="20"/>
        </w:rPr>
      </w:pPr>
      <w:r w:rsidRPr="00CA63EE">
        <w:rPr>
          <w:rFonts w:ascii="Verdana" w:hAnsi="Verdana"/>
          <w:bCs/>
          <w:sz w:val="20"/>
        </w:rPr>
        <w:t>El Responsable del Área de Inversiones deberá presentar ante el Comité de Inversión la información referida, en la sesión inmediata posterior a la fecha en que se cumpla la periodicidad antes descrita.</w:t>
      </w:r>
    </w:p>
    <w:p w:rsidR="00CA63EE" w:rsidRPr="00CA63EE" w:rsidRDefault="00CA63EE" w:rsidP="00CA63EE">
      <w:pPr>
        <w:jc w:val="both"/>
        <w:rPr>
          <w:rFonts w:ascii="Verdana" w:hAnsi="Verdana"/>
          <w:bCs/>
          <w:sz w:val="20"/>
        </w:rPr>
      </w:pPr>
      <w:r w:rsidRPr="00CA63EE">
        <w:rPr>
          <w:rFonts w:ascii="Verdana" w:hAnsi="Verdana"/>
          <w:bCs/>
          <w:sz w:val="20"/>
        </w:rPr>
        <w:t>La definición del portafolio de referencia, la desviación máxima autorizada respecto del portafolio de referencia y la cartera de inversión, así como las reglas de rebalanceo podrán ser ajustadas por el Comité de Inversión cada doce meses y la Administradora deberá informarlo a la Comisión a más tardar 5 días hábiles posteriores a los ajustes aprobados.</w:t>
      </w:r>
    </w:p>
    <w:p w:rsidR="00CA63EE" w:rsidRPr="00CA63EE" w:rsidRDefault="00CA63EE" w:rsidP="00CA63EE">
      <w:pPr>
        <w:jc w:val="both"/>
        <w:rPr>
          <w:rFonts w:ascii="Verdana" w:hAnsi="Verdana"/>
          <w:bCs/>
          <w:sz w:val="20"/>
        </w:rPr>
      </w:pPr>
      <w:r w:rsidRPr="00CA63EE">
        <w:rPr>
          <w:rFonts w:ascii="Verdana" w:hAnsi="Verdana"/>
          <w:bCs/>
          <w:sz w:val="20"/>
        </w:rPr>
        <w:t>La Administradora deberá tener a disposición de la Comisión evidencia de que el Contralor Normativo supervisó que lo relativo al portafolio de referencia corresponda con lo aprobado por el Comité de Inversiones y el Comité de Riesgos Financieros.</w:t>
      </w:r>
    </w:p>
    <w:p w:rsidR="00CA63EE" w:rsidRPr="00CA63EE" w:rsidRDefault="00CA63EE" w:rsidP="00CA63EE">
      <w:pPr>
        <w:jc w:val="both"/>
        <w:rPr>
          <w:rFonts w:ascii="Verdana" w:hAnsi="Verdana"/>
          <w:bCs/>
          <w:sz w:val="20"/>
        </w:rPr>
      </w:pPr>
      <w:r w:rsidRPr="00CA63EE">
        <w:rPr>
          <w:rFonts w:ascii="Verdana" w:hAnsi="Verdana"/>
          <w:b/>
          <w:bCs/>
          <w:sz w:val="20"/>
        </w:rPr>
        <w:t>Artículo 37.- </w:t>
      </w:r>
      <w:r w:rsidRPr="00CA63EE">
        <w:rPr>
          <w:rFonts w:ascii="Verdana" w:hAnsi="Verdana"/>
          <w:bCs/>
          <w:sz w:val="20"/>
        </w:rPr>
        <w:t>Los Comités de Inversión deberán conocer los resultados sobre las pruebas de cartera bajo escenarios de estrés que apruebe el Comité de Riesgos Financieros aplicables a la cartera de inversión del Activo Administrado por la Sociedad de Inversión, en términos de lo previsto en el artículo 63 de las presentes Disposiciones, y emitir su opinión, la cual quedará asentada en el Acta Pormenorizada de la sesión inmediata posterior a que reciban los resultados. Asimismo, los Comités de Inversión deberán conocer las evaluaciones de las medidas de Valor en Riesgo, Valor en Riesgo Condicional y Diferencial del Valor en Riesgo Condicional.</w:t>
      </w:r>
    </w:p>
    <w:p w:rsidR="00CA63EE" w:rsidRPr="00CA63EE" w:rsidRDefault="00CA63EE" w:rsidP="00CA63EE">
      <w:pPr>
        <w:jc w:val="both"/>
        <w:rPr>
          <w:rFonts w:ascii="Verdana" w:hAnsi="Verdana"/>
          <w:bCs/>
          <w:sz w:val="20"/>
        </w:rPr>
      </w:pPr>
      <w:r w:rsidRPr="00CA63EE">
        <w:rPr>
          <w:rFonts w:ascii="Verdana" w:hAnsi="Verdana"/>
          <w:b/>
          <w:bCs/>
          <w:sz w:val="20"/>
        </w:rPr>
        <w:t>Artículo 38.- </w:t>
      </w:r>
      <w:r w:rsidRPr="00CA63EE">
        <w:rPr>
          <w:rFonts w:ascii="Verdana" w:hAnsi="Verdana"/>
          <w:bCs/>
          <w:sz w:val="20"/>
        </w:rPr>
        <w:t>Los Comités de Inversión deberán dar seguimiento al cumplimiento de los criterios que emita el Comité de Análisis de Riesgos respecto a los Índices Accionarios de Países Elegibles para Inversiones, Índices Inmobiliarios de Países Elegibles para Inversiones, Índices de Deuda de Países Elegibles para Inversiones, Vehículos, Vehículos de Inversión Inmobiliaria, Mandatarios, Custodios y Mercancías que la Comisión notifique a cada Administradora o las Sociedades de Inversión que ésta opere.</w:t>
      </w:r>
    </w:p>
    <w:p w:rsidR="00CA63EE" w:rsidRPr="00CA63EE" w:rsidRDefault="00CA63EE" w:rsidP="00CA63EE">
      <w:pPr>
        <w:jc w:val="both"/>
        <w:rPr>
          <w:rFonts w:ascii="Verdana" w:hAnsi="Verdana"/>
          <w:bCs/>
          <w:sz w:val="20"/>
        </w:rPr>
      </w:pPr>
      <w:r w:rsidRPr="00CA63EE">
        <w:rPr>
          <w:rFonts w:ascii="Verdana" w:hAnsi="Verdana"/>
          <w:b/>
          <w:bCs/>
          <w:sz w:val="20"/>
        </w:rPr>
        <w:t>Artículo 39.- </w:t>
      </w:r>
      <w:r w:rsidRPr="00CA63EE">
        <w:rPr>
          <w:rFonts w:ascii="Verdana" w:hAnsi="Verdana"/>
          <w:bCs/>
          <w:sz w:val="20"/>
        </w:rPr>
        <w:t>Los Comités de Inversión deberán opinar y proponer mejoras a los mecanismos de operación financiera ante las situaciones de contingencia previstas en el Título III, Capítulo IV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40.- </w:t>
      </w:r>
      <w:r w:rsidRPr="00CA63EE">
        <w:rPr>
          <w:rFonts w:ascii="Verdana" w:hAnsi="Verdana"/>
          <w:bCs/>
          <w:sz w:val="20"/>
        </w:rPr>
        <w:t xml:space="preserve">El Comité de Inversión podrá optar por un conjunto de variables, requerimientos, políticas, evaluaciones, Factores de Riesgo y análisis diferentes a los </w:t>
      </w:r>
      <w:r w:rsidRPr="00CA63EE">
        <w:rPr>
          <w:rFonts w:ascii="Verdana" w:hAnsi="Verdana"/>
          <w:bCs/>
          <w:sz w:val="20"/>
        </w:rPr>
        <w:lastRenderedPageBreak/>
        <w:t>previstos en los artículos 28, fracción III, 29, fracción IX, 30, fracciones IV, V, y XIV, 31, fracciones III, V y VI, y 38, así como los contenidos previstos en el Anexo C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Lo anterior, deberá ser asentado en el Acta Pormenorizada de la sesión en que sea aprobado por el Comité de Inversión y deberá contar con el visto bueno de la mayoría de los Consejeros Independientes del referido Comité.</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Cuando algún Consejero Independiente del Comité de Inversión sea incorporado, dicho Consejero en un plazo no mayor a 60 días hábiles posteriores a la sesión en la que participe por primera vez, deberá manifestar su opinión respecto de las políticas aprobadas por el Comité de Inversión que sean vigentes sobre los asuntos previstos en los artículos 28, fracción III, 29, fracción IX, 30, fracciones IV, V, y XIV, 31, fracciones III, V, VI y VII, y 38, así como los contenidos previstos en el Anexo C de las presentes Disposiciones que continúen vigentes. El listado de los acuerdos sobre los que emita su opinión deberá asentarse en el </w:t>
      </w:r>
      <w:proofErr w:type="spellStart"/>
      <w:r w:rsidRPr="00CA63EE">
        <w:rPr>
          <w:rFonts w:ascii="Verdana" w:hAnsi="Verdana"/>
          <w:bCs/>
          <w:sz w:val="20"/>
        </w:rPr>
        <w:t>ActaPormenorizada</w:t>
      </w:r>
      <w:proofErr w:type="spellEnd"/>
      <w:r w:rsidRPr="00CA63EE">
        <w:rPr>
          <w:rFonts w:ascii="Verdana" w:hAnsi="Verdana"/>
          <w:bCs/>
          <w:sz w:val="20"/>
        </w:rPr>
        <w:t xml:space="preserve"> de la sesión que corresponda.</w:t>
      </w:r>
    </w:p>
    <w:p w:rsidR="00CA63EE" w:rsidRPr="00CA63EE" w:rsidRDefault="00CA63EE" w:rsidP="00CA63EE">
      <w:pPr>
        <w:jc w:val="both"/>
        <w:rPr>
          <w:rFonts w:ascii="Verdana" w:hAnsi="Verdana"/>
          <w:bCs/>
          <w:sz w:val="20"/>
        </w:rPr>
      </w:pPr>
      <w:r w:rsidRPr="00CA63EE">
        <w:rPr>
          <w:rFonts w:ascii="Verdana" w:hAnsi="Verdana"/>
          <w:b/>
          <w:bCs/>
          <w:sz w:val="20"/>
        </w:rPr>
        <w:t>Artículo 41.- </w:t>
      </w:r>
      <w:r w:rsidRPr="00CA63EE">
        <w:rPr>
          <w:rFonts w:ascii="Verdana" w:hAnsi="Verdana"/>
          <w:bCs/>
          <w:sz w:val="20"/>
        </w:rPr>
        <w:t>Los Comités de Inversión deberán definir las políticas y periodicidad de actualización, así como la mejora del Sistema Integral Automatizado que apliquen a sus actividades.</w:t>
      </w:r>
    </w:p>
    <w:p w:rsidR="00CA63EE" w:rsidRPr="00CA63EE" w:rsidRDefault="00CA63EE" w:rsidP="00CA63EE">
      <w:pPr>
        <w:jc w:val="both"/>
        <w:rPr>
          <w:rFonts w:ascii="Verdana" w:hAnsi="Verdana"/>
          <w:bCs/>
          <w:sz w:val="20"/>
        </w:rPr>
      </w:pPr>
      <w:r w:rsidRPr="00CA63EE">
        <w:rPr>
          <w:rFonts w:ascii="Verdana" w:hAnsi="Verdana"/>
          <w:bCs/>
          <w:sz w:val="20"/>
        </w:rPr>
        <w:t>La Administradora deberá designar como responsable a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éste no deberá tener conflicto de interés al realizar las referidas actividades.</w:t>
      </w:r>
    </w:p>
    <w:p w:rsidR="00CA63EE" w:rsidRPr="00CA63EE" w:rsidRDefault="00CA63EE" w:rsidP="00CA63EE">
      <w:pPr>
        <w:jc w:val="both"/>
        <w:rPr>
          <w:rFonts w:ascii="Verdana" w:hAnsi="Verdana"/>
          <w:bCs/>
          <w:sz w:val="20"/>
        </w:rPr>
      </w:pPr>
      <w:r w:rsidRPr="00CA63EE">
        <w:rPr>
          <w:rFonts w:ascii="Verdana" w:hAnsi="Verdana"/>
          <w:bCs/>
          <w:sz w:val="20"/>
        </w:rPr>
        <w:t xml:space="preserve">Los Comités de Riesgos Financieros o los Comités de Inversión deberán verificar que las políticas, periodicidad, así como las designaciones de los responsables referidas en el presente artículo sean incorporadas en el Manual de Políticas y Procedimientos para la Administración del Riesgo Financiero, el Manual de Inversión o, en el manual descrito en el artículo 62 de las presentes Disposiciones, según corresponda, dependiendo de la designación que sea efectuada por la Administradora, en términos de </w:t>
      </w:r>
      <w:proofErr w:type="spellStart"/>
      <w:r w:rsidRPr="00CA63EE">
        <w:rPr>
          <w:rFonts w:ascii="Verdana" w:hAnsi="Verdana"/>
          <w:bCs/>
          <w:sz w:val="20"/>
        </w:rPr>
        <w:t>loprevisto</w:t>
      </w:r>
      <w:proofErr w:type="spellEnd"/>
      <w:r w:rsidRPr="00CA63EE">
        <w:rPr>
          <w:rFonts w:ascii="Verdana" w:hAnsi="Verdana"/>
          <w:bCs/>
          <w:sz w:val="20"/>
        </w:rPr>
        <w:t xml:space="preserve"> en el párrafo anterior.</w:t>
      </w:r>
    </w:p>
    <w:p w:rsidR="00CA63EE" w:rsidRPr="00CA63EE" w:rsidRDefault="00CA63EE" w:rsidP="00CA63EE">
      <w:pPr>
        <w:jc w:val="both"/>
        <w:rPr>
          <w:rFonts w:ascii="Verdana" w:hAnsi="Verdana"/>
          <w:bCs/>
          <w:sz w:val="20"/>
        </w:rPr>
      </w:pPr>
      <w:r w:rsidRPr="00CA63EE">
        <w:rPr>
          <w:rFonts w:ascii="Verdana" w:hAnsi="Verdana"/>
          <w:b/>
          <w:bCs/>
          <w:sz w:val="20"/>
        </w:rPr>
        <w:t>Artículo 42.- </w:t>
      </w:r>
      <w:r w:rsidRPr="00CA63EE">
        <w:rPr>
          <w:rFonts w:ascii="Verdana" w:hAnsi="Verdana"/>
          <w:bCs/>
          <w:sz w:val="20"/>
        </w:rPr>
        <w:t>Los Comités de Inversión en coordinación con los Comités de Riesgos Financieros deberán definir las políticas y periodicidad de actualización y mejora de las interconexiones entre los módulos del Sistema Integral Automatizado que apliquen a las actividades de ambos Comités. Las interconexiones automatizadas entre módulos serán requeridas cuando éstos interactúen directamente.</w:t>
      </w:r>
    </w:p>
    <w:p w:rsidR="00CA63EE" w:rsidRPr="00CA63EE" w:rsidRDefault="00CA63EE" w:rsidP="00CA63EE">
      <w:pPr>
        <w:jc w:val="both"/>
        <w:rPr>
          <w:rFonts w:ascii="Verdana" w:hAnsi="Verdana"/>
          <w:bCs/>
          <w:sz w:val="20"/>
        </w:rPr>
      </w:pPr>
      <w:r w:rsidRPr="00CA63EE">
        <w:rPr>
          <w:rFonts w:ascii="Verdana" w:hAnsi="Verdana"/>
          <w:b/>
          <w:bCs/>
          <w:sz w:val="20"/>
        </w:rPr>
        <w:t>Artículo 43.- </w:t>
      </w:r>
      <w:r w:rsidRPr="00CA63EE">
        <w:rPr>
          <w:rFonts w:ascii="Verdana" w:hAnsi="Verdana"/>
          <w:bCs/>
          <w:sz w:val="20"/>
        </w:rPr>
        <w:t xml:space="preserve">El Comité de Inversión definirá las políticas para operaciones de compra o venta de Activos Objeto de Inversión negociadas a través de bolsas de valores, </w:t>
      </w:r>
      <w:r w:rsidRPr="00CA63EE">
        <w:rPr>
          <w:rFonts w:ascii="Verdana" w:hAnsi="Verdana"/>
          <w:bCs/>
          <w:sz w:val="20"/>
        </w:rPr>
        <w:lastRenderedPageBreak/>
        <w:t>Bolsas de Derivados o corros electrónicos abiertos simultáneamente a participantes financieros.</w:t>
      </w:r>
    </w:p>
    <w:p w:rsidR="00CA63EE" w:rsidRPr="00CA63EE" w:rsidRDefault="00CA63EE" w:rsidP="00CA63EE">
      <w:pPr>
        <w:jc w:val="both"/>
        <w:rPr>
          <w:rFonts w:ascii="Verdana" w:hAnsi="Verdana"/>
          <w:bCs/>
          <w:sz w:val="20"/>
        </w:rPr>
      </w:pPr>
      <w:r w:rsidRPr="00CA63EE">
        <w:rPr>
          <w:rFonts w:ascii="Verdana" w:hAnsi="Verdana"/>
          <w:b/>
          <w:bCs/>
          <w:sz w:val="20"/>
        </w:rPr>
        <w:t>Artículo 44.- </w:t>
      </w:r>
      <w:r w:rsidRPr="00CA63EE">
        <w:rPr>
          <w:rFonts w:ascii="Verdana" w:hAnsi="Verdana"/>
          <w:bCs/>
          <w:sz w:val="20"/>
        </w:rPr>
        <w:t>Los Comités de Inversión deberán hacer constar de manera expresa en las Actas Pormenorizadas, los conflictos de interés actuales y potenciales que en su caso existan entre la Administradora que opere a las Sociedades de Inversión y las personas con que tengan Nexo Patrimonial, ya sea directamente a través de operaciones de la Sociedad de Inversión o indirectamente a través de mandatos o análogos, en caso de aprobar la adquisición y conservación de Activos Objeto de Inversión, así como la inversión en Vehículos autorizados que hubieren sido colocados o estructurados por personas con que tengan Nexo Patrimonial, o cuando los flujos de recursos derivados de la inversión puedan ser recibidos por dichas personas.</w:t>
      </w:r>
    </w:p>
    <w:p w:rsidR="00CA63EE" w:rsidRPr="00CA63EE" w:rsidRDefault="00CA63EE" w:rsidP="00CA63EE">
      <w:pPr>
        <w:jc w:val="both"/>
        <w:rPr>
          <w:rFonts w:ascii="Verdana" w:hAnsi="Verdana"/>
          <w:bCs/>
          <w:sz w:val="20"/>
        </w:rPr>
      </w:pPr>
      <w:r w:rsidRPr="00CA63EE">
        <w:rPr>
          <w:rFonts w:ascii="Verdana" w:hAnsi="Verdana"/>
          <w:b/>
          <w:bCs/>
          <w:sz w:val="20"/>
        </w:rPr>
        <w:t>Artículo 45.- </w:t>
      </w:r>
      <w:r w:rsidRPr="00CA63EE">
        <w:rPr>
          <w:rFonts w:ascii="Verdana" w:hAnsi="Verdana"/>
          <w:bCs/>
          <w:sz w:val="20"/>
        </w:rPr>
        <w:t>El Comité de Inversión de cada Sociedad de Inversión, deberá integrarse cuando menos por cinco miembros, dentro de los cuales deberá contemplarse a un Consejero Independiente, al director general de la Administradora que opere a la Sociedad de Inversión y los demás miembros o Funcionarios que designe el Órgano de Gobierno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Las sesiones del Comité de Inversión deberán celebrarse de acuerdo a lo previsto en el artículo 42 de la Ley.</w:t>
      </w:r>
    </w:p>
    <w:p w:rsidR="00CA63EE" w:rsidRPr="00CA63EE" w:rsidRDefault="00CA63EE" w:rsidP="00CA63EE">
      <w:pPr>
        <w:jc w:val="both"/>
        <w:rPr>
          <w:rFonts w:ascii="Verdana" w:hAnsi="Verdana"/>
          <w:bCs/>
          <w:sz w:val="20"/>
        </w:rPr>
      </w:pPr>
      <w:r w:rsidRPr="00CA63EE">
        <w:rPr>
          <w:rFonts w:ascii="Verdana" w:hAnsi="Verdana"/>
          <w:bCs/>
          <w:sz w:val="20"/>
        </w:rPr>
        <w:t>Entre los miembros que designe el Órgano de Gobierno deberá contemplarse, en todo caso, a un consejero no independiente y al Responsable del Área de Inversiones de la Administradora.</w:t>
      </w:r>
    </w:p>
    <w:p w:rsidR="00CA63EE" w:rsidRPr="00CA63EE" w:rsidRDefault="00CA63EE" w:rsidP="00CA63EE">
      <w:pPr>
        <w:jc w:val="both"/>
        <w:rPr>
          <w:rFonts w:ascii="Verdana" w:hAnsi="Verdana"/>
          <w:bCs/>
          <w:sz w:val="20"/>
        </w:rPr>
      </w:pPr>
      <w:r w:rsidRPr="00CA63EE">
        <w:rPr>
          <w:rFonts w:ascii="Verdana" w:hAnsi="Verdana"/>
          <w:bCs/>
          <w:sz w:val="20"/>
        </w:rPr>
        <w:t>Cada miembro tendrá derecho a un voto. Los miembros del Comité de Inversión deberán establecer el procedimiento interno para la adopción de acuerdos en caso de empate en la votación.</w:t>
      </w:r>
    </w:p>
    <w:p w:rsidR="00CA63EE" w:rsidRPr="00CA63EE" w:rsidRDefault="00CA63EE" w:rsidP="00CA63EE">
      <w:pPr>
        <w:jc w:val="both"/>
        <w:rPr>
          <w:rFonts w:ascii="Verdana" w:hAnsi="Verdana"/>
          <w:bCs/>
          <w:sz w:val="20"/>
        </w:rPr>
      </w:pPr>
      <w:r w:rsidRPr="00CA63EE">
        <w:rPr>
          <w:rFonts w:ascii="Verdana" w:hAnsi="Verdana"/>
          <w:bCs/>
          <w:sz w:val="20"/>
        </w:rPr>
        <w:t xml:space="preserve">Las Actas Pormenorizadas de las sesiones del Comité de Inversión deberán estar a disposición de la Comisión, mismas que podrán presentarse en versión estenográfica o por medio de la grabación que cuente con los medios de seguridad necesarios que mantenga la integridad de la información y la transcripción correspondiente. Para tales efectos, el secretario de dicho Comité deberá asegurarse de elaborar e integrar el Acta Pormenorizada correspondiente. La Comisión podrá requerir más información sobre las sesiones del Comité de Inversión al secretario de dicho Comité. Las Actas Pormenorizadas deberán estar </w:t>
      </w:r>
      <w:proofErr w:type="spellStart"/>
      <w:r w:rsidRPr="00CA63EE">
        <w:rPr>
          <w:rFonts w:ascii="Verdana" w:hAnsi="Verdana"/>
          <w:bCs/>
          <w:sz w:val="20"/>
        </w:rPr>
        <w:t>debidamentefirmadas</w:t>
      </w:r>
      <w:proofErr w:type="spellEnd"/>
      <w:r w:rsidRPr="00CA63EE">
        <w:rPr>
          <w:rFonts w:ascii="Verdana" w:hAnsi="Verdana"/>
          <w:bCs/>
          <w:sz w:val="20"/>
        </w:rPr>
        <w:t xml:space="preserve"> por todos los integrantes que acudieron a la sesión del referido Comité en un plazo máximo de cuarenta y cinco días naturales posteriores a la celebración de la sesión.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Este Comité deberá sesionar cuando menos una vez al mes y sus sesiones serán válidas sólo si cuentan con quórum del 80% de sus miembros que participen con voto, dentro de los cuales se requerirá la asistencia del director general de la Administradora y de un Consejero Independiente. La ausencia del Consejero Independiente o del director general de la Administradora sólo podrá excusarse en dos ocasiones por </w:t>
      </w:r>
      <w:r w:rsidRPr="00CA63EE">
        <w:rPr>
          <w:rFonts w:ascii="Verdana" w:hAnsi="Verdana"/>
          <w:bCs/>
          <w:sz w:val="20"/>
        </w:rPr>
        <w:lastRenderedPageBreak/>
        <w:t>cada año calendario, debiendo designar el Comité a un responsable durante la ausencia de quien corresponda y únicamente para tales efectos.</w:t>
      </w:r>
    </w:p>
    <w:p w:rsidR="00CA63EE" w:rsidRPr="00CA63EE" w:rsidRDefault="00CA63EE" w:rsidP="00CA63EE">
      <w:pPr>
        <w:jc w:val="both"/>
        <w:rPr>
          <w:rFonts w:ascii="Verdana" w:hAnsi="Verdana"/>
          <w:bCs/>
          <w:sz w:val="20"/>
        </w:rPr>
      </w:pPr>
      <w:r w:rsidRPr="00CA63EE">
        <w:rPr>
          <w:rFonts w:ascii="Verdana" w:hAnsi="Verdana"/>
          <w:bCs/>
          <w:sz w:val="20"/>
        </w:rPr>
        <w:t>La aprobación de los acuerdos se hará por mayoría de votos, sin menoscabo de lo anterior se deberá cumplir con los requisitos de opinión de los Consejeros Independientes para los temas previstos en las presentes Disposiciones. Para el caso en que deban pronunciarse los Consejeros Independientes y estos tengan decisiones divididas empatadas, previamente a esta condición, este Comité debe definir quien tiene voto de calidad entre dichos consejeros.</w:t>
      </w:r>
    </w:p>
    <w:p w:rsidR="00CA63EE" w:rsidRPr="00CA63EE" w:rsidRDefault="00CA63EE" w:rsidP="00CA63EE">
      <w:pPr>
        <w:jc w:val="both"/>
        <w:rPr>
          <w:rFonts w:ascii="Verdana" w:hAnsi="Verdana"/>
          <w:bCs/>
          <w:sz w:val="20"/>
        </w:rPr>
      </w:pPr>
      <w:r w:rsidRPr="00CA63EE">
        <w:rPr>
          <w:rFonts w:ascii="Verdana" w:hAnsi="Verdana"/>
          <w:b/>
          <w:bCs/>
          <w:sz w:val="20"/>
        </w:rPr>
        <w:t>Artículo 46.- </w:t>
      </w:r>
      <w:r w:rsidRPr="00CA63EE">
        <w:rPr>
          <w:rFonts w:ascii="Verdana" w:hAnsi="Verdana"/>
          <w:bCs/>
          <w:sz w:val="20"/>
        </w:rPr>
        <w:t>El Comité de Inversión podrá crear subcomités que tengan por objeto analizar las políticas, estrategias, clases y tipo de Activos Objeto de Inversión que sean presentadas ante el Comité de Inversión. Para tales efectos, los subcomités deberán cumplir con lo siguiente:</w:t>
      </w:r>
    </w:p>
    <w:p w:rsidR="00CA63EE" w:rsidRPr="00CA63EE" w:rsidRDefault="00CA63EE" w:rsidP="00CA63EE">
      <w:pPr>
        <w:jc w:val="both"/>
        <w:rPr>
          <w:rFonts w:ascii="Verdana" w:hAnsi="Verdana"/>
          <w:bCs/>
          <w:sz w:val="20"/>
        </w:rPr>
      </w:pPr>
      <w:r w:rsidRPr="00CA63EE">
        <w:rPr>
          <w:rFonts w:ascii="Verdana" w:hAnsi="Verdana"/>
          <w:bCs/>
          <w:sz w:val="20"/>
        </w:rPr>
        <w:t>I.           Que estén constituidos en los términos que determinen los Comités de Inversión respectivos;</w:t>
      </w:r>
    </w:p>
    <w:p w:rsidR="00CA63EE" w:rsidRPr="00CA63EE" w:rsidRDefault="00CA63EE" w:rsidP="00CA63EE">
      <w:pPr>
        <w:jc w:val="both"/>
        <w:rPr>
          <w:rFonts w:ascii="Verdana" w:hAnsi="Verdana"/>
          <w:bCs/>
          <w:sz w:val="20"/>
        </w:rPr>
      </w:pPr>
      <w:r w:rsidRPr="00CA63EE">
        <w:rPr>
          <w:rFonts w:ascii="Verdana" w:hAnsi="Verdana"/>
          <w:bCs/>
          <w:sz w:val="20"/>
        </w:rPr>
        <w:t>II.          Que se documente la información relativa al funcionamiento de los subcomités, señalando como mínimo los integrantes, invitados, facultades, políticas, estrategias y mecanismos de rendición de cuentas hacia el Comité de Inversión, y</w:t>
      </w:r>
    </w:p>
    <w:p w:rsidR="00CA63EE" w:rsidRPr="00CA63EE" w:rsidRDefault="00CA63EE" w:rsidP="00CA63EE">
      <w:pPr>
        <w:jc w:val="both"/>
        <w:rPr>
          <w:rFonts w:ascii="Verdana" w:hAnsi="Verdana"/>
          <w:bCs/>
          <w:sz w:val="20"/>
        </w:rPr>
      </w:pPr>
      <w:r w:rsidRPr="00CA63EE">
        <w:rPr>
          <w:rFonts w:ascii="Verdana" w:hAnsi="Verdana"/>
          <w:bCs/>
          <w:sz w:val="20"/>
        </w:rPr>
        <w:t>III.          Las actividades que realicen los subcomités deberán ser avaladas por los Comités de Inversión, quedando asentadas en las correspondientes Actas Pormenorizadas, así como reveladas en el Manual de Inversión.</w:t>
      </w:r>
    </w:p>
    <w:p w:rsidR="00CA63EE" w:rsidRPr="00CA63EE" w:rsidRDefault="00CA63EE" w:rsidP="00CA63EE">
      <w:pPr>
        <w:jc w:val="both"/>
        <w:rPr>
          <w:rFonts w:ascii="Verdana" w:hAnsi="Verdana"/>
          <w:bCs/>
          <w:sz w:val="20"/>
        </w:rPr>
      </w:pPr>
      <w:r w:rsidRPr="00CA63EE">
        <w:rPr>
          <w:rFonts w:ascii="Verdana" w:hAnsi="Verdana"/>
          <w:bCs/>
          <w:sz w:val="20"/>
        </w:rPr>
        <w:t>Dentro de las actividades que los subcomités realicen se podrá contemplar la preparación de la documentación necesaria para la toma de decisiones del citado Comité de Inversión, la cual deberá estar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La creación de subcomités no exime al Comité de Inversión de contar con la información necesaria para su toma de decisiones y dar cabal cumplimiento, a las obligaciones previstas en la normatividad vigente.</w:t>
      </w:r>
    </w:p>
    <w:p w:rsidR="00CA63EE" w:rsidRPr="00CA63EE" w:rsidRDefault="00CA63EE" w:rsidP="00CA63EE">
      <w:pPr>
        <w:jc w:val="both"/>
        <w:rPr>
          <w:rFonts w:ascii="Verdana" w:hAnsi="Verdana"/>
          <w:bCs/>
          <w:sz w:val="20"/>
        </w:rPr>
      </w:pPr>
      <w:r w:rsidRPr="00CA63EE">
        <w:rPr>
          <w:rFonts w:ascii="Verdana" w:hAnsi="Verdana"/>
          <w:b/>
          <w:bCs/>
          <w:sz w:val="20"/>
        </w:rPr>
        <w:t>Artículo 47.- </w:t>
      </w:r>
      <w:r w:rsidRPr="00CA63EE">
        <w:rPr>
          <w:rFonts w:ascii="Verdana" w:hAnsi="Verdana"/>
          <w:bCs/>
          <w:sz w:val="20"/>
        </w:rPr>
        <w:t>Los Contralores Normativos y los responsables del área de riesgos deberán asistir a las sesiones de los Comités de Inversión que opere la Administradora para la cual presten sus servicios. En todo caso participarán con voz pero sin voto.</w:t>
      </w:r>
    </w:p>
    <w:p w:rsidR="00CA63EE" w:rsidRPr="00CA63EE" w:rsidRDefault="00CA63EE" w:rsidP="00CA63EE">
      <w:pPr>
        <w:jc w:val="both"/>
        <w:rPr>
          <w:rFonts w:ascii="Verdana" w:hAnsi="Verdana"/>
          <w:bCs/>
          <w:sz w:val="20"/>
        </w:rPr>
      </w:pPr>
      <w:r w:rsidRPr="00CA63EE">
        <w:rPr>
          <w:rFonts w:ascii="Verdana" w:hAnsi="Verdana"/>
          <w:bCs/>
          <w:sz w:val="20"/>
        </w:rPr>
        <w:t>Asimismo, los Contralores Normativos deberán asistir a las sesiones de los Comités de Riesgos Financieros que opere la Administradora para la cual presten sus servicios. En todo caso participarán con voz pero sin voto.</w:t>
      </w:r>
    </w:p>
    <w:p w:rsidR="00CA63EE" w:rsidRPr="00CA63EE" w:rsidRDefault="00CA63EE" w:rsidP="00CA63EE">
      <w:pPr>
        <w:jc w:val="both"/>
        <w:rPr>
          <w:rFonts w:ascii="Verdana" w:hAnsi="Verdana"/>
          <w:bCs/>
          <w:sz w:val="20"/>
        </w:rPr>
      </w:pPr>
      <w:r w:rsidRPr="00CA63EE">
        <w:rPr>
          <w:rFonts w:ascii="Verdana" w:hAnsi="Verdana"/>
          <w:b/>
          <w:bCs/>
          <w:sz w:val="20"/>
        </w:rPr>
        <w:t>Artículo 48.- </w:t>
      </w:r>
      <w:r w:rsidRPr="00CA63EE">
        <w:rPr>
          <w:rFonts w:ascii="Verdana" w:hAnsi="Verdana"/>
          <w:bCs/>
          <w:sz w:val="20"/>
        </w:rPr>
        <w:t>Los miembros del Comité de Inversión con voz y voto no podrán ser miembros del Comité de Riesgos Financieros con excepción del director general de la Administradora que opere a la Sociedad de Inversión de que se trate.</w:t>
      </w:r>
    </w:p>
    <w:p w:rsidR="00CA63EE" w:rsidRPr="00CA63EE" w:rsidRDefault="00CA63EE" w:rsidP="00CA63EE">
      <w:pPr>
        <w:jc w:val="both"/>
        <w:rPr>
          <w:rFonts w:ascii="Verdana" w:hAnsi="Verdana"/>
          <w:bCs/>
          <w:sz w:val="20"/>
        </w:rPr>
      </w:pPr>
      <w:r w:rsidRPr="00CA63EE">
        <w:rPr>
          <w:rFonts w:ascii="Verdana" w:hAnsi="Verdana"/>
          <w:b/>
          <w:bCs/>
          <w:sz w:val="20"/>
        </w:rPr>
        <w:t>Artículo 49.- </w:t>
      </w:r>
      <w:r w:rsidRPr="00CA63EE">
        <w:rPr>
          <w:rFonts w:ascii="Verdana" w:hAnsi="Verdana"/>
          <w:bCs/>
          <w:sz w:val="20"/>
        </w:rPr>
        <w:t>Los Consejeros Independientes que sean miembros de un Comité de Inversión, deberán acreditar la experiencia mínima de cinco años a que se refiere el artículo 50 fracción I de la Ley, en materia financiera.</w:t>
      </w:r>
    </w:p>
    <w:p w:rsidR="00CA63EE" w:rsidRPr="00CA63EE" w:rsidRDefault="00CA63EE" w:rsidP="00CA63EE">
      <w:pPr>
        <w:jc w:val="both"/>
        <w:rPr>
          <w:rFonts w:ascii="Verdana" w:hAnsi="Verdana"/>
          <w:bCs/>
          <w:sz w:val="20"/>
        </w:rPr>
      </w:pPr>
      <w:r w:rsidRPr="00CA63EE">
        <w:rPr>
          <w:rFonts w:ascii="Verdana" w:hAnsi="Verdana"/>
          <w:bCs/>
          <w:sz w:val="20"/>
        </w:rPr>
        <w:lastRenderedPageBreak/>
        <w:t>Los Consejeros Independientes y los asistentes a las sesiones del Comité de Inversión deberán manifestar los potenciales conflictos de interés que en su caso enfrenten sobre los temas de gestión de las carteras de inversión que sean objeto de su evaluación. Los Consejeros Independientes deberán abstenerse de ejercer su derecho de voto en los casos en que hubieren manifestado enfrentar un conflicto de interés.</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DEL RESPONSABLE DEL ÁREA DE INVERSIONES</w:t>
      </w:r>
    </w:p>
    <w:p w:rsidR="00CA63EE" w:rsidRPr="00CA63EE" w:rsidRDefault="00CA63EE" w:rsidP="00CA63EE">
      <w:pPr>
        <w:jc w:val="both"/>
        <w:rPr>
          <w:rFonts w:ascii="Verdana" w:hAnsi="Verdana"/>
          <w:bCs/>
          <w:sz w:val="20"/>
        </w:rPr>
      </w:pPr>
      <w:r w:rsidRPr="00CA63EE">
        <w:rPr>
          <w:rFonts w:ascii="Verdana" w:hAnsi="Verdana"/>
          <w:b/>
          <w:bCs/>
          <w:sz w:val="20"/>
        </w:rPr>
        <w:t>Artículo 50.- </w:t>
      </w:r>
      <w:r w:rsidRPr="00CA63EE">
        <w:rPr>
          <w:rFonts w:ascii="Verdana" w:hAnsi="Verdana"/>
          <w:bCs/>
          <w:sz w:val="20"/>
        </w:rPr>
        <w:t>Cada Administradora deberá contar con un Responsable del Área de Inversiones. El Responsable del Área de Inversiones deberá ser un Funcionario que reporte directamente al director general de la Administradora de acuerdo a la estructura organizacional de la Administradora. Para ser Responsable del Área de Inversiones se deberá cumplir con los siguientes requisitos:</w:t>
      </w:r>
    </w:p>
    <w:p w:rsidR="00CA63EE" w:rsidRPr="00CA63EE" w:rsidRDefault="00CA63EE" w:rsidP="00CA63EE">
      <w:pPr>
        <w:jc w:val="both"/>
        <w:rPr>
          <w:rFonts w:ascii="Verdana" w:hAnsi="Verdana"/>
          <w:bCs/>
          <w:sz w:val="20"/>
        </w:rPr>
      </w:pPr>
      <w:r w:rsidRPr="00CA63EE">
        <w:rPr>
          <w:rFonts w:ascii="Verdana" w:hAnsi="Verdana"/>
          <w:bCs/>
          <w:sz w:val="20"/>
        </w:rPr>
        <w:t>I.           Acreditar ante la Comisión solvencia moral, así como capacidad técnica y administrativa:</w:t>
      </w:r>
    </w:p>
    <w:p w:rsidR="00CA63EE" w:rsidRPr="00CA63EE" w:rsidRDefault="00CA63EE" w:rsidP="00CA63EE">
      <w:pPr>
        <w:jc w:val="both"/>
        <w:rPr>
          <w:rFonts w:ascii="Verdana" w:hAnsi="Verdana"/>
          <w:bCs/>
          <w:sz w:val="20"/>
        </w:rPr>
      </w:pPr>
      <w:r w:rsidRPr="00CA63EE">
        <w:rPr>
          <w:rFonts w:ascii="Verdana" w:hAnsi="Verdana"/>
          <w:bCs/>
          <w:sz w:val="20"/>
        </w:rPr>
        <w:t>a)   Se considera que una persona tiene solvencia moral cuando:</w:t>
      </w:r>
    </w:p>
    <w:p w:rsidR="00CA63EE" w:rsidRPr="00CA63EE" w:rsidRDefault="00CA63EE" w:rsidP="00CA63EE">
      <w:pPr>
        <w:jc w:val="both"/>
        <w:rPr>
          <w:rFonts w:ascii="Verdana" w:hAnsi="Verdana"/>
          <w:bCs/>
          <w:sz w:val="20"/>
        </w:rPr>
      </w:pPr>
      <w:r w:rsidRPr="00CA63EE">
        <w:rPr>
          <w:rFonts w:ascii="Verdana" w:hAnsi="Verdana"/>
          <w:bCs/>
          <w:sz w:val="20"/>
        </w:rPr>
        <w:t>i.    No esté inhabilitada para ejercer el comercio o para desempeñar un empleo, cargo o comisión en el servicio público, o en el sistema financiero mexicano;</w:t>
      </w:r>
    </w:p>
    <w:p w:rsidR="00CA63EE" w:rsidRPr="00CA63EE" w:rsidRDefault="00CA63EE" w:rsidP="00CA63EE">
      <w:pPr>
        <w:jc w:val="both"/>
        <w:rPr>
          <w:rFonts w:ascii="Verdana" w:hAnsi="Verdana"/>
          <w:bCs/>
          <w:sz w:val="20"/>
        </w:rPr>
      </w:pPr>
      <w:r w:rsidRPr="00CA63EE">
        <w:rPr>
          <w:rFonts w:ascii="Verdana" w:hAnsi="Verdana"/>
          <w:bCs/>
          <w:sz w:val="20"/>
        </w:rPr>
        <w:t>ii.    No haya sido condenada por sentencia firme por delito doloso, y</w:t>
      </w:r>
    </w:p>
    <w:p w:rsidR="00CA63EE" w:rsidRPr="00CA63EE" w:rsidRDefault="00CA63EE" w:rsidP="00CA63EE">
      <w:pPr>
        <w:jc w:val="both"/>
        <w:rPr>
          <w:rFonts w:ascii="Verdana" w:hAnsi="Verdana"/>
          <w:bCs/>
          <w:sz w:val="20"/>
        </w:rPr>
      </w:pPr>
      <w:r w:rsidRPr="00CA63EE">
        <w:rPr>
          <w:rFonts w:ascii="Verdana" w:hAnsi="Verdana"/>
          <w:bCs/>
          <w:sz w:val="20"/>
        </w:rPr>
        <w:t>iii.   Goce de reconocido prestigio profesional.</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b)   Para cumplir con el requisito de capacidad técnica y administrativa deberán probar una experiencia profesional de cuando menos siete años en la gestión de carteras de inversión, y</w:t>
      </w:r>
    </w:p>
    <w:p w:rsidR="00CA63EE" w:rsidRPr="00CA63EE" w:rsidRDefault="00CA63EE" w:rsidP="00CA63EE">
      <w:pPr>
        <w:jc w:val="both"/>
        <w:rPr>
          <w:rFonts w:ascii="Verdana" w:hAnsi="Verdana"/>
          <w:bCs/>
          <w:sz w:val="20"/>
        </w:rPr>
      </w:pPr>
      <w:r w:rsidRPr="00CA63EE">
        <w:rPr>
          <w:rFonts w:ascii="Verdana" w:hAnsi="Verdana"/>
          <w:bCs/>
          <w:sz w:val="20"/>
        </w:rPr>
        <w:t>II.          Manifestar bajo protesta de decir verdad ante la Administradora, que conoce el código de ética elaborado por la Administradora a la que preste sus servicios, al que deberá sujetarse para la realización de inversiones personales a efecto de evitar cualquier tipo de conflictos de interés.</w:t>
      </w:r>
    </w:p>
    <w:p w:rsidR="00CA63EE" w:rsidRPr="00CA63EE" w:rsidRDefault="00CA63EE" w:rsidP="00CA63EE">
      <w:pPr>
        <w:jc w:val="both"/>
        <w:rPr>
          <w:rFonts w:ascii="Verdana" w:hAnsi="Verdana"/>
          <w:bCs/>
          <w:sz w:val="20"/>
        </w:rPr>
      </w:pPr>
      <w:r w:rsidRPr="00CA63EE">
        <w:rPr>
          <w:rFonts w:ascii="Verdana" w:hAnsi="Verdana"/>
          <w:b/>
          <w:bCs/>
          <w:sz w:val="20"/>
        </w:rPr>
        <w:t>Artículo 51.- </w:t>
      </w:r>
      <w:r w:rsidRPr="00CA63EE">
        <w:rPr>
          <w:rFonts w:ascii="Verdana" w:hAnsi="Verdana"/>
          <w:bCs/>
          <w:sz w:val="20"/>
        </w:rPr>
        <w:t>El Responsable del Área de Inversiones tendrá a su cargo, cuando menos, las siguientes funciones:</w:t>
      </w:r>
    </w:p>
    <w:p w:rsidR="00CA63EE" w:rsidRPr="00CA63EE" w:rsidRDefault="00CA63EE" w:rsidP="00CA63EE">
      <w:pPr>
        <w:jc w:val="both"/>
        <w:rPr>
          <w:rFonts w:ascii="Verdana" w:hAnsi="Verdana"/>
          <w:bCs/>
          <w:sz w:val="20"/>
        </w:rPr>
      </w:pPr>
      <w:r w:rsidRPr="00CA63EE">
        <w:rPr>
          <w:rFonts w:ascii="Verdana" w:hAnsi="Verdana"/>
          <w:bCs/>
          <w:sz w:val="20"/>
        </w:rPr>
        <w:t xml:space="preserve">I.           Ser responsable de la ejecución de la política y Estrategia de Inversión determinada por el Comité de Inversión, dentro de los parámetros establecidos por los Comités de Inversión y de Riesgos Financieros de la Sociedad de Inversión, para lo cual deberá ejecutar dicha estrategia con base en los recursos disponibles para tales fines de la propia Administradora, o en su caso, girar las instrucciones correspondientes a otros Operadores, o bien a Prestadores de Servicios Financieros, incluyendo los Mandatarios. Asimismo, deberá revisar los reportes que </w:t>
      </w:r>
      <w:proofErr w:type="spellStart"/>
      <w:r w:rsidRPr="00CA63EE">
        <w:rPr>
          <w:rFonts w:ascii="Verdana" w:hAnsi="Verdana"/>
          <w:bCs/>
          <w:sz w:val="20"/>
        </w:rPr>
        <w:t>emitanlos</w:t>
      </w:r>
      <w:proofErr w:type="spellEnd"/>
      <w:r w:rsidRPr="00CA63EE">
        <w:rPr>
          <w:rFonts w:ascii="Verdana" w:hAnsi="Verdana"/>
          <w:bCs/>
          <w:sz w:val="20"/>
        </w:rPr>
        <w:t> Mandatarios;</w:t>
      </w:r>
    </w:p>
    <w:p w:rsidR="00CA63EE" w:rsidRPr="00CA63EE" w:rsidRDefault="00CA63EE" w:rsidP="00CA63EE">
      <w:pPr>
        <w:jc w:val="both"/>
        <w:rPr>
          <w:rFonts w:ascii="Verdana" w:hAnsi="Verdana"/>
          <w:bCs/>
          <w:sz w:val="20"/>
        </w:rPr>
      </w:pPr>
      <w:r w:rsidRPr="00CA63EE">
        <w:rPr>
          <w:rFonts w:ascii="Verdana" w:hAnsi="Verdana"/>
          <w:bCs/>
          <w:sz w:val="20"/>
        </w:rPr>
        <w:lastRenderedPageBreak/>
        <w:t>II.          Realizar sus funciones de acuerdo a la normatividad externa e interna en el desempeño de su cargo y del área de inversiones. Dicha normatividad incluye las Leyes, Reglamentos, Circulares, Lineamientos y otras Disposiciones del Sistema de Ahorro para el Retiro en materia de inversiones, y</w:t>
      </w:r>
    </w:p>
    <w:p w:rsidR="00CA63EE" w:rsidRPr="00CA63EE" w:rsidRDefault="00CA63EE" w:rsidP="00CA63EE">
      <w:pPr>
        <w:jc w:val="both"/>
        <w:rPr>
          <w:rFonts w:ascii="Verdana" w:hAnsi="Verdana"/>
          <w:bCs/>
          <w:sz w:val="20"/>
        </w:rPr>
      </w:pPr>
      <w:r w:rsidRPr="00CA63EE">
        <w:rPr>
          <w:rFonts w:ascii="Verdana" w:hAnsi="Verdana"/>
          <w:bCs/>
          <w:sz w:val="20"/>
        </w:rPr>
        <w:t>III.          Hacer cumplir la política de desviación respecto al portafolio de referencia aplicable a la cartera de inversión del Activo Total de la Sociedad de Inversión una vez aprobada por el Comité de Inversión.</w:t>
      </w:r>
    </w:p>
    <w:p w:rsidR="00CA63EE" w:rsidRPr="00CA63EE" w:rsidRDefault="00CA63EE" w:rsidP="00CA63EE">
      <w:pPr>
        <w:jc w:val="both"/>
        <w:rPr>
          <w:rFonts w:ascii="Verdana" w:hAnsi="Verdana"/>
          <w:bCs/>
          <w:sz w:val="20"/>
        </w:rPr>
      </w:pPr>
      <w:r w:rsidRPr="00CA63EE">
        <w:rPr>
          <w:rFonts w:ascii="Verdana" w:hAnsi="Verdana"/>
          <w:b/>
          <w:bCs/>
          <w:sz w:val="20"/>
        </w:rPr>
        <w:t>CAPÍTULO III</w:t>
      </w:r>
    </w:p>
    <w:p w:rsidR="00CA63EE" w:rsidRPr="00CA63EE" w:rsidRDefault="00CA63EE" w:rsidP="00CA63EE">
      <w:pPr>
        <w:jc w:val="both"/>
        <w:rPr>
          <w:rFonts w:ascii="Verdana" w:hAnsi="Verdana"/>
          <w:bCs/>
          <w:sz w:val="20"/>
        </w:rPr>
      </w:pPr>
      <w:r w:rsidRPr="00CA63EE">
        <w:rPr>
          <w:rFonts w:ascii="Verdana" w:hAnsi="Verdana"/>
          <w:b/>
          <w:bCs/>
          <w:sz w:val="20"/>
        </w:rPr>
        <w:t>DEL MANUAL DE INVERSIÓN</w:t>
      </w:r>
    </w:p>
    <w:p w:rsidR="00CA63EE" w:rsidRPr="00CA63EE" w:rsidRDefault="00CA63EE" w:rsidP="00CA63EE">
      <w:pPr>
        <w:jc w:val="both"/>
        <w:rPr>
          <w:rFonts w:ascii="Verdana" w:hAnsi="Verdana"/>
          <w:bCs/>
          <w:sz w:val="20"/>
        </w:rPr>
      </w:pPr>
      <w:r w:rsidRPr="00CA63EE">
        <w:rPr>
          <w:rFonts w:ascii="Verdana" w:hAnsi="Verdana"/>
          <w:b/>
          <w:bCs/>
          <w:sz w:val="20"/>
        </w:rPr>
        <w:t>Artículo 52.- </w:t>
      </w:r>
      <w:r w:rsidRPr="00CA63EE">
        <w:rPr>
          <w:rFonts w:ascii="Verdana" w:hAnsi="Verdana"/>
          <w:bCs/>
          <w:sz w:val="20"/>
        </w:rPr>
        <w:t>Cada Administradora deberá elaborar un Manual de Inversión, el cual deberá ser aprobado por los Comités de Inversión y por el Órgano de Gobierno de la propia Administradora, contando con el voto favorable de la mayoría de los Consejeros Independientes.</w:t>
      </w:r>
    </w:p>
    <w:p w:rsidR="00CA63EE" w:rsidRPr="00CA63EE" w:rsidRDefault="00CA63EE" w:rsidP="00CA63EE">
      <w:pPr>
        <w:jc w:val="both"/>
        <w:rPr>
          <w:rFonts w:ascii="Verdana" w:hAnsi="Verdana"/>
          <w:bCs/>
          <w:sz w:val="20"/>
        </w:rPr>
      </w:pPr>
      <w:r w:rsidRPr="00CA63EE">
        <w:rPr>
          <w:rFonts w:ascii="Verdana" w:hAnsi="Verdana"/>
          <w:bCs/>
          <w:sz w:val="20"/>
        </w:rPr>
        <w:t>La Administradora deberá tener a disposición de la Comisión evidencia de lo siguiente:</w:t>
      </w:r>
    </w:p>
    <w:p w:rsidR="00CA63EE" w:rsidRPr="00CA63EE" w:rsidRDefault="00CA63EE" w:rsidP="00CA63EE">
      <w:pPr>
        <w:jc w:val="both"/>
        <w:rPr>
          <w:rFonts w:ascii="Verdana" w:hAnsi="Verdana"/>
          <w:bCs/>
          <w:sz w:val="20"/>
        </w:rPr>
      </w:pPr>
      <w:r w:rsidRPr="00CA63EE">
        <w:rPr>
          <w:rFonts w:ascii="Verdana" w:hAnsi="Verdana"/>
          <w:bCs/>
          <w:sz w:val="20"/>
        </w:rPr>
        <w:t>1.1. El Manual de Inversión fue revisado al menos por el Responsable del Área de Inversiones, y</w:t>
      </w:r>
    </w:p>
    <w:p w:rsidR="00CA63EE" w:rsidRPr="00CA63EE" w:rsidRDefault="00CA63EE" w:rsidP="00CA63EE">
      <w:pPr>
        <w:jc w:val="both"/>
        <w:rPr>
          <w:rFonts w:ascii="Verdana" w:hAnsi="Verdana"/>
          <w:bCs/>
          <w:sz w:val="20"/>
        </w:rPr>
      </w:pPr>
      <w:r w:rsidRPr="00CA63EE">
        <w:rPr>
          <w:rFonts w:ascii="Verdana" w:hAnsi="Verdana"/>
          <w:bCs/>
          <w:sz w:val="20"/>
        </w:rPr>
        <w:t>1.2. El Contralor Normativo supervisó que el contenido del Manual de Inversión corresponda con lo aprobado tanto por el Comité de Inversión como por el Órgano de Gobierno de la propia Administradora.</w:t>
      </w:r>
    </w:p>
    <w:p w:rsidR="00CA63EE" w:rsidRPr="00CA63EE" w:rsidRDefault="00CA63EE" w:rsidP="00CA63EE">
      <w:pPr>
        <w:jc w:val="both"/>
        <w:rPr>
          <w:rFonts w:ascii="Verdana" w:hAnsi="Verdana"/>
          <w:bCs/>
          <w:sz w:val="20"/>
        </w:rPr>
      </w:pPr>
      <w:r w:rsidRPr="00CA63EE">
        <w:rPr>
          <w:rFonts w:ascii="Verdana" w:hAnsi="Verdana"/>
          <w:bCs/>
          <w:sz w:val="20"/>
        </w:rPr>
        <w:t>Las Administradoras deberán informar a la Comisión, formal y claramente, sobre cada una de las modificaciones realizadas al Manual de Inversión, esto en un plazo no mayor a 10 días hábiles de realizadas dichas modificaciones. Asimismo, deberán mantener a disposición de la Comisión, evidencia de que dichas modificaciones fueron aprobadas por los Comités de Inversión y por el Órgano de Gobierno de la propia Administradora.</w:t>
      </w:r>
    </w:p>
    <w:p w:rsidR="00CA63EE" w:rsidRPr="00CA63EE" w:rsidRDefault="00CA63EE" w:rsidP="00CA63EE">
      <w:pPr>
        <w:jc w:val="both"/>
        <w:rPr>
          <w:rFonts w:ascii="Verdana" w:hAnsi="Verdana"/>
          <w:bCs/>
          <w:sz w:val="20"/>
        </w:rPr>
      </w:pPr>
      <w:r w:rsidRPr="00CA63EE">
        <w:rPr>
          <w:rFonts w:ascii="Verdana" w:hAnsi="Verdana"/>
          <w:bCs/>
          <w:sz w:val="20"/>
        </w:rPr>
        <w:t>El Manual de Inversión deberá permanecer a disposición de la Comisión en todo momento y cumplir con la calidad y características requeridas en el presente Capítulo, así como lo previsto en los artículos 36, 41, 46, fracción III y 128 de las presentes Disposiciones, según corresponda, en términos de lo establecido en cada uno de dichos artículos.</w:t>
      </w:r>
    </w:p>
    <w:p w:rsidR="00CA63EE" w:rsidRPr="00CA63EE" w:rsidRDefault="00CA63EE" w:rsidP="00CA63EE">
      <w:pPr>
        <w:jc w:val="both"/>
        <w:rPr>
          <w:rFonts w:ascii="Verdana" w:hAnsi="Verdana"/>
          <w:bCs/>
          <w:sz w:val="20"/>
        </w:rPr>
      </w:pPr>
      <w:r w:rsidRPr="00CA63EE">
        <w:rPr>
          <w:rFonts w:ascii="Verdana" w:hAnsi="Verdana"/>
          <w:bCs/>
          <w:sz w:val="20"/>
        </w:rPr>
        <w:t xml:space="preserve">La Comisión podrá requerir en cualquier momento que la Administradora le presente el Manual de Inversión y que la Administradora efectúe los ajustes que sean necesarios </w:t>
      </w:r>
      <w:proofErr w:type="gramStart"/>
      <w:r w:rsidRPr="00CA63EE">
        <w:rPr>
          <w:rFonts w:ascii="Verdana" w:hAnsi="Verdana"/>
          <w:bCs/>
          <w:sz w:val="20"/>
        </w:rPr>
        <w:t>a</w:t>
      </w:r>
      <w:proofErr w:type="gramEnd"/>
      <w:r w:rsidRPr="00CA63EE">
        <w:rPr>
          <w:rFonts w:ascii="Verdana" w:hAnsi="Verdana"/>
          <w:bCs/>
          <w:sz w:val="20"/>
        </w:rPr>
        <w:t xml:space="preserve"> dicho Manual.</w:t>
      </w:r>
    </w:p>
    <w:p w:rsidR="00CA63EE" w:rsidRPr="00CA63EE" w:rsidRDefault="00CA63EE" w:rsidP="00CA63EE">
      <w:pPr>
        <w:jc w:val="both"/>
        <w:rPr>
          <w:rFonts w:ascii="Verdana" w:hAnsi="Verdana"/>
          <w:bCs/>
          <w:sz w:val="20"/>
        </w:rPr>
      </w:pPr>
      <w:r w:rsidRPr="00CA63EE">
        <w:rPr>
          <w:rFonts w:ascii="Verdana" w:hAnsi="Verdana"/>
          <w:bCs/>
          <w:sz w:val="20"/>
        </w:rPr>
        <w:t>El Manual de Inversión deberá especificar los siguientes elementos:</w:t>
      </w:r>
    </w:p>
    <w:p w:rsidR="00CA63EE" w:rsidRPr="00CA63EE" w:rsidRDefault="00CA63EE" w:rsidP="00CA63EE">
      <w:pPr>
        <w:jc w:val="both"/>
        <w:rPr>
          <w:rFonts w:ascii="Verdana" w:hAnsi="Verdana"/>
          <w:bCs/>
          <w:sz w:val="20"/>
        </w:rPr>
      </w:pPr>
      <w:r w:rsidRPr="00CA63EE">
        <w:rPr>
          <w:rFonts w:ascii="Verdana" w:hAnsi="Verdana"/>
          <w:bCs/>
          <w:sz w:val="20"/>
        </w:rPr>
        <w:t xml:space="preserve">I.           Las políticas y procedimientos para la adquisición de Activos Objeto de Inversión, que el Comité de Inversión haya autorizado para invertir los recursos de la Sociedad de Inversión. Asimismo, deberá señalar tanto en el Manual de Inversión como en el prospecto de información aquellos Activos Objeto de Inversión previstos en </w:t>
      </w:r>
      <w:r w:rsidRPr="00CA63EE">
        <w:rPr>
          <w:rFonts w:ascii="Verdana" w:hAnsi="Verdana"/>
          <w:bCs/>
          <w:sz w:val="20"/>
        </w:rPr>
        <w:lastRenderedPageBreak/>
        <w:t xml:space="preserve">el régimen de inversión vigente en los que el Comité de Inversión no haya autorizado invertir los recursos de la Sociedad de Inversión dentro del Régimen de Inversión Autorizado. Dichas políticas y procedimientos de inversión podrán </w:t>
      </w:r>
      <w:proofErr w:type="spellStart"/>
      <w:r w:rsidRPr="00CA63EE">
        <w:rPr>
          <w:rFonts w:ascii="Verdana" w:hAnsi="Verdana"/>
          <w:bCs/>
          <w:sz w:val="20"/>
        </w:rPr>
        <w:t>serdeterminados</w:t>
      </w:r>
      <w:proofErr w:type="spellEnd"/>
      <w:r w:rsidRPr="00CA63EE">
        <w:rPr>
          <w:rFonts w:ascii="Verdana" w:hAnsi="Verdana"/>
          <w:bCs/>
          <w:sz w:val="20"/>
        </w:rPr>
        <w:t xml:space="preserve"> mediante lineamientos generales autorizados por el Comité de Inversión;</w:t>
      </w:r>
    </w:p>
    <w:p w:rsidR="00CA63EE" w:rsidRPr="00CA63EE" w:rsidRDefault="00CA63EE" w:rsidP="00CA63EE">
      <w:pPr>
        <w:jc w:val="both"/>
        <w:rPr>
          <w:rFonts w:ascii="Verdana" w:hAnsi="Verdana"/>
          <w:bCs/>
          <w:sz w:val="20"/>
        </w:rPr>
      </w:pPr>
      <w:r w:rsidRPr="00CA63EE">
        <w:rPr>
          <w:rFonts w:ascii="Verdana" w:hAnsi="Verdana"/>
          <w:bCs/>
          <w:sz w:val="20"/>
        </w:rPr>
        <w:t>II.          La obligación por parte de los miembros del Comité de Inversión, del Responsable del Área de Inversiones y de los Operadores, de reconocer la responsabilidad inherente a su cargo y de anteponer ante todo, el interés de los Trabajadores a cualquier otro;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Los procedimientos para la estructuración y liquidación de Estructuras Vinculadas a Subyacentes;</w:t>
      </w:r>
    </w:p>
    <w:p w:rsidR="00CA63EE" w:rsidRPr="00CA63EE" w:rsidRDefault="00CA63EE" w:rsidP="00CA63EE">
      <w:pPr>
        <w:jc w:val="both"/>
        <w:rPr>
          <w:rFonts w:ascii="Verdana" w:hAnsi="Verdana"/>
          <w:bCs/>
          <w:sz w:val="20"/>
        </w:rPr>
      </w:pPr>
      <w:r w:rsidRPr="00CA63EE">
        <w:rPr>
          <w:rFonts w:ascii="Verdana" w:hAnsi="Verdana"/>
          <w:bCs/>
          <w:sz w:val="20"/>
        </w:rPr>
        <w:t>IV.         Los estándares mínimos de revelación de información determinados por el Comité de Inversión, de los emisores de Activos Objeto de Inversión elegibles para ser adquiridos por las Sociedades de Inversión que opere la Administradora, en apego a lo dispuesto por la normatividad aplicable;</w:t>
      </w:r>
    </w:p>
    <w:p w:rsidR="00CA63EE" w:rsidRPr="00CA63EE" w:rsidRDefault="00CA63EE" w:rsidP="00CA63EE">
      <w:pPr>
        <w:jc w:val="both"/>
        <w:rPr>
          <w:rFonts w:ascii="Verdana" w:hAnsi="Verdana"/>
          <w:bCs/>
          <w:sz w:val="20"/>
        </w:rPr>
      </w:pPr>
      <w:r w:rsidRPr="00CA63EE">
        <w:rPr>
          <w:rFonts w:ascii="Verdana" w:hAnsi="Verdana"/>
          <w:bCs/>
          <w:sz w:val="20"/>
        </w:rPr>
        <w:t>V.          La metodología que se deberá seguir a efecto de realizar el análisis de las carteras de inversión referidas en el artículo 63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VI.         La metodología que se deberá seguir a efecto de realizar los análisis de los Instrumentos Estructurados, FIBRAS y Certificados Bursátiles Vinculados a Proyectos Reales a que se refiere el artículo 139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VII.        Los requerimientos mínimos que deberán cumplir los representantes comunes de las emisiones para que las Sociedades de Inversión puedan adquirirlas;</w:t>
      </w:r>
    </w:p>
    <w:p w:rsidR="00CA63EE" w:rsidRPr="00CA63EE" w:rsidRDefault="00CA63EE" w:rsidP="00CA63EE">
      <w:pPr>
        <w:jc w:val="both"/>
        <w:rPr>
          <w:rFonts w:ascii="Verdana" w:hAnsi="Verdana"/>
          <w:bCs/>
          <w:sz w:val="20"/>
        </w:rPr>
      </w:pPr>
      <w:r w:rsidRPr="00CA63EE">
        <w:rPr>
          <w:rFonts w:ascii="Verdana" w:hAnsi="Verdana"/>
          <w:bCs/>
          <w:sz w:val="20"/>
        </w:rPr>
        <w:t>VIII.        Que los responsables de la confirmación, liquidación, registro contable y generación de estados financieros, así como de la asignación de operaciones actúen con independencia del Responsable del Área de Inversiones y de los Operadores;</w:t>
      </w:r>
    </w:p>
    <w:p w:rsidR="00CA63EE" w:rsidRPr="00CA63EE" w:rsidRDefault="00CA63EE" w:rsidP="00CA63EE">
      <w:pPr>
        <w:jc w:val="both"/>
        <w:rPr>
          <w:rFonts w:ascii="Verdana" w:hAnsi="Verdana"/>
          <w:bCs/>
          <w:sz w:val="20"/>
        </w:rPr>
      </w:pPr>
      <w:r w:rsidRPr="00CA63EE">
        <w:rPr>
          <w:rFonts w:ascii="Verdana" w:hAnsi="Verdana"/>
          <w:bCs/>
          <w:sz w:val="20"/>
        </w:rPr>
        <w:t>IX.         Las políticas referentes a las posturas de precios en firme para operar con Derivados;</w:t>
      </w:r>
    </w:p>
    <w:p w:rsidR="00CA63EE" w:rsidRPr="00CA63EE" w:rsidRDefault="00CA63EE" w:rsidP="00CA63EE">
      <w:pPr>
        <w:jc w:val="both"/>
        <w:rPr>
          <w:rFonts w:ascii="Verdana" w:hAnsi="Verdana"/>
          <w:bCs/>
          <w:sz w:val="20"/>
        </w:rPr>
      </w:pPr>
      <w:r w:rsidRPr="00CA63EE">
        <w:rPr>
          <w:rFonts w:ascii="Verdana" w:hAnsi="Verdana"/>
          <w:bCs/>
          <w:sz w:val="20"/>
        </w:rPr>
        <w:t xml:space="preserve">X.          El establecimiento de políticas internas para la selección de Contrapartes, de Custodios, y de Prestadores de Servicios Financieros incluidos los Fondos Mutuos, Mandatarios, en su caso operadores de Mercancías y Mandatarios de Instrumentos Estructurados conocidos en la práctica como fondos de fondos así como para la selección de Vehículos, Vehículos de Inversión Inmobiliaria y mecanismos con exposición a subyacentes permitidos en las Disposiciones de carácter general que establecen el régimen de inversión al que deberán sujetarse </w:t>
      </w:r>
      <w:proofErr w:type="spellStart"/>
      <w:r w:rsidRPr="00CA63EE">
        <w:rPr>
          <w:rFonts w:ascii="Verdana" w:hAnsi="Verdana"/>
          <w:bCs/>
          <w:sz w:val="20"/>
        </w:rPr>
        <w:t>lasSociedades</w:t>
      </w:r>
      <w:proofErr w:type="spellEnd"/>
      <w:r w:rsidRPr="00CA63EE">
        <w:rPr>
          <w:rFonts w:ascii="Verdana" w:hAnsi="Verdana"/>
          <w:bCs/>
          <w:sz w:val="20"/>
        </w:rPr>
        <w:t xml:space="preserve"> de Inversión. Las políticas para la selección de Contrapartes deberán incluir un análisis que contenga la evaluación de riesgo de crédito o crediticio, </w:t>
      </w:r>
      <w:proofErr w:type="spellStart"/>
      <w:r w:rsidRPr="00CA63EE">
        <w:rPr>
          <w:rFonts w:ascii="Verdana" w:hAnsi="Verdana"/>
          <w:bCs/>
          <w:sz w:val="20"/>
        </w:rPr>
        <w:t>reputacional</w:t>
      </w:r>
      <w:proofErr w:type="spellEnd"/>
      <w:r w:rsidRPr="00CA63EE">
        <w:rPr>
          <w:rFonts w:ascii="Verdana" w:hAnsi="Verdana"/>
          <w:bCs/>
          <w:sz w:val="20"/>
        </w:rPr>
        <w:t xml:space="preserve"> y de liquidez de la Contraparte, así como un análisis de la estructura legal de la ejecución de garantías. Para el caso de contratos que se establezcan en la modalidad conocida en la práctica como "entrega contra pago", no será necesario elaborar la evaluación del </w:t>
      </w:r>
      <w:r w:rsidRPr="00CA63EE">
        <w:rPr>
          <w:rFonts w:ascii="Verdana" w:hAnsi="Verdana"/>
          <w:bCs/>
          <w:sz w:val="20"/>
        </w:rPr>
        <w:lastRenderedPageBreak/>
        <w:t xml:space="preserve">riesgo de crédito de la Contraparte. Asimismo, se deberán señalar los criterios que se tomaron en cuenta para definir la política </w:t>
      </w:r>
      <w:proofErr w:type="spellStart"/>
      <w:r w:rsidRPr="00CA63EE">
        <w:rPr>
          <w:rFonts w:ascii="Verdana" w:hAnsi="Verdana"/>
          <w:bCs/>
          <w:sz w:val="20"/>
        </w:rPr>
        <w:t>parala</w:t>
      </w:r>
      <w:proofErr w:type="spellEnd"/>
      <w:r w:rsidRPr="00CA63EE">
        <w:rPr>
          <w:rFonts w:ascii="Verdana" w:hAnsi="Verdana"/>
          <w:bCs/>
          <w:sz w:val="20"/>
        </w:rPr>
        <w:t xml:space="preserve"> selección de Contrapartes;</w:t>
      </w:r>
    </w:p>
    <w:p w:rsidR="00CA63EE" w:rsidRPr="00CA63EE" w:rsidRDefault="00CA63EE" w:rsidP="00CA63EE">
      <w:pPr>
        <w:jc w:val="both"/>
        <w:rPr>
          <w:rFonts w:ascii="Verdana" w:hAnsi="Verdana"/>
          <w:bCs/>
          <w:sz w:val="20"/>
        </w:rPr>
      </w:pPr>
      <w:r w:rsidRPr="00CA63EE">
        <w:rPr>
          <w:rFonts w:ascii="Verdana" w:hAnsi="Verdana"/>
          <w:bCs/>
          <w:sz w:val="20"/>
        </w:rPr>
        <w:t>XI.         Los mecanismos necesarios para acceder a las mejores tasas de interés o precios vigentes en el mercado al momento de concertar operaciones por Activo Objeto de Inversión, sujetándose a lo siguiente y en su defecto a las mejores prácticas internacionales observadas en el mercado:</w:t>
      </w:r>
    </w:p>
    <w:p w:rsidR="00CA63EE" w:rsidRPr="00CA63EE" w:rsidRDefault="00CA63EE" w:rsidP="00CA63EE">
      <w:pPr>
        <w:jc w:val="both"/>
        <w:rPr>
          <w:rFonts w:ascii="Verdana" w:hAnsi="Verdana"/>
          <w:bCs/>
          <w:sz w:val="20"/>
        </w:rPr>
      </w:pPr>
      <w:r w:rsidRPr="00CA63EE">
        <w:rPr>
          <w:rFonts w:ascii="Verdana" w:hAnsi="Verdana"/>
          <w:bCs/>
          <w:sz w:val="20"/>
        </w:rPr>
        <w:t>a)   La definición de mecanismos para concertar operaciones al mejor precio o tasa disponibles, incluidos los Costos de Corretaje que se deriven de las operaciones con Activos Objeto de Inversión;</w:t>
      </w:r>
    </w:p>
    <w:p w:rsidR="00CA63EE" w:rsidRPr="00CA63EE" w:rsidRDefault="00CA63EE" w:rsidP="00CA63EE">
      <w:pPr>
        <w:jc w:val="both"/>
        <w:rPr>
          <w:rFonts w:ascii="Verdana" w:hAnsi="Verdana"/>
          <w:bCs/>
          <w:sz w:val="20"/>
        </w:rPr>
      </w:pPr>
      <w:r w:rsidRPr="00CA63EE">
        <w:rPr>
          <w:rFonts w:ascii="Verdana" w:hAnsi="Verdana"/>
          <w:bCs/>
          <w:sz w:val="20"/>
        </w:rPr>
        <w:t>b)   Los medios electrónicos y de comunicaciones a través de los cuales se permite obtener cotizaciones;</w:t>
      </w:r>
    </w:p>
    <w:p w:rsidR="00CA63EE" w:rsidRPr="00CA63EE" w:rsidRDefault="00CA63EE" w:rsidP="00CA63EE">
      <w:pPr>
        <w:jc w:val="both"/>
        <w:rPr>
          <w:rFonts w:ascii="Verdana" w:hAnsi="Verdana"/>
          <w:bCs/>
          <w:sz w:val="20"/>
        </w:rPr>
      </w:pPr>
      <w:r w:rsidRPr="00CA63EE">
        <w:rPr>
          <w:rFonts w:ascii="Verdana" w:hAnsi="Verdana"/>
          <w:bCs/>
          <w:sz w:val="20"/>
        </w:rPr>
        <w:t>c)   La definición de las políticas para ejecución de órdenes considerando los montos a negociar, así como la profundidad y liquidez de los mercados;</w:t>
      </w:r>
    </w:p>
    <w:p w:rsidR="00CA63EE" w:rsidRPr="00CA63EE" w:rsidRDefault="00CA63EE" w:rsidP="00CA63EE">
      <w:pPr>
        <w:jc w:val="both"/>
        <w:rPr>
          <w:rFonts w:ascii="Verdana" w:hAnsi="Verdana"/>
          <w:bCs/>
          <w:sz w:val="20"/>
        </w:rPr>
      </w:pPr>
      <w:r w:rsidRPr="00CA63EE">
        <w:rPr>
          <w:rFonts w:ascii="Verdana" w:hAnsi="Verdana"/>
          <w:bCs/>
          <w:sz w:val="20"/>
        </w:rPr>
        <w:t>d)   La definición de las políticas para ejecución de Órdenes de Concertación en Paquete y Órdenes de Concertación Ciegas, así como otros mecanismos similares a éstas, empleadas por la Sociedad de Inversión, para lo cual deberá cumplir con los siguientes requisitos:</w:t>
      </w:r>
    </w:p>
    <w:p w:rsidR="00CA63EE" w:rsidRPr="00CA63EE" w:rsidRDefault="00CA63EE" w:rsidP="00CA63EE">
      <w:pPr>
        <w:jc w:val="both"/>
        <w:rPr>
          <w:rFonts w:ascii="Verdana" w:hAnsi="Verdana"/>
          <w:bCs/>
          <w:sz w:val="20"/>
        </w:rPr>
      </w:pPr>
      <w:r w:rsidRPr="00CA63EE">
        <w:rPr>
          <w:rFonts w:ascii="Verdana" w:hAnsi="Verdana"/>
          <w:bCs/>
          <w:sz w:val="20"/>
        </w:rPr>
        <w:t>i.    La Administradora deberá contar con las capacidades tecnológicas y procedimientos, de acuerdo a lo establecido en el mismo Manual de Inversión y en el Manual de Políticas y Procedimientos para la Administración del Riesgo Financiero. Igualmente, la Administradora deberá contar con las capacidades tecnológicas necesarias para realizar las políticas de control de riesgos establecidas por el Comité de Riesgos Financieros y para evaluar si dichas operaciones se ejecutan al mejor precio;</w:t>
      </w:r>
    </w:p>
    <w:p w:rsidR="00CA63EE" w:rsidRPr="00CA63EE" w:rsidRDefault="00CA63EE" w:rsidP="00CA63EE">
      <w:pPr>
        <w:jc w:val="both"/>
        <w:rPr>
          <w:rFonts w:ascii="Verdana" w:hAnsi="Verdana"/>
          <w:bCs/>
          <w:sz w:val="20"/>
        </w:rPr>
      </w:pPr>
      <w:r w:rsidRPr="00CA63EE">
        <w:rPr>
          <w:rFonts w:ascii="Verdana" w:hAnsi="Verdana"/>
          <w:bCs/>
          <w:sz w:val="20"/>
        </w:rPr>
        <w:t>ii.    Contar con evidencia que muestre que la operación de Concertación de Órdenes en Paquete se ejecutó al mejor precio disponible, la cual deberá estar a disposición de la Comisión y del Contralor Normativo, y</w:t>
      </w:r>
    </w:p>
    <w:p w:rsidR="00CA63EE" w:rsidRPr="00CA63EE" w:rsidRDefault="00CA63EE" w:rsidP="00CA63EE">
      <w:pPr>
        <w:jc w:val="both"/>
        <w:rPr>
          <w:rFonts w:ascii="Verdana" w:hAnsi="Verdana"/>
          <w:bCs/>
          <w:sz w:val="20"/>
        </w:rPr>
      </w:pPr>
      <w:r w:rsidRPr="00CA63EE">
        <w:rPr>
          <w:rFonts w:ascii="Verdana" w:hAnsi="Verdana"/>
          <w:bCs/>
          <w:sz w:val="20"/>
        </w:rPr>
        <w:t>iii.   Estas operaciones se deberán realizar únicamente a través de mercados listados en los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   El número mínimo de cotizaciones antes de concertar una operación;</w:t>
      </w:r>
    </w:p>
    <w:p w:rsidR="00CA63EE" w:rsidRPr="00CA63EE" w:rsidRDefault="00CA63EE" w:rsidP="00CA63EE">
      <w:pPr>
        <w:jc w:val="both"/>
        <w:rPr>
          <w:rFonts w:ascii="Verdana" w:hAnsi="Verdana"/>
          <w:bCs/>
          <w:sz w:val="20"/>
        </w:rPr>
      </w:pPr>
      <w:r w:rsidRPr="00CA63EE">
        <w:rPr>
          <w:rFonts w:ascii="Verdana" w:hAnsi="Verdana"/>
          <w:bCs/>
          <w:sz w:val="20"/>
        </w:rPr>
        <w:t>f)    El lapso de tiempo permitido para cotizar;</w:t>
      </w:r>
    </w:p>
    <w:p w:rsidR="00CA63EE" w:rsidRPr="00CA63EE" w:rsidRDefault="00CA63EE" w:rsidP="00CA63EE">
      <w:pPr>
        <w:jc w:val="both"/>
        <w:rPr>
          <w:rFonts w:ascii="Verdana" w:hAnsi="Verdana"/>
          <w:bCs/>
          <w:sz w:val="20"/>
        </w:rPr>
      </w:pPr>
      <w:r w:rsidRPr="00CA63EE">
        <w:rPr>
          <w:rFonts w:ascii="Verdana" w:hAnsi="Verdana"/>
          <w:bCs/>
          <w:sz w:val="20"/>
        </w:rPr>
        <w:t>g)   El lapso de tiempo permitido para realizar la distribución de las inversiones entre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h)   La evidencia en medios magnéticos, así como electrónicos, documentales, entre otros análogos, que sustenten el apego a las políticas adoptadas para asegurar que </w:t>
      </w:r>
      <w:r w:rsidRPr="00CA63EE">
        <w:rPr>
          <w:rFonts w:ascii="Verdana" w:hAnsi="Verdana"/>
          <w:bCs/>
          <w:sz w:val="20"/>
        </w:rPr>
        <w:lastRenderedPageBreak/>
        <w:t>las operaciones realizadas se llevan a cabo conforme a las políticas de mejor ejecución;</w:t>
      </w:r>
    </w:p>
    <w:p w:rsidR="00CA63EE" w:rsidRPr="00CA63EE" w:rsidRDefault="00CA63EE" w:rsidP="00CA63EE">
      <w:pPr>
        <w:jc w:val="both"/>
        <w:rPr>
          <w:rFonts w:ascii="Verdana" w:hAnsi="Verdana"/>
          <w:bCs/>
          <w:sz w:val="20"/>
        </w:rPr>
      </w:pPr>
      <w:r w:rsidRPr="00CA63EE">
        <w:rPr>
          <w:rFonts w:ascii="Verdana" w:hAnsi="Verdana"/>
          <w:bCs/>
          <w:sz w:val="20"/>
        </w:rPr>
        <w:t>i)    Las sanciones aplicables a los empleados de la Administradora que violen la normatividad interna y externa que le sea aplicable;</w:t>
      </w:r>
    </w:p>
    <w:p w:rsidR="00CA63EE" w:rsidRPr="00CA63EE" w:rsidRDefault="00CA63EE" w:rsidP="00CA63EE">
      <w:pPr>
        <w:jc w:val="both"/>
        <w:rPr>
          <w:rFonts w:ascii="Verdana" w:hAnsi="Verdana"/>
          <w:bCs/>
          <w:sz w:val="20"/>
        </w:rPr>
      </w:pPr>
      <w:r w:rsidRPr="00CA63EE">
        <w:rPr>
          <w:rFonts w:ascii="Verdana" w:hAnsi="Verdana"/>
          <w:bCs/>
          <w:sz w:val="20"/>
        </w:rPr>
        <w:t>j)    Las políticas aprobadas por el Comité de Inversión para la contratación de Mandatarios, y</w:t>
      </w:r>
    </w:p>
    <w:p w:rsidR="00CA63EE" w:rsidRPr="00CA63EE" w:rsidRDefault="00CA63EE" w:rsidP="00CA63EE">
      <w:pPr>
        <w:jc w:val="both"/>
        <w:rPr>
          <w:rFonts w:ascii="Verdana" w:hAnsi="Verdana"/>
          <w:bCs/>
          <w:sz w:val="20"/>
        </w:rPr>
      </w:pPr>
      <w:r w:rsidRPr="00CA63EE">
        <w:rPr>
          <w:rFonts w:ascii="Verdana" w:hAnsi="Verdana"/>
          <w:bCs/>
          <w:sz w:val="20"/>
        </w:rPr>
        <w:t>k)   Los mecanismos de excepción a los criterios previstos en los incisos anteriores de la presente fracción determinados por el Comité de Inversión.</w:t>
      </w:r>
    </w:p>
    <w:p w:rsidR="00CA63EE" w:rsidRPr="00CA63EE" w:rsidRDefault="00CA63EE" w:rsidP="00CA63EE">
      <w:pPr>
        <w:jc w:val="both"/>
        <w:rPr>
          <w:rFonts w:ascii="Verdana" w:hAnsi="Verdana"/>
          <w:bCs/>
          <w:sz w:val="20"/>
        </w:rPr>
      </w:pPr>
      <w:r w:rsidRPr="00CA63EE">
        <w:rPr>
          <w:rFonts w:ascii="Verdana" w:hAnsi="Verdana"/>
          <w:bCs/>
          <w:sz w:val="20"/>
        </w:rPr>
        <w:t>En caso de que se realicen las operaciones por medio de Prestadores de Servicios Financieros, incluyendo a los Mandatarios y a los Mandatarios de Instrumentos Estructurados, la Administradora deberá pactar en los contratos celebrados con éstos los mecanismos para que las operaciones se realicen a las mejores tasas de interés o precios vigentes en el mercado al momento de concertarlas. Dichos mecanismos deberán estar contenidos en el Manual </w:t>
      </w:r>
      <w:proofErr w:type="spellStart"/>
      <w:r w:rsidRPr="00CA63EE">
        <w:rPr>
          <w:rFonts w:ascii="Verdana" w:hAnsi="Verdana"/>
          <w:bCs/>
          <w:sz w:val="20"/>
        </w:rPr>
        <w:t>deInversión</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XII.        Derogado;</w:t>
      </w:r>
    </w:p>
    <w:p w:rsidR="00CA63EE" w:rsidRPr="00CA63EE" w:rsidRDefault="00CA63EE" w:rsidP="00CA63EE">
      <w:pPr>
        <w:jc w:val="both"/>
        <w:rPr>
          <w:rFonts w:ascii="Verdana" w:hAnsi="Verdana"/>
          <w:bCs/>
          <w:sz w:val="20"/>
        </w:rPr>
      </w:pPr>
      <w:r w:rsidRPr="00CA63EE">
        <w:rPr>
          <w:rFonts w:ascii="Verdana" w:hAnsi="Verdana"/>
          <w:bCs/>
          <w:sz w:val="20"/>
        </w:rPr>
        <w:t>XIII.        En el caso de que la administración de las inversiones sea realizada a través de un tercero, además de contar obligatoriamente con un Responsable del Área de Inversiones, la Administradora deberá determinar la forma en que se asegurará que:</w:t>
      </w:r>
    </w:p>
    <w:p w:rsidR="00CA63EE" w:rsidRPr="00CA63EE" w:rsidRDefault="00CA63EE" w:rsidP="00CA63EE">
      <w:pPr>
        <w:jc w:val="both"/>
        <w:rPr>
          <w:rFonts w:ascii="Verdana" w:hAnsi="Verdana"/>
          <w:bCs/>
          <w:sz w:val="20"/>
        </w:rPr>
      </w:pPr>
      <w:r w:rsidRPr="00CA63EE">
        <w:rPr>
          <w:rFonts w:ascii="Verdana" w:hAnsi="Verdana"/>
          <w:bCs/>
          <w:sz w:val="20"/>
        </w:rPr>
        <w:t>a)   La información confidencial de cada entidad no sea utilizada con fines distintos a aquellos para los cuales fue revelada;</w:t>
      </w:r>
    </w:p>
    <w:p w:rsidR="00CA63EE" w:rsidRPr="00CA63EE" w:rsidRDefault="00CA63EE" w:rsidP="00CA63EE">
      <w:pPr>
        <w:jc w:val="both"/>
        <w:rPr>
          <w:rFonts w:ascii="Verdana" w:hAnsi="Verdana"/>
          <w:bCs/>
          <w:sz w:val="20"/>
        </w:rPr>
      </w:pPr>
      <w:r w:rsidRPr="00CA63EE">
        <w:rPr>
          <w:rFonts w:ascii="Verdana" w:hAnsi="Verdana"/>
          <w:bCs/>
          <w:sz w:val="20"/>
        </w:rPr>
        <w:t>b)   No exista un beneficio indebido por parte del tercero o sus entidades relacionadas de la información proporcionada por la Administradora, y</w:t>
      </w:r>
    </w:p>
    <w:p w:rsidR="00CA63EE" w:rsidRPr="00CA63EE" w:rsidRDefault="00CA63EE" w:rsidP="00CA63EE">
      <w:pPr>
        <w:jc w:val="both"/>
        <w:rPr>
          <w:rFonts w:ascii="Verdana" w:hAnsi="Verdana"/>
          <w:bCs/>
          <w:sz w:val="20"/>
        </w:rPr>
      </w:pPr>
      <w:r w:rsidRPr="00CA63EE">
        <w:rPr>
          <w:rFonts w:ascii="Verdana" w:hAnsi="Verdana"/>
          <w:bCs/>
          <w:sz w:val="20"/>
        </w:rPr>
        <w:t>c)   En las relaciones del tercero con los grupos y entidades financieras con las que tenga Nexos Patrimoniales, se observará lo previsto en los artículos 64 y 69 de la Ley, lo previsto en las Disposiciones de carácter general que establecen el régimen de inversión al que deberán sujetarse las Sociedades de Inversión emitidas por la Comisión, en las Reglas Prudenciales en materia de administración de riesgos y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XIV.       Deberá contener políticas de la administración de la liquidez de la cartera de inversión para lo cual deberá considerar cuando menos lo siguiente:</w:t>
      </w:r>
    </w:p>
    <w:p w:rsidR="00CA63EE" w:rsidRPr="00CA63EE" w:rsidRDefault="00CA63EE" w:rsidP="00CA63EE">
      <w:pPr>
        <w:jc w:val="both"/>
        <w:rPr>
          <w:rFonts w:ascii="Verdana" w:hAnsi="Verdana"/>
          <w:bCs/>
          <w:sz w:val="20"/>
        </w:rPr>
      </w:pPr>
      <w:r w:rsidRPr="00CA63EE">
        <w:rPr>
          <w:rFonts w:ascii="Verdana" w:hAnsi="Verdana"/>
          <w:bCs/>
          <w:sz w:val="20"/>
        </w:rPr>
        <w:t>a)   Características en cuanto a la liquidez de los Activos Objeto de Inversión que conforman la cartera de inversión de conformidad con las políticas que defina el Comité de Inversión, las cuales deberán considerar lo siguiente:</w:t>
      </w:r>
    </w:p>
    <w:p w:rsidR="00CA63EE" w:rsidRPr="00CA63EE" w:rsidRDefault="00CA63EE" w:rsidP="00CA63EE">
      <w:pPr>
        <w:jc w:val="both"/>
        <w:rPr>
          <w:rFonts w:ascii="Verdana" w:hAnsi="Verdana"/>
          <w:bCs/>
          <w:sz w:val="20"/>
        </w:rPr>
      </w:pPr>
      <w:r w:rsidRPr="00CA63EE">
        <w:rPr>
          <w:rFonts w:ascii="Verdana" w:hAnsi="Verdana"/>
          <w:bCs/>
          <w:sz w:val="20"/>
        </w:rPr>
        <w:t>i.    Plazo del instrumento;</w:t>
      </w:r>
    </w:p>
    <w:p w:rsidR="00CA63EE" w:rsidRPr="00CA63EE" w:rsidRDefault="00CA63EE" w:rsidP="00CA63EE">
      <w:pPr>
        <w:jc w:val="both"/>
        <w:rPr>
          <w:rFonts w:ascii="Verdana" w:hAnsi="Verdana"/>
          <w:bCs/>
          <w:sz w:val="20"/>
        </w:rPr>
      </w:pPr>
      <w:r w:rsidRPr="00CA63EE">
        <w:rPr>
          <w:rFonts w:ascii="Verdana" w:hAnsi="Verdana"/>
          <w:bCs/>
          <w:sz w:val="20"/>
        </w:rPr>
        <w:t>ii.    En su caso, calificación crediticia de la emisión y emisor;</w:t>
      </w:r>
    </w:p>
    <w:p w:rsidR="00CA63EE" w:rsidRPr="00CA63EE" w:rsidRDefault="00CA63EE" w:rsidP="00CA63EE">
      <w:pPr>
        <w:jc w:val="both"/>
        <w:rPr>
          <w:rFonts w:ascii="Verdana" w:hAnsi="Verdana"/>
          <w:bCs/>
          <w:sz w:val="20"/>
        </w:rPr>
      </w:pPr>
      <w:r w:rsidRPr="00CA63EE">
        <w:rPr>
          <w:rFonts w:ascii="Verdana" w:hAnsi="Verdana"/>
          <w:bCs/>
          <w:sz w:val="20"/>
        </w:rPr>
        <w:lastRenderedPageBreak/>
        <w:t>iii.   Mercados en que se negocia y estimaciones sobre los diferenciales de precios de compra y de venta;</w:t>
      </w:r>
    </w:p>
    <w:p w:rsidR="00CA63EE" w:rsidRPr="00CA63EE" w:rsidRDefault="00CA63EE" w:rsidP="00CA63EE">
      <w:pPr>
        <w:jc w:val="both"/>
        <w:rPr>
          <w:rFonts w:ascii="Verdana" w:hAnsi="Verdana"/>
          <w:bCs/>
          <w:sz w:val="20"/>
        </w:rPr>
      </w:pPr>
      <w:r w:rsidRPr="00CA63EE">
        <w:rPr>
          <w:rFonts w:ascii="Verdana" w:hAnsi="Verdana"/>
          <w:bCs/>
          <w:sz w:val="20"/>
        </w:rPr>
        <w:t>iv.   Estimaciones acerca de la profundidad y liquidez de los mercados, coyunturalmente y estructuralmente;</w:t>
      </w:r>
    </w:p>
    <w:p w:rsidR="00CA63EE" w:rsidRPr="00CA63EE" w:rsidRDefault="00CA63EE" w:rsidP="00CA63EE">
      <w:pPr>
        <w:jc w:val="both"/>
        <w:rPr>
          <w:rFonts w:ascii="Verdana" w:hAnsi="Verdana"/>
          <w:bCs/>
          <w:sz w:val="20"/>
        </w:rPr>
      </w:pPr>
      <w:r w:rsidRPr="00CA63EE">
        <w:rPr>
          <w:rFonts w:ascii="Verdana" w:hAnsi="Verdana"/>
          <w:bCs/>
          <w:sz w:val="20"/>
        </w:rPr>
        <w:t>v.    Plataformas de negociación disponibles para dichos valores;</w:t>
      </w:r>
    </w:p>
    <w:p w:rsidR="00CA63EE" w:rsidRPr="00CA63EE" w:rsidRDefault="00CA63EE" w:rsidP="00CA63EE">
      <w:pPr>
        <w:jc w:val="both"/>
        <w:rPr>
          <w:rFonts w:ascii="Verdana" w:hAnsi="Verdana"/>
          <w:bCs/>
          <w:sz w:val="20"/>
        </w:rPr>
      </w:pPr>
      <w:r w:rsidRPr="00CA63EE">
        <w:rPr>
          <w:rFonts w:ascii="Verdana" w:hAnsi="Verdana"/>
          <w:bCs/>
          <w:sz w:val="20"/>
        </w:rPr>
        <w:t>vi.   Operaciones de préstamo de valores y reportos con dichos valores, y</w:t>
      </w:r>
    </w:p>
    <w:p w:rsidR="00CA63EE" w:rsidRPr="00CA63EE" w:rsidRDefault="00CA63EE" w:rsidP="00CA63EE">
      <w:pPr>
        <w:jc w:val="both"/>
        <w:rPr>
          <w:rFonts w:ascii="Verdana" w:hAnsi="Verdana"/>
          <w:bCs/>
          <w:sz w:val="20"/>
        </w:rPr>
      </w:pPr>
      <w:r w:rsidRPr="00CA63EE">
        <w:rPr>
          <w:rFonts w:ascii="Verdana" w:hAnsi="Verdana"/>
          <w:bCs/>
          <w:sz w:val="20"/>
        </w:rPr>
        <w:t>vii.  En su caso, estimaciones sobre los Cupones, dividendos y distribuciones.</w:t>
      </w:r>
    </w:p>
    <w:p w:rsidR="00CA63EE" w:rsidRPr="00CA63EE" w:rsidRDefault="00CA63EE" w:rsidP="00CA63EE">
      <w:pPr>
        <w:jc w:val="both"/>
        <w:rPr>
          <w:rFonts w:ascii="Verdana" w:hAnsi="Verdana"/>
          <w:bCs/>
          <w:sz w:val="20"/>
        </w:rPr>
      </w:pPr>
      <w:r w:rsidRPr="00CA63EE">
        <w:rPr>
          <w:rFonts w:ascii="Verdana" w:hAnsi="Verdana"/>
          <w:bCs/>
          <w:sz w:val="20"/>
        </w:rPr>
        <w:t>                   Los Activos Objeto de Inversión se deberán clasificar conforme a las políticas antes referidas.</w:t>
      </w:r>
    </w:p>
    <w:p w:rsidR="00CA63EE" w:rsidRPr="00CA63EE" w:rsidRDefault="00CA63EE" w:rsidP="00CA63EE">
      <w:pPr>
        <w:jc w:val="both"/>
        <w:rPr>
          <w:rFonts w:ascii="Verdana" w:hAnsi="Verdana"/>
          <w:bCs/>
          <w:sz w:val="20"/>
        </w:rPr>
      </w:pPr>
      <w:r w:rsidRPr="00CA63EE">
        <w:rPr>
          <w:rFonts w:ascii="Verdana" w:hAnsi="Verdana"/>
          <w:bCs/>
          <w:sz w:val="20"/>
        </w:rPr>
        <w:t>b)   Estimaciones mensuales de los flujos netos de liquidez de la Sociedad de Inversión provenientes, entre otros de: traspasos, retiros parciales y totales, resultados de operaciones financieras, en particular de operaciones con Derivados, llamadas de capital provenientes de Instrumentos Estructurados, contribuciones periódicas a las cuentas</w:t>
      </w:r>
    </w:p>
    <w:p w:rsidR="00CA63EE" w:rsidRPr="00CA63EE" w:rsidRDefault="00CA63EE" w:rsidP="00CA63EE">
      <w:pPr>
        <w:jc w:val="both"/>
        <w:rPr>
          <w:rFonts w:ascii="Verdana" w:hAnsi="Verdana"/>
          <w:bCs/>
          <w:sz w:val="20"/>
        </w:rPr>
      </w:pPr>
      <w:proofErr w:type="gramStart"/>
      <w:r w:rsidRPr="00CA63EE">
        <w:rPr>
          <w:rFonts w:ascii="Verdana" w:hAnsi="Verdana"/>
          <w:bCs/>
          <w:sz w:val="20"/>
        </w:rPr>
        <w:t>individuales</w:t>
      </w:r>
      <w:proofErr w:type="gramEnd"/>
      <w:r w:rsidRPr="00CA63EE">
        <w:rPr>
          <w:rFonts w:ascii="Verdana" w:hAnsi="Verdana"/>
          <w:bCs/>
          <w:sz w:val="20"/>
        </w:rPr>
        <w:t>, asignaciones y reasignaciones de cuentas individuales, flujo por pago de Cupones, dividendos y distribuciones, vencimientos de activos, amortizaciones anticipadas y transferencias por la edad de los Trabajadores. Los análisis referidos en el presente párrafo deberán realizarse con elementos demográficos, estadísticos, financieros y actuariales. La revisión y actualización de los elementos demográficos y actuariales deberá realizarse al menos anualmente;</w:t>
      </w:r>
    </w:p>
    <w:p w:rsidR="00CA63EE" w:rsidRPr="00CA63EE" w:rsidRDefault="00CA63EE" w:rsidP="00CA63EE">
      <w:pPr>
        <w:jc w:val="both"/>
        <w:rPr>
          <w:rFonts w:ascii="Verdana" w:hAnsi="Verdana"/>
          <w:bCs/>
          <w:sz w:val="20"/>
        </w:rPr>
      </w:pPr>
      <w:r w:rsidRPr="00CA63EE">
        <w:rPr>
          <w:rFonts w:ascii="Verdana" w:hAnsi="Verdana"/>
          <w:bCs/>
          <w:sz w:val="20"/>
        </w:rPr>
        <w:t>c)   Prever que las Administradoras tengan proyecciones con los flujos netos de liquidez generados por la cartera de inversión de la Sociedad de Inversión de que se trate para cada uno de los siguientes 90 días naturales posteriores a la fecha de análisis, así como de una proyección de los flujos netos de liquidez a 180 días, 1, 2, 3, 4 y 5 años, y</w:t>
      </w:r>
    </w:p>
    <w:p w:rsidR="00CA63EE" w:rsidRPr="00CA63EE" w:rsidRDefault="00CA63EE" w:rsidP="00CA63EE">
      <w:pPr>
        <w:jc w:val="both"/>
        <w:rPr>
          <w:rFonts w:ascii="Verdana" w:hAnsi="Verdana"/>
          <w:bCs/>
          <w:sz w:val="20"/>
        </w:rPr>
      </w:pPr>
      <w:r w:rsidRPr="00CA63EE">
        <w:rPr>
          <w:rFonts w:ascii="Verdana" w:hAnsi="Verdana"/>
          <w:bCs/>
          <w:sz w:val="20"/>
        </w:rPr>
        <w:t>d)   Prever una política de adquisición y gestión de Activos Objeto de Inversión, congruente con la información y análisis que se derive de efectuar los procesos descritos en el presente artículo. En caso que la Sociedad de Inversión no invierta en algún Activo Objeto de Inversión no se deberá determinar la política en comento;</w:t>
      </w:r>
    </w:p>
    <w:p w:rsidR="00CA63EE" w:rsidRPr="00CA63EE" w:rsidRDefault="00CA63EE" w:rsidP="00CA63EE">
      <w:pPr>
        <w:jc w:val="both"/>
        <w:rPr>
          <w:rFonts w:ascii="Verdana" w:hAnsi="Verdana"/>
          <w:bCs/>
          <w:sz w:val="20"/>
        </w:rPr>
      </w:pPr>
      <w:r w:rsidRPr="00CA63EE">
        <w:rPr>
          <w:rFonts w:ascii="Verdana" w:hAnsi="Verdana"/>
          <w:bCs/>
          <w:sz w:val="20"/>
        </w:rPr>
        <w:t>XV.        Definir las políticas de líneas de crédito para Contrapartes, en particular para operaciones con Derivados;</w:t>
      </w:r>
    </w:p>
    <w:p w:rsidR="00CA63EE" w:rsidRPr="00CA63EE" w:rsidRDefault="00CA63EE" w:rsidP="00CA63EE">
      <w:pPr>
        <w:jc w:val="both"/>
        <w:rPr>
          <w:rFonts w:ascii="Verdana" w:hAnsi="Verdana"/>
          <w:bCs/>
          <w:sz w:val="20"/>
        </w:rPr>
      </w:pPr>
      <w:r w:rsidRPr="00CA63EE">
        <w:rPr>
          <w:rFonts w:ascii="Verdana" w:hAnsi="Verdana"/>
          <w:bCs/>
          <w:sz w:val="20"/>
        </w:rPr>
        <w:t>XVI.       Contar con la descripción del Sistema Integral Automatizado para las actividades de adquisición, enajenación, registro en línea de Activos Objeto de Inversión y la estructura de base de datos generada para el seguimiento de cada una de estas actividades;</w:t>
      </w:r>
    </w:p>
    <w:p w:rsidR="00CA63EE" w:rsidRPr="00CA63EE" w:rsidRDefault="00CA63EE" w:rsidP="00CA63EE">
      <w:pPr>
        <w:jc w:val="both"/>
        <w:rPr>
          <w:rFonts w:ascii="Verdana" w:hAnsi="Verdana"/>
          <w:bCs/>
          <w:sz w:val="20"/>
        </w:rPr>
      </w:pPr>
      <w:r w:rsidRPr="00CA63EE">
        <w:rPr>
          <w:rFonts w:ascii="Verdana" w:hAnsi="Verdana"/>
          <w:bCs/>
          <w:sz w:val="20"/>
        </w:rPr>
        <w:t>XVII.      La definición del portafolio de referencia de cada Sociedad de Inversión y la desviación máxima autorizada;</w:t>
      </w:r>
    </w:p>
    <w:p w:rsidR="00CA63EE" w:rsidRPr="00CA63EE" w:rsidRDefault="00CA63EE" w:rsidP="00CA63EE">
      <w:pPr>
        <w:jc w:val="both"/>
        <w:rPr>
          <w:rFonts w:ascii="Verdana" w:hAnsi="Verdana"/>
          <w:bCs/>
          <w:sz w:val="20"/>
        </w:rPr>
      </w:pPr>
      <w:r w:rsidRPr="00CA63EE">
        <w:rPr>
          <w:rFonts w:ascii="Verdana" w:hAnsi="Verdana"/>
          <w:bCs/>
          <w:sz w:val="20"/>
        </w:rPr>
        <w:lastRenderedPageBreak/>
        <w:t>XVIII.      Designación y actividades del Responsable del Área de Inversiones para dar cumplimiento a las actividades específicas en materia de Instrumentos Estructurados, y</w:t>
      </w:r>
    </w:p>
    <w:p w:rsidR="00CA63EE" w:rsidRPr="00CA63EE" w:rsidRDefault="00CA63EE" w:rsidP="00CA63EE">
      <w:pPr>
        <w:jc w:val="both"/>
        <w:rPr>
          <w:rFonts w:ascii="Verdana" w:hAnsi="Verdana"/>
          <w:bCs/>
          <w:sz w:val="20"/>
        </w:rPr>
      </w:pPr>
      <w:r w:rsidRPr="00CA63EE">
        <w:rPr>
          <w:rFonts w:ascii="Verdana" w:hAnsi="Verdana"/>
          <w:bCs/>
          <w:sz w:val="20"/>
        </w:rPr>
        <w:t>XIX.       Las políticas a que se refiere el artículo 34, fracción X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El Manual de Inversión deberá sujetarse a lo dispuesto en las presentes Disposiciones y deberá ser actualizado con la frecuencia necesaria para alcanzar dicho objetivo. El Manual de Inversión deberá formar parte del Programa de Autorregulación que apruebe el Órgano de Gobierno de la Administradora en términos del artículo 29, fracción I de la Ley. Los Funcionarios de la Administradora y de las Sociedades de Inversión deberán observar el cumplimiento de dicho Manual de Inversión.</w:t>
      </w:r>
    </w:p>
    <w:p w:rsidR="00CA63EE" w:rsidRPr="00CA63EE" w:rsidRDefault="00CA63EE" w:rsidP="00CA63EE">
      <w:pPr>
        <w:jc w:val="both"/>
        <w:rPr>
          <w:rFonts w:ascii="Verdana" w:hAnsi="Verdana"/>
          <w:bCs/>
          <w:sz w:val="20"/>
        </w:rPr>
      </w:pPr>
      <w:r w:rsidRPr="00CA63EE">
        <w:rPr>
          <w:rFonts w:ascii="Verdana" w:hAnsi="Verdana"/>
          <w:b/>
          <w:bCs/>
          <w:sz w:val="20"/>
        </w:rPr>
        <w:t>CAPÍTULO IV</w:t>
      </w:r>
    </w:p>
    <w:p w:rsidR="00CA63EE" w:rsidRPr="00CA63EE" w:rsidRDefault="00CA63EE" w:rsidP="00CA63EE">
      <w:pPr>
        <w:jc w:val="both"/>
        <w:rPr>
          <w:rFonts w:ascii="Verdana" w:hAnsi="Verdana"/>
          <w:bCs/>
          <w:sz w:val="20"/>
        </w:rPr>
      </w:pPr>
      <w:r w:rsidRPr="00CA63EE">
        <w:rPr>
          <w:rFonts w:ascii="Verdana" w:hAnsi="Verdana"/>
          <w:b/>
          <w:bCs/>
          <w:sz w:val="20"/>
        </w:rPr>
        <w:t>DEL PROCESO DE INVERSIÓN</w:t>
      </w:r>
    </w:p>
    <w:p w:rsidR="00CA63EE" w:rsidRPr="00CA63EE" w:rsidRDefault="00CA63EE" w:rsidP="00CA63EE">
      <w:pPr>
        <w:jc w:val="both"/>
        <w:rPr>
          <w:rFonts w:ascii="Verdana" w:hAnsi="Verdana"/>
          <w:bCs/>
          <w:sz w:val="20"/>
        </w:rPr>
      </w:pPr>
      <w:r w:rsidRPr="00CA63EE">
        <w:rPr>
          <w:rFonts w:ascii="Verdana" w:hAnsi="Verdana"/>
          <w:b/>
          <w:bCs/>
          <w:sz w:val="20"/>
        </w:rPr>
        <w:t>Artículo 53.- </w:t>
      </w:r>
      <w:r w:rsidRPr="00CA63EE">
        <w:rPr>
          <w:rFonts w:ascii="Verdana" w:hAnsi="Verdana"/>
          <w:bCs/>
          <w:sz w:val="20"/>
        </w:rPr>
        <w:t>Las Administradoras deberán contar para las operaciones que celebren directamente a través de sus Operadores con un Sistema Integral Automatizado para las actividades de adquisición, enajenación y registro en línea de Activos Objeto de Inversión que cumplan cuando menos con lo señalado en el Anexo L de las presentes Disposiciones. El Sistema Integral Automatizado a que se refiere el presente artículo deberá emplear insumos con un rezago de un día o menor si el Comité de Inversión así lo define.</w:t>
      </w:r>
    </w:p>
    <w:p w:rsidR="00CA63EE" w:rsidRPr="00CA63EE" w:rsidRDefault="00CA63EE" w:rsidP="00CA63EE">
      <w:pPr>
        <w:jc w:val="both"/>
        <w:rPr>
          <w:rFonts w:ascii="Verdana" w:hAnsi="Verdana"/>
          <w:bCs/>
          <w:sz w:val="20"/>
        </w:rPr>
      </w:pPr>
      <w:r w:rsidRPr="00CA63EE">
        <w:rPr>
          <w:rFonts w:ascii="Verdana" w:hAnsi="Verdana"/>
          <w:b/>
          <w:bCs/>
          <w:sz w:val="20"/>
        </w:rPr>
        <w:t>Artículo 54.-</w:t>
      </w:r>
      <w:r w:rsidRPr="00CA63EE">
        <w:rPr>
          <w:rFonts w:ascii="Verdana" w:hAnsi="Verdana"/>
          <w:bCs/>
          <w:sz w:val="20"/>
        </w:rPr>
        <w:t xml:space="preserve"> Las Administradoras durante la implementación del Sistema Integral Automatizado deberán emplear de manera simultánea el sistema con el que cuenten para dar cumplimiento a lo establecido en las presentes Disposiciones. Durante la sustitución del Sistema Integral Automatizado, la Administradora será responsable de cualquier incumplimiento ocasionado a las presentes Disposiciones, a las Disposiciones de carácter general que establecen el régimen de inversión al que deberán sujetarse las Sociedades de Inversión, a las Disposiciones de carácter general sobre el registro de la contabilidad, elaboración </w:t>
      </w:r>
      <w:proofErr w:type="spellStart"/>
      <w:r w:rsidRPr="00CA63EE">
        <w:rPr>
          <w:rFonts w:ascii="Verdana" w:hAnsi="Verdana"/>
          <w:bCs/>
          <w:sz w:val="20"/>
        </w:rPr>
        <w:t>ypresentación</w:t>
      </w:r>
      <w:proofErr w:type="spellEnd"/>
      <w:r w:rsidRPr="00CA63EE">
        <w:rPr>
          <w:rFonts w:ascii="Verdana" w:hAnsi="Verdana"/>
          <w:bCs/>
          <w:sz w:val="20"/>
        </w:rPr>
        <w:t xml:space="preserve"> de estados financieros a las que deberán sujetarse las Sociedades de Inversión, a las Disposiciones de carácter general que establecen el régimen patrimonial al que se sujetarán las Administradoras, el </w:t>
      </w:r>
      <w:proofErr w:type="spellStart"/>
      <w:r w:rsidRPr="00CA63EE">
        <w:rPr>
          <w:rFonts w:ascii="Verdana" w:hAnsi="Verdana"/>
          <w:bCs/>
          <w:sz w:val="20"/>
        </w:rPr>
        <w:t>Pensionissste</w:t>
      </w:r>
      <w:proofErr w:type="spellEnd"/>
      <w:r w:rsidRPr="00CA63EE">
        <w:rPr>
          <w:rFonts w:ascii="Verdana" w:hAnsi="Verdana"/>
          <w:bCs/>
          <w:sz w:val="20"/>
        </w:rPr>
        <w:t xml:space="preserve"> y las Sociedades de Inversión y la reserva especial, a las Disposiciones de carácter general que establecen el procedimiento para la construcción de los indicadores de rendimiento neto de las Sociedades de Inversión, a las Reglas generales que al efecto establezca la Comisión para la entrega de información y a lo previsto en las Reglas Prudenciales en materia de administración de riesgos.</w:t>
      </w:r>
    </w:p>
    <w:p w:rsidR="00CA63EE" w:rsidRPr="00CA63EE" w:rsidRDefault="00CA63EE" w:rsidP="00CA63EE">
      <w:pPr>
        <w:jc w:val="both"/>
        <w:rPr>
          <w:rFonts w:ascii="Verdana" w:hAnsi="Verdana"/>
          <w:bCs/>
          <w:sz w:val="20"/>
        </w:rPr>
      </w:pPr>
      <w:r w:rsidRPr="00CA63EE">
        <w:rPr>
          <w:rFonts w:ascii="Verdana" w:hAnsi="Verdana"/>
          <w:b/>
          <w:bCs/>
          <w:sz w:val="20"/>
        </w:rPr>
        <w:t>Artículo 55.- </w:t>
      </w:r>
      <w:r w:rsidRPr="00CA63EE">
        <w:rPr>
          <w:rFonts w:ascii="Verdana" w:hAnsi="Verdana"/>
          <w:bCs/>
          <w:sz w:val="20"/>
        </w:rPr>
        <w:t xml:space="preserve">Las Administradoras deberán establecer políticas de contingencia para el caso de fallas técnicas en el Sistema Integral Automatizado o algún módulo del referido sistema, así como políticas de respaldo y continuidad de la operación de inversión con la que deberá contar la Sociedad de Inversión. Dichas políticas de contingencia deberán contemplar el funcionamiento de las actividades críticas definidas </w:t>
      </w:r>
      <w:r w:rsidRPr="00CA63EE">
        <w:rPr>
          <w:rFonts w:ascii="Verdana" w:hAnsi="Verdana"/>
          <w:bCs/>
          <w:sz w:val="20"/>
        </w:rPr>
        <w:lastRenderedPageBreak/>
        <w:t>por el Comité de Inversión, considerando lo previsto en el artículo 56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56.-</w:t>
      </w:r>
      <w:r w:rsidRPr="00CA63EE">
        <w:rPr>
          <w:rFonts w:ascii="Verdana" w:hAnsi="Verdana"/>
          <w:bCs/>
          <w:sz w:val="20"/>
        </w:rPr>
        <w:t> En caso de que se requiera recuperar la continuidad de la operatividad se deberá llevar a cabo en una sede alterna que</w:t>
      </w:r>
      <w:r w:rsidRPr="00CA63EE">
        <w:rPr>
          <w:rFonts w:ascii="Verdana" w:hAnsi="Verdana"/>
          <w:b/>
          <w:bCs/>
          <w:sz w:val="20"/>
        </w:rPr>
        <w:t> </w:t>
      </w:r>
      <w:r w:rsidRPr="00CA63EE">
        <w:rPr>
          <w:rFonts w:ascii="Verdana" w:hAnsi="Verdana"/>
          <w:bCs/>
          <w:sz w:val="20"/>
        </w:rPr>
        <w:t xml:space="preserve">no deberá verse previsiblemente afectada por las mismas circunstancias que la sede de la Administradora. La sede alterna de la Administradora deberá satisfacer cabalmente las presentes Disposiciones, en relación al funcionamiento mínimo que deberán observar las Sociedades de Inversión, así como las actividades adicionales determinadas por la propia Administradora. En caso de que la Administradora determine la realización de funciones adicionales al funcionamiento mínimo en la sede </w:t>
      </w:r>
      <w:proofErr w:type="spellStart"/>
      <w:r w:rsidRPr="00CA63EE">
        <w:rPr>
          <w:rFonts w:ascii="Verdana" w:hAnsi="Verdana"/>
          <w:bCs/>
          <w:sz w:val="20"/>
        </w:rPr>
        <w:t>alterna</w:t>
      </w:r>
      <w:proofErr w:type="gramStart"/>
      <w:r w:rsidRPr="00CA63EE">
        <w:rPr>
          <w:rFonts w:ascii="Verdana" w:hAnsi="Verdana"/>
          <w:bCs/>
          <w:sz w:val="20"/>
        </w:rPr>
        <w:t>,la</w:t>
      </w:r>
      <w:proofErr w:type="spellEnd"/>
      <w:proofErr w:type="gramEnd"/>
      <w:r w:rsidRPr="00CA63EE">
        <w:rPr>
          <w:rFonts w:ascii="Verdana" w:hAnsi="Verdana"/>
          <w:bCs/>
          <w:sz w:val="20"/>
        </w:rPr>
        <w:t xml:space="preserve"> Administradora será responsable de garantizar el cabal cumplimiento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Se entenderá por funcionamiento mínimo de las Sociedades de Inversión, las siguientes actividades:</w:t>
      </w:r>
    </w:p>
    <w:p w:rsidR="00CA63EE" w:rsidRPr="00CA63EE" w:rsidRDefault="00CA63EE" w:rsidP="00CA63EE">
      <w:pPr>
        <w:jc w:val="both"/>
        <w:rPr>
          <w:rFonts w:ascii="Verdana" w:hAnsi="Verdana"/>
          <w:bCs/>
          <w:sz w:val="20"/>
        </w:rPr>
      </w:pPr>
      <w:r w:rsidRPr="00CA63EE">
        <w:rPr>
          <w:rFonts w:ascii="Verdana" w:hAnsi="Verdana"/>
          <w:bCs/>
          <w:sz w:val="20"/>
        </w:rPr>
        <w:t>I.           Poder cruzar el precio de la Sociedad de Inversión en la plataforma definida por una Bolsa de Valores autorizada para organizarse y operar en términos de la Ley del Mercado de Valores;</w:t>
      </w:r>
    </w:p>
    <w:p w:rsidR="00CA63EE" w:rsidRPr="00CA63EE" w:rsidRDefault="00CA63EE" w:rsidP="00CA63EE">
      <w:pPr>
        <w:jc w:val="both"/>
        <w:rPr>
          <w:rFonts w:ascii="Verdana" w:hAnsi="Verdana"/>
          <w:bCs/>
          <w:sz w:val="20"/>
        </w:rPr>
      </w:pPr>
      <w:r w:rsidRPr="00CA63EE">
        <w:rPr>
          <w:rFonts w:ascii="Verdana" w:hAnsi="Verdana"/>
          <w:bCs/>
          <w:sz w:val="20"/>
        </w:rPr>
        <w:t>II.          Enviar a la Comisión la información financiera referida en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III.          Cumplir con todas las obligaciones de liquidación de Activos Objeto de Inversión que conforman la cartera de inversión de la Sociedad de Inversión, y</w:t>
      </w:r>
    </w:p>
    <w:p w:rsidR="00CA63EE" w:rsidRPr="00CA63EE" w:rsidRDefault="00CA63EE" w:rsidP="00CA63EE">
      <w:pPr>
        <w:jc w:val="both"/>
        <w:rPr>
          <w:rFonts w:ascii="Verdana" w:hAnsi="Verdana"/>
          <w:bCs/>
          <w:sz w:val="20"/>
        </w:rPr>
      </w:pPr>
      <w:r w:rsidRPr="00CA63EE">
        <w:rPr>
          <w:rFonts w:ascii="Verdana" w:hAnsi="Verdana"/>
          <w:bCs/>
          <w:sz w:val="20"/>
        </w:rPr>
        <w:t>IV.         Realizar las operaciones necesarias para cumplir con las obligaciones previamente contraídas.</w:t>
      </w:r>
    </w:p>
    <w:p w:rsidR="00CA63EE" w:rsidRPr="00CA63EE" w:rsidRDefault="00CA63EE" w:rsidP="00CA63EE">
      <w:pPr>
        <w:jc w:val="both"/>
        <w:rPr>
          <w:rFonts w:ascii="Verdana" w:hAnsi="Verdana"/>
          <w:bCs/>
          <w:sz w:val="20"/>
        </w:rPr>
      </w:pPr>
      <w:r w:rsidRPr="00CA63EE">
        <w:rPr>
          <w:rFonts w:ascii="Verdana" w:hAnsi="Verdana"/>
          <w:b/>
          <w:bCs/>
          <w:sz w:val="20"/>
        </w:rPr>
        <w:t>Artículo 57.- </w:t>
      </w:r>
      <w:r w:rsidRPr="00CA63EE">
        <w:rPr>
          <w:rFonts w:ascii="Verdana" w:hAnsi="Verdana"/>
          <w:bCs/>
          <w:sz w:val="20"/>
        </w:rPr>
        <w:t>Las Administradoras no podrán traspasar Activos Objeto de Inversión entre Sociedades de Inversión salvo que alguna norma o autorización emitida por la Comisión lo permita.</w:t>
      </w:r>
    </w:p>
    <w:p w:rsidR="00CA63EE" w:rsidRPr="00CA63EE" w:rsidRDefault="00CA63EE" w:rsidP="00CA63EE">
      <w:pPr>
        <w:jc w:val="both"/>
        <w:rPr>
          <w:rFonts w:ascii="Verdana" w:hAnsi="Verdana"/>
          <w:bCs/>
          <w:sz w:val="20"/>
        </w:rPr>
      </w:pPr>
      <w:r w:rsidRPr="00CA63EE">
        <w:rPr>
          <w:rFonts w:ascii="Verdana" w:hAnsi="Verdana"/>
          <w:b/>
          <w:bCs/>
          <w:sz w:val="20"/>
        </w:rPr>
        <w:t>Artículo 58.-</w:t>
      </w:r>
      <w:r w:rsidRPr="00CA63EE">
        <w:rPr>
          <w:rFonts w:ascii="Verdana" w:hAnsi="Verdana"/>
          <w:bCs/>
          <w:sz w:val="20"/>
        </w:rPr>
        <w:t> Las Sociedades de Inversión podrán adquirir o enajenar Activos Objeto de Inversión únicamente en los Países Elegibles para Inversiones.</w:t>
      </w:r>
    </w:p>
    <w:p w:rsidR="00CA63EE" w:rsidRPr="00CA63EE" w:rsidRDefault="00CA63EE" w:rsidP="00CA63EE">
      <w:pPr>
        <w:jc w:val="both"/>
        <w:rPr>
          <w:rFonts w:ascii="Verdana" w:hAnsi="Verdana"/>
          <w:bCs/>
          <w:sz w:val="20"/>
        </w:rPr>
      </w:pPr>
      <w:r w:rsidRPr="00CA63EE">
        <w:rPr>
          <w:rFonts w:ascii="Verdana" w:hAnsi="Verdana"/>
          <w:b/>
          <w:bCs/>
          <w:sz w:val="20"/>
        </w:rPr>
        <w:t>Artículo 59.-</w:t>
      </w:r>
      <w:r w:rsidRPr="00CA63EE">
        <w:rPr>
          <w:rFonts w:ascii="Verdana" w:hAnsi="Verdana"/>
          <w:bCs/>
          <w:sz w:val="20"/>
        </w:rPr>
        <w:t> Las Sociedades de Inversión que operen las Administradoras deberán prever que las actividades de compra o venta que realicen se apeguen a los sanos usos y prácticas del mercado.</w:t>
      </w:r>
    </w:p>
    <w:p w:rsidR="00CA63EE" w:rsidRPr="00CA63EE" w:rsidRDefault="00CA63EE" w:rsidP="00CA63EE">
      <w:pPr>
        <w:jc w:val="both"/>
        <w:rPr>
          <w:rFonts w:ascii="Verdana" w:hAnsi="Verdana"/>
          <w:bCs/>
          <w:sz w:val="20"/>
        </w:rPr>
      </w:pPr>
      <w:r w:rsidRPr="00CA63EE">
        <w:rPr>
          <w:rFonts w:ascii="Verdana" w:hAnsi="Verdana"/>
          <w:bCs/>
          <w:sz w:val="20"/>
        </w:rPr>
        <w:t>Las operaciones de compra o venta de un Activo Objeto de Inversión negociadas a través de bolsas de valores, Bolsas de Derivados o corros electrónicos abiertos simultáneamente a participantes financieros, se considerarán operaciones a mercado.</w:t>
      </w:r>
    </w:p>
    <w:p w:rsidR="00CA63EE" w:rsidRPr="00CA63EE" w:rsidRDefault="00CA63EE" w:rsidP="00CA63EE">
      <w:pPr>
        <w:jc w:val="both"/>
        <w:rPr>
          <w:rFonts w:ascii="Verdana" w:hAnsi="Verdana"/>
          <w:bCs/>
          <w:sz w:val="20"/>
        </w:rPr>
      </w:pPr>
      <w:r w:rsidRPr="00CA63EE">
        <w:rPr>
          <w:rFonts w:ascii="Verdana" w:hAnsi="Verdana"/>
          <w:bCs/>
          <w:sz w:val="20"/>
        </w:rPr>
        <w:t>Es una obligación de la Administradora mantener evidencia en medios magnéticos, así como electrónicos, documentales, o análogos, que sustenten el apego a las políticas adoptadas para asegurar que las operaciones realizadas se llevarán a cabo conforme a las políticas de mejor ejecución.</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60.-</w:t>
      </w:r>
      <w:r w:rsidRPr="00CA63EE">
        <w:rPr>
          <w:rFonts w:ascii="Verdana" w:hAnsi="Verdana"/>
          <w:bCs/>
          <w:sz w:val="20"/>
        </w:rPr>
        <w:t> El Responsable del Área de Inversiones, o bien, el Funcionario que éste designe por escrito, deberá dar aviso al Comité de Inversión en cada sesión ordinaria sobre los excesos en el uso de las líneas de crédito por Contraparte en operaciones con Derivados ocurridos durante el último periodo entre sesiones.</w:t>
      </w:r>
    </w:p>
    <w:p w:rsidR="00CA63EE" w:rsidRPr="00CA63EE" w:rsidRDefault="00CA63EE" w:rsidP="00CA63EE">
      <w:pPr>
        <w:jc w:val="both"/>
        <w:rPr>
          <w:rFonts w:ascii="Verdana" w:hAnsi="Verdana"/>
          <w:bCs/>
          <w:sz w:val="20"/>
        </w:rPr>
      </w:pPr>
      <w:r w:rsidRPr="00CA63EE">
        <w:rPr>
          <w:rFonts w:ascii="Verdana" w:hAnsi="Verdana"/>
          <w:b/>
          <w:bCs/>
          <w:sz w:val="20"/>
        </w:rPr>
        <w:t>Artículo 61.-</w:t>
      </w:r>
      <w:r w:rsidRPr="00CA63EE">
        <w:rPr>
          <w:rFonts w:ascii="Verdana" w:hAnsi="Verdana"/>
          <w:bCs/>
          <w:sz w:val="20"/>
        </w:rPr>
        <w:t> Las Administradoras podrán prever que los contratos con los Custodios incluyan facilidades de liquidez en las operaciones de compra o venta de Activos Objeto de Inversión, las cuales se deberán saldar al cierre del día. Dichas facilidades no generarán costo alguno para las Administradoras o para las Sociedades de Inversión que operen referente al monto facilitado, siempre que se salden al cierre del día.</w:t>
      </w:r>
    </w:p>
    <w:p w:rsidR="00CA63EE" w:rsidRPr="00CA63EE" w:rsidRDefault="00CA63EE" w:rsidP="00CA63EE">
      <w:pPr>
        <w:jc w:val="both"/>
        <w:rPr>
          <w:rFonts w:ascii="Verdana" w:hAnsi="Verdana"/>
          <w:bCs/>
          <w:sz w:val="20"/>
        </w:rPr>
      </w:pPr>
      <w:r w:rsidRPr="00CA63EE">
        <w:rPr>
          <w:rFonts w:ascii="Verdana" w:hAnsi="Verdana"/>
          <w:b/>
          <w:bCs/>
          <w:sz w:val="20"/>
        </w:rPr>
        <w:t>Artículo 62.- </w:t>
      </w:r>
      <w:r w:rsidRPr="00CA63EE">
        <w:rPr>
          <w:rFonts w:ascii="Verdana" w:hAnsi="Verdana"/>
          <w:bCs/>
          <w:sz w:val="20"/>
        </w:rPr>
        <w:t>Las áreas de confirmación, liquidación, asignación, registro contable y generación de estados financieros de las Sociedades de Inversión deberán contar con un manual que indique las políticas y los procedimientos que rigen su operación, así como la descripción del Sistema Integral Automatizado que apliquen a sus actividades y la estructura de base de datos generada para el seguimiento de cada una de estas actividades.</w:t>
      </w:r>
    </w:p>
    <w:p w:rsidR="00CA63EE" w:rsidRPr="00CA63EE" w:rsidRDefault="00CA63EE" w:rsidP="00CA63EE">
      <w:pPr>
        <w:jc w:val="both"/>
        <w:rPr>
          <w:rFonts w:ascii="Verdana" w:hAnsi="Verdana"/>
          <w:bCs/>
          <w:sz w:val="20"/>
        </w:rPr>
      </w:pPr>
      <w:r w:rsidRPr="00CA63EE">
        <w:rPr>
          <w:rFonts w:ascii="Verdana" w:hAnsi="Verdana"/>
          <w:bCs/>
          <w:sz w:val="20"/>
        </w:rPr>
        <w:t>Dicho manual deberá ser aprobado por el Comité de Inversión, el Comité de Riesgos Financieros o bien el Funcionario que designe como responsable el director general quedando asentado quien lo aprobó en el propio manual. Asimismo, en dicho manual deberá quedar asentado el Comité o Funcionario responsable de definir las políticas y periodicidad de actualización y mejora del Sistema Integral Automatizado en términos del artículo 4 segundo párrafo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El manual en comento deberá mantenerse a disposición de la Comisión en todo momento.</w:t>
      </w:r>
    </w:p>
    <w:p w:rsidR="00CA63EE" w:rsidRPr="00CA63EE" w:rsidRDefault="00CA63EE" w:rsidP="00CA63EE">
      <w:pPr>
        <w:jc w:val="both"/>
        <w:rPr>
          <w:rFonts w:ascii="Verdana" w:hAnsi="Verdana"/>
          <w:bCs/>
          <w:sz w:val="20"/>
        </w:rPr>
      </w:pPr>
      <w:r w:rsidRPr="00CA63EE">
        <w:rPr>
          <w:rFonts w:ascii="Verdana" w:hAnsi="Verdana"/>
          <w:b/>
          <w:bCs/>
          <w:sz w:val="20"/>
        </w:rPr>
        <w:t>CAPÍTULO V</w:t>
      </w:r>
    </w:p>
    <w:p w:rsidR="00CA63EE" w:rsidRPr="00CA63EE" w:rsidRDefault="00CA63EE" w:rsidP="00CA63EE">
      <w:pPr>
        <w:jc w:val="both"/>
        <w:rPr>
          <w:rFonts w:ascii="Verdana" w:hAnsi="Verdana"/>
          <w:bCs/>
          <w:sz w:val="20"/>
        </w:rPr>
      </w:pPr>
      <w:r w:rsidRPr="00CA63EE">
        <w:rPr>
          <w:rFonts w:ascii="Verdana" w:hAnsi="Verdana"/>
          <w:b/>
          <w:bCs/>
          <w:sz w:val="20"/>
        </w:rPr>
        <w:t>DE LAS PRUEBAS DE COMPORTAMIENTO DE LAS CARTERAS DE INVERSIÓN</w:t>
      </w:r>
    </w:p>
    <w:p w:rsidR="00CA63EE" w:rsidRPr="00CA63EE" w:rsidRDefault="00CA63EE" w:rsidP="00CA63EE">
      <w:pPr>
        <w:jc w:val="both"/>
        <w:rPr>
          <w:rFonts w:ascii="Verdana" w:hAnsi="Verdana"/>
          <w:bCs/>
          <w:sz w:val="20"/>
        </w:rPr>
      </w:pPr>
      <w:r w:rsidRPr="00CA63EE">
        <w:rPr>
          <w:rFonts w:ascii="Verdana" w:hAnsi="Verdana"/>
          <w:b/>
          <w:bCs/>
          <w:sz w:val="20"/>
        </w:rPr>
        <w:t>Artículo 63.- </w:t>
      </w:r>
      <w:r w:rsidRPr="00CA63EE">
        <w:rPr>
          <w:rFonts w:ascii="Verdana" w:hAnsi="Verdana"/>
          <w:bCs/>
          <w:sz w:val="20"/>
        </w:rPr>
        <w:t>El Responsable del Área de Inversiones, o quien éste designe, deberá considerar para sus decisiones de inversión en FIBRAS, Vehículos de Inversión Inmobiliaria, Mercancías, Divisas, Instrumentos de Deuda, Valores Extranjeros de Deuda, Instrumentos de Renta Variable y Valores Extranjeros de Renta Variable que formen parte del Activo Administrado por la Sociedad de Inversión, los resultados de las pruebas elaboradas por la UAIR a que se refiere el Título II, Capítulo II de las presentes Disposiciones. Las referidas pruebas deberán efectuarse con una periodicidad mensual.</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En el caso de las FIBRAS, Vehículos de Inversión Inmobiliaria y Certificados Bursátiles Vinculados a Proyectos Reales las Sociedades de Inversión podrán utilizar Instrumentos Genéricos para realizar las pruebas a las que se refiere el presente artículo. Para el caso de los Instrumentos Estructurados también se deberá elaborar pruebas de cartera las cuales únicamente serán exigibles a partir de que el </w:t>
      </w:r>
      <w:r w:rsidRPr="00CA63EE">
        <w:rPr>
          <w:rFonts w:ascii="Verdana" w:hAnsi="Verdana"/>
          <w:bCs/>
          <w:sz w:val="20"/>
        </w:rPr>
        <w:lastRenderedPageBreak/>
        <w:t>Instrumento Estructurado cuente con inversiones y quedarán satisfechas con los informes de riesgos que para tales efectos provea el administrador o el valuador independiente del Vehículo en cuestión. El Responsable del Área de Inversiones, o quien éste designe, deberá conocer y en su caso solicitar modificaciones a través de los comités técnicos de los Instrumentos Estructurados, referentes a los contenidos de las pruebas previstas en el presente párrafo. Los resultados de estas pruebas deberán darse a conocer al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El Responsable del Área de Riesgos deberá presentar los resultados de las pruebas referidas en la presente disposición mensualmente al Comité de Inversión para que las considere en sus decisiones de inversión de la Sociedad de Inversión en la sesión siguiente a su elaboración y mantenerse a disposición de la Comisión.</w:t>
      </w:r>
    </w:p>
    <w:p w:rsidR="00CA63EE" w:rsidRPr="00CA63EE" w:rsidRDefault="00CA63EE" w:rsidP="00CA63EE">
      <w:pPr>
        <w:jc w:val="both"/>
        <w:rPr>
          <w:rFonts w:ascii="Verdana" w:hAnsi="Verdana"/>
          <w:bCs/>
          <w:sz w:val="20"/>
        </w:rPr>
      </w:pPr>
      <w:r w:rsidRPr="00CA63EE">
        <w:rPr>
          <w:rFonts w:ascii="Verdana" w:hAnsi="Verdana"/>
          <w:b/>
          <w:bCs/>
          <w:sz w:val="20"/>
        </w:rPr>
        <w:t>TÍTULO IV</w:t>
      </w:r>
    </w:p>
    <w:p w:rsidR="00CA63EE" w:rsidRPr="00CA63EE" w:rsidRDefault="00CA63EE" w:rsidP="00CA63EE">
      <w:pPr>
        <w:jc w:val="both"/>
        <w:rPr>
          <w:rFonts w:ascii="Verdana" w:hAnsi="Verdana"/>
          <w:bCs/>
          <w:sz w:val="20"/>
        </w:rPr>
      </w:pPr>
      <w:r w:rsidRPr="00CA63EE">
        <w:rPr>
          <w:rFonts w:ascii="Verdana" w:hAnsi="Verdana"/>
          <w:b/>
          <w:bCs/>
          <w:sz w:val="20"/>
        </w:rPr>
        <w:t>DE LAS SANAS PRÁCTICAS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DE LOS DERECHOS CORPORATIVOS</w:t>
      </w:r>
    </w:p>
    <w:p w:rsidR="00CA63EE" w:rsidRPr="00CA63EE" w:rsidRDefault="00CA63EE" w:rsidP="00CA63EE">
      <w:pPr>
        <w:jc w:val="both"/>
        <w:rPr>
          <w:rFonts w:ascii="Verdana" w:hAnsi="Verdana"/>
          <w:bCs/>
          <w:sz w:val="20"/>
        </w:rPr>
      </w:pPr>
      <w:r w:rsidRPr="00CA63EE">
        <w:rPr>
          <w:rFonts w:ascii="Verdana" w:hAnsi="Verdana"/>
          <w:b/>
          <w:bCs/>
          <w:sz w:val="20"/>
        </w:rPr>
        <w:t>Artículo 64.-</w:t>
      </w:r>
      <w:r w:rsidRPr="00CA63EE">
        <w:rPr>
          <w:rFonts w:ascii="Verdana" w:hAnsi="Verdana"/>
          <w:bCs/>
          <w:sz w:val="20"/>
        </w:rPr>
        <w:t> Las Sociedades de Inversión que opere la Administradora, en el ejercicio de los derechos que les confiera su participación accionaria en una sociedad que forme parte de la cartera de inversión del Activo Administrado por la Sociedad de Inversión deberán sujetarse a lo siguiente:</w:t>
      </w:r>
    </w:p>
    <w:p w:rsidR="00CA63EE" w:rsidRPr="00CA63EE" w:rsidRDefault="00CA63EE" w:rsidP="00CA63EE">
      <w:pPr>
        <w:jc w:val="both"/>
        <w:rPr>
          <w:rFonts w:ascii="Verdana" w:hAnsi="Verdana"/>
          <w:bCs/>
          <w:sz w:val="20"/>
        </w:rPr>
      </w:pPr>
      <w:r w:rsidRPr="00CA63EE">
        <w:rPr>
          <w:rFonts w:ascii="Verdana" w:hAnsi="Verdana"/>
          <w:bCs/>
          <w:sz w:val="20"/>
        </w:rPr>
        <w:t>I.           Definir una política para la designación de consejeros independientes de la empresa financiada por la Sociedad de Inversión, en los consejos de administración que velen por el valor económico y viabilidad de la empresa o inversión y los intereses de los Trabajadores. Dentro de las características de los consejeros independientes se encuentran las siguientes:</w:t>
      </w:r>
    </w:p>
    <w:p w:rsidR="00CA63EE" w:rsidRPr="00CA63EE" w:rsidRDefault="00CA63EE" w:rsidP="00CA63EE">
      <w:pPr>
        <w:jc w:val="both"/>
        <w:rPr>
          <w:rFonts w:ascii="Verdana" w:hAnsi="Verdana"/>
          <w:bCs/>
          <w:sz w:val="20"/>
        </w:rPr>
      </w:pPr>
      <w:r w:rsidRPr="00CA63EE">
        <w:rPr>
          <w:rFonts w:ascii="Verdana" w:hAnsi="Verdana"/>
          <w:bCs/>
          <w:sz w:val="20"/>
        </w:rPr>
        <w:t>a)   Experiencia profesional en actividades como consejeros;</w:t>
      </w:r>
    </w:p>
    <w:p w:rsidR="00CA63EE" w:rsidRPr="00CA63EE" w:rsidRDefault="00CA63EE" w:rsidP="00CA63EE">
      <w:pPr>
        <w:jc w:val="both"/>
        <w:rPr>
          <w:rFonts w:ascii="Verdana" w:hAnsi="Verdana"/>
          <w:bCs/>
          <w:sz w:val="20"/>
        </w:rPr>
      </w:pPr>
      <w:r w:rsidRPr="00CA63EE">
        <w:rPr>
          <w:rFonts w:ascii="Verdana" w:hAnsi="Verdana"/>
          <w:bCs/>
          <w:sz w:val="20"/>
        </w:rPr>
        <w:t>b)   Apegarse al código de ética establecido por el Comité de Inversión, el cual comprenderá entre otros:</w:t>
      </w:r>
    </w:p>
    <w:p w:rsidR="00CA63EE" w:rsidRPr="00CA63EE" w:rsidRDefault="00CA63EE" w:rsidP="00CA63EE">
      <w:pPr>
        <w:jc w:val="both"/>
        <w:rPr>
          <w:rFonts w:ascii="Verdana" w:hAnsi="Verdana"/>
          <w:bCs/>
          <w:sz w:val="20"/>
        </w:rPr>
      </w:pPr>
      <w:r w:rsidRPr="00CA63EE">
        <w:rPr>
          <w:rFonts w:ascii="Verdana" w:hAnsi="Verdana"/>
          <w:bCs/>
          <w:sz w:val="20"/>
        </w:rPr>
        <w:t>i.    Abstenerse en las votaciones en las que el consejero independiente tenga conflicto de interés en su persona;</w:t>
      </w:r>
    </w:p>
    <w:p w:rsidR="00CA63EE" w:rsidRPr="00CA63EE" w:rsidRDefault="00CA63EE" w:rsidP="00CA63EE">
      <w:pPr>
        <w:jc w:val="both"/>
        <w:rPr>
          <w:rFonts w:ascii="Verdana" w:hAnsi="Verdana"/>
          <w:bCs/>
          <w:sz w:val="20"/>
        </w:rPr>
      </w:pPr>
      <w:r w:rsidRPr="00CA63EE">
        <w:rPr>
          <w:rFonts w:ascii="Verdana" w:hAnsi="Verdana"/>
          <w:bCs/>
          <w:sz w:val="20"/>
        </w:rPr>
        <w:t>ii.    Prever políticas en las cuales el consejero independiente como representante de la Sociedad de Inversión tenga conflicto de interés con la empresa, y</w:t>
      </w:r>
    </w:p>
    <w:p w:rsidR="00CA63EE" w:rsidRPr="00CA63EE" w:rsidRDefault="00CA63EE" w:rsidP="00CA63EE">
      <w:pPr>
        <w:jc w:val="both"/>
        <w:rPr>
          <w:rFonts w:ascii="Verdana" w:hAnsi="Verdana"/>
          <w:bCs/>
          <w:sz w:val="20"/>
        </w:rPr>
      </w:pPr>
      <w:r w:rsidRPr="00CA63EE">
        <w:rPr>
          <w:rFonts w:ascii="Verdana" w:hAnsi="Verdana"/>
          <w:bCs/>
          <w:sz w:val="20"/>
        </w:rPr>
        <w:t>iii.   Conocimiento de los preceptos de la Ley del Mercado de Valores, en particular en cuanto al acceso de información que no sea pública para la toma de decisiones.</w:t>
      </w:r>
    </w:p>
    <w:p w:rsidR="00CA63EE" w:rsidRPr="00CA63EE" w:rsidRDefault="00CA63EE" w:rsidP="00CA63EE">
      <w:pPr>
        <w:jc w:val="both"/>
        <w:rPr>
          <w:rFonts w:ascii="Verdana" w:hAnsi="Verdana"/>
          <w:bCs/>
          <w:sz w:val="20"/>
        </w:rPr>
      </w:pPr>
      <w:r w:rsidRPr="00CA63EE">
        <w:rPr>
          <w:rFonts w:ascii="Verdana" w:hAnsi="Verdana"/>
          <w:bCs/>
          <w:sz w:val="20"/>
        </w:rPr>
        <w:t>c)   Apegarse a las reglas y lineamientos aplicables a los consejeros definidos por las autoridades reguladoras de mercados de valores y, en su caso, agrupaciones gremiales.</w:t>
      </w:r>
    </w:p>
    <w:p w:rsidR="00CA63EE" w:rsidRPr="00CA63EE" w:rsidRDefault="00CA63EE" w:rsidP="00CA63EE">
      <w:pPr>
        <w:jc w:val="both"/>
        <w:rPr>
          <w:rFonts w:ascii="Verdana" w:hAnsi="Verdana"/>
          <w:bCs/>
          <w:sz w:val="20"/>
        </w:rPr>
      </w:pPr>
      <w:r w:rsidRPr="00CA63EE">
        <w:rPr>
          <w:rFonts w:ascii="Verdana" w:hAnsi="Verdana"/>
          <w:bCs/>
          <w:sz w:val="20"/>
        </w:rPr>
        <w:lastRenderedPageBreak/>
        <w:t>II.          Definir una política que, en su caso, será aplicable a situaciones en las que la Sociedad de Inversión decida no nombrar a un consejero independiente.</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DE LAS BUENAS PRÁCTICAS</w:t>
      </w:r>
    </w:p>
    <w:p w:rsidR="00CA63EE" w:rsidRPr="00CA63EE" w:rsidRDefault="00CA63EE" w:rsidP="00CA63EE">
      <w:pPr>
        <w:jc w:val="both"/>
        <w:rPr>
          <w:rFonts w:ascii="Verdana" w:hAnsi="Verdana"/>
          <w:bCs/>
          <w:sz w:val="20"/>
        </w:rPr>
      </w:pPr>
      <w:r w:rsidRPr="00CA63EE">
        <w:rPr>
          <w:rFonts w:ascii="Verdana" w:hAnsi="Verdana"/>
          <w:b/>
          <w:bCs/>
          <w:sz w:val="20"/>
        </w:rPr>
        <w:t>Artículo 65.-</w:t>
      </w:r>
      <w:r w:rsidRPr="00CA63EE">
        <w:rPr>
          <w:rFonts w:ascii="Verdana" w:hAnsi="Verdana"/>
          <w:bCs/>
          <w:sz w:val="20"/>
        </w:rPr>
        <w:t> El Órgano de Gobierno de la Administradora deberá elaborar y aprobar un código de buenas prácticas cuyo objetivo sea eliminar potenciales conflictos de interés en las actividades y toma de decisiones referentes a las inversiones y administración de riesgos. Asimismo, el Órgano de Gobierno de la Administradora deberá elaborar y aprobar un código de ética cuyo objetivo sea establecer los principios con los que deberán conducirse los Funcionarios</w:t>
      </w:r>
      <w:r w:rsidRPr="00CA63EE">
        <w:rPr>
          <w:rFonts w:ascii="Verdana" w:hAnsi="Verdana"/>
          <w:b/>
          <w:bCs/>
          <w:sz w:val="20"/>
        </w:rPr>
        <w:t> </w:t>
      </w:r>
      <w:r w:rsidRPr="00CA63EE">
        <w:rPr>
          <w:rFonts w:ascii="Verdana" w:hAnsi="Verdana"/>
          <w:bCs/>
          <w:sz w:val="20"/>
        </w:rPr>
        <w:t>del área de inversiones, del área de riesgos, de la contraloría normativa que ejerzan labores de observación en materia financiera de las Sociedades de Inversión, de las áreas o actividades de confirmación, liquidación, asignación, registro contable y generación de estados financieros de las operaciones de inversión, incluyendo a los integrantes de los Comités de Inversión y de Riesgos Financieros, así como todos los involucrados en la operación y toma de decisiones de las Sociedades de Inversión, en el cumplimiento de sus funciones.</w:t>
      </w:r>
    </w:p>
    <w:p w:rsidR="00CA63EE" w:rsidRPr="00CA63EE" w:rsidRDefault="00CA63EE" w:rsidP="00CA63EE">
      <w:pPr>
        <w:jc w:val="both"/>
        <w:rPr>
          <w:rFonts w:ascii="Verdana" w:hAnsi="Verdana"/>
          <w:bCs/>
          <w:sz w:val="20"/>
        </w:rPr>
      </w:pPr>
      <w:r w:rsidRPr="00CA63EE">
        <w:rPr>
          <w:rFonts w:ascii="Verdana" w:hAnsi="Verdana"/>
          <w:bCs/>
          <w:sz w:val="20"/>
        </w:rPr>
        <w:t>I.           El código de buenas prácticas deberá incluir lo siguiente:</w:t>
      </w:r>
    </w:p>
    <w:p w:rsidR="00CA63EE" w:rsidRPr="00CA63EE" w:rsidRDefault="00CA63EE" w:rsidP="00CA63EE">
      <w:pPr>
        <w:jc w:val="both"/>
        <w:rPr>
          <w:rFonts w:ascii="Verdana" w:hAnsi="Verdana"/>
          <w:bCs/>
          <w:sz w:val="20"/>
        </w:rPr>
      </w:pPr>
      <w:r w:rsidRPr="00CA63EE">
        <w:rPr>
          <w:rFonts w:ascii="Verdana" w:hAnsi="Verdana"/>
          <w:bCs/>
          <w:sz w:val="20"/>
        </w:rPr>
        <w:t>a)   Responsabilidades y obligaciones que determine el Órgano de Gobierno de la Administradora, para cada consejero miembro de dicho Órgano;</w:t>
      </w:r>
    </w:p>
    <w:p w:rsidR="00CA63EE" w:rsidRPr="00CA63EE" w:rsidRDefault="00CA63EE" w:rsidP="00CA63EE">
      <w:pPr>
        <w:jc w:val="both"/>
        <w:rPr>
          <w:rFonts w:ascii="Verdana" w:hAnsi="Verdana"/>
          <w:bCs/>
          <w:sz w:val="20"/>
        </w:rPr>
      </w:pPr>
      <w:r w:rsidRPr="00CA63EE">
        <w:rPr>
          <w:rFonts w:ascii="Verdana" w:hAnsi="Verdana"/>
          <w:bCs/>
          <w:sz w:val="20"/>
        </w:rPr>
        <w:t>b)   Una política que permita conocer a los miembros del Órgano de Gobierno de la Administradora los reportes de los expertos independientes, en su caso;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c)   Una política para detectar y evitar conflictos de interés reales y potenciales en las actividades de inversión y de administración de riesgos que sean presentados ante el Órgano de Gobierno de la Administradora;</w:t>
      </w:r>
    </w:p>
    <w:p w:rsidR="00CA63EE" w:rsidRPr="00CA63EE" w:rsidRDefault="00CA63EE" w:rsidP="00CA63EE">
      <w:pPr>
        <w:jc w:val="both"/>
        <w:rPr>
          <w:rFonts w:ascii="Verdana" w:hAnsi="Verdana"/>
          <w:bCs/>
          <w:sz w:val="20"/>
        </w:rPr>
      </w:pPr>
      <w:r w:rsidRPr="00CA63EE">
        <w:rPr>
          <w:rFonts w:ascii="Verdana" w:hAnsi="Verdana"/>
          <w:bCs/>
          <w:sz w:val="20"/>
        </w:rPr>
        <w:t>d)   Los criterios sobre los cuales podrían basarse las políticas de remuneración del personal de inversión y riesgos de las Sociedades de Inversión, así como de los responsables de las áreas de confirmación, asignación, liquidación y registro contable y contraloría normativa. La Administradora tendrá la obligación de proveer los insumos para que ejerzan, en tiempo y forma, las herramientas necesarias para el ejercicio de las facultades de los Consejeros Independientes. Asimismo, les informará respecto de los asuntos en los que se les solicitará su opinión, y</w:t>
      </w:r>
    </w:p>
    <w:p w:rsidR="00CA63EE" w:rsidRPr="00CA63EE" w:rsidRDefault="00CA63EE" w:rsidP="00CA63EE">
      <w:pPr>
        <w:jc w:val="both"/>
        <w:rPr>
          <w:rFonts w:ascii="Verdana" w:hAnsi="Verdana"/>
          <w:bCs/>
          <w:sz w:val="20"/>
        </w:rPr>
      </w:pPr>
      <w:r w:rsidRPr="00CA63EE">
        <w:rPr>
          <w:rFonts w:ascii="Verdana" w:hAnsi="Verdana"/>
          <w:bCs/>
          <w:sz w:val="20"/>
        </w:rPr>
        <w:t>e)   Las sanciones internas, por tipo de incumplimiento, en caso de faltas u omisiones a lo previsto en dicho código, incluidas de forma enunciativa más no limitativa, amonestaciones privadas, amonestaciones públicas y separaciones del cargo.</w:t>
      </w:r>
    </w:p>
    <w:p w:rsidR="00CA63EE" w:rsidRPr="00CA63EE" w:rsidRDefault="00CA63EE" w:rsidP="00CA63EE">
      <w:pPr>
        <w:jc w:val="both"/>
        <w:rPr>
          <w:rFonts w:ascii="Verdana" w:hAnsi="Verdana"/>
          <w:bCs/>
          <w:sz w:val="20"/>
        </w:rPr>
      </w:pPr>
      <w:r w:rsidRPr="00CA63EE">
        <w:rPr>
          <w:rFonts w:ascii="Verdana" w:hAnsi="Verdana"/>
          <w:bCs/>
          <w:sz w:val="20"/>
        </w:rPr>
        <w:t>             El contenido del código de buenas prácticas se deberá revisar anualmente o antes si así lo define el Órgano de Gobierno de la Administradora.</w:t>
      </w:r>
    </w:p>
    <w:p w:rsidR="00CA63EE" w:rsidRPr="00CA63EE" w:rsidRDefault="00CA63EE" w:rsidP="00CA63EE">
      <w:pPr>
        <w:jc w:val="both"/>
        <w:rPr>
          <w:rFonts w:ascii="Verdana" w:hAnsi="Verdana"/>
          <w:bCs/>
          <w:sz w:val="20"/>
        </w:rPr>
      </w:pPr>
      <w:r w:rsidRPr="00CA63EE">
        <w:rPr>
          <w:rFonts w:ascii="Verdana" w:hAnsi="Verdana"/>
          <w:bCs/>
          <w:sz w:val="20"/>
        </w:rPr>
        <w:lastRenderedPageBreak/>
        <w:t>II.          El código de ética deberá prever lo siguiente:</w:t>
      </w:r>
    </w:p>
    <w:p w:rsidR="00CA63EE" w:rsidRPr="00CA63EE" w:rsidRDefault="00CA63EE" w:rsidP="00CA63EE">
      <w:pPr>
        <w:jc w:val="both"/>
        <w:rPr>
          <w:rFonts w:ascii="Verdana" w:hAnsi="Verdana"/>
          <w:bCs/>
          <w:sz w:val="20"/>
        </w:rPr>
      </w:pPr>
      <w:r w:rsidRPr="00CA63EE">
        <w:rPr>
          <w:rFonts w:ascii="Verdana" w:hAnsi="Verdana"/>
          <w:bCs/>
          <w:sz w:val="20"/>
        </w:rPr>
        <w:t>a)   Los principios a los que deberán sujetarse los Funcionarios vinculados con la celebración de operaciones;</w:t>
      </w:r>
    </w:p>
    <w:p w:rsidR="00CA63EE" w:rsidRPr="00CA63EE" w:rsidRDefault="00CA63EE" w:rsidP="00CA63EE">
      <w:pPr>
        <w:jc w:val="both"/>
        <w:rPr>
          <w:rFonts w:ascii="Verdana" w:hAnsi="Verdana"/>
          <w:bCs/>
          <w:sz w:val="20"/>
        </w:rPr>
      </w:pPr>
      <w:r w:rsidRPr="00CA63EE">
        <w:rPr>
          <w:rFonts w:ascii="Verdana" w:hAnsi="Verdana"/>
          <w:bCs/>
          <w:sz w:val="20"/>
        </w:rPr>
        <w:t>b)   La obligatoriedad de cumplimiento del código y su publicación en la página de Internet de la Administradora;</w:t>
      </w:r>
    </w:p>
    <w:p w:rsidR="00CA63EE" w:rsidRPr="00CA63EE" w:rsidRDefault="00CA63EE" w:rsidP="00CA63EE">
      <w:pPr>
        <w:jc w:val="both"/>
        <w:rPr>
          <w:rFonts w:ascii="Verdana" w:hAnsi="Verdana"/>
          <w:bCs/>
          <w:sz w:val="20"/>
        </w:rPr>
      </w:pPr>
      <w:r w:rsidRPr="00CA63EE">
        <w:rPr>
          <w:rFonts w:ascii="Verdana" w:hAnsi="Verdana"/>
          <w:bCs/>
          <w:sz w:val="20"/>
        </w:rPr>
        <w:t>c)   Las sanciones internas, por tipo de incumplimiento, en caso de faltas u omisiones a lo previsto en dicho código, incluidas de forma enunciativa más no limitativa, las amonestaciones privadas, amonestaciones públicas y separaciones del cargo, y</w:t>
      </w:r>
    </w:p>
    <w:p w:rsidR="00CA63EE" w:rsidRPr="00CA63EE" w:rsidRDefault="00CA63EE" w:rsidP="00CA63EE">
      <w:pPr>
        <w:jc w:val="both"/>
        <w:rPr>
          <w:rFonts w:ascii="Verdana" w:hAnsi="Verdana"/>
          <w:bCs/>
          <w:sz w:val="20"/>
        </w:rPr>
      </w:pPr>
      <w:r w:rsidRPr="00CA63EE">
        <w:rPr>
          <w:rFonts w:ascii="Verdana" w:hAnsi="Verdana"/>
          <w:bCs/>
          <w:sz w:val="20"/>
        </w:rPr>
        <w:t>d)  Las políticas aplicables a los miembros del Comité de Inversión, del Comité de Riesgos Financieros, así como a los Funcionarios del área de inversiones y del área de riesgos, con respecto a las inversiones personales de dichos participantes con el objeto de evitar cualquier tipo de conflictos de interés.</w:t>
      </w:r>
    </w:p>
    <w:p w:rsidR="00CA63EE" w:rsidRPr="00CA63EE" w:rsidRDefault="00CA63EE" w:rsidP="00CA63EE">
      <w:pPr>
        <w:jc w:val="both"/>
        <w:rPr>
          <w:rFonts w:ascii="Verdana" w:hAnsi="Verdana"/>
          <w:bCs/>
          <w:sz w:val="20"/>
        </w:rPr>
      </w:pPr>
      <w:r w:rsidRPr="00CA63EE">
        <w:rPr>
          <w:rFonts w:ascii="Verdana" w:hAnsi="Verdana"/>
          <w:bCs/>
          <w:sz w:val="20"/>
        </w:rPr>
        <w:t>             El contenido del código de ética se deberá revisar anualmente o antes si así lo define el Órgano de Gobierno de la Administradora.</w:t>
      </w:r>
    </w:p>
    <w:p w:rsidR="00CA63EE" w:rsidRPr="00CA63EE" w:rsidRDefault="00CA63EE" w:rsidP="00CA63EE">
      <w:pPr>
        <w:jc w:val="both"/>
        <w:rPr>
          <w:rFonts w:ascii="Verdana" w:hAnsi="Verdana"/>
          <w:bCs/>
          <w:sz w:val="20"/>
        </w:rPr>
      </w:pPr>
      <w:r w:rsidRPr="00CA63EE">
        <w:rPr>
          <w:rFonts w:ascii="Verdana" w:hAnsi="Verdana"/>
          <w:bCs/>
          <w:sz w:val="20"/>
        </w:rPr>
        <w:t xml:space="preserve">Los Funcionarios del área de inversiones, del área de riesgos, de la contraloría normativa que ejerzan labores de observación en materia financiera de las Sociedades de Inversión, de las áreas o actividades de confirmación, liquidación, asignación, registro contable y generación de estados financieros de las operaciones de inversión, incluyendo a los integrantes de los Comités de Inversión y de Riesgos Financieros, así como todos los involucrados en la operación y toma de decisiones de las Sociedades de Inversión, en el cumplimiento de sus funciones, deberán cumplir en todo momento lo previsto en el código ética y código </w:t>
      </w:r>
      <w:proofErr w:type="spellStart"/>
      <w:r w:rsidRPr="00CA63EE">
        <w:rPr>
          <w:rFonts w:ascii="Verdana" w:hAnsi="Verdana"/>
          <w:bCs/>
          <w:sz w:val="20"/>
        </w:rPr>
        <w:t>debuenas</w:t>
      </w:r>
      <w:proofErr w:type="spellEnd"/>
      <w:r w:rsidRPr="00CA63EE">
        <w:rPr>
          <w:rFonts w:ascii="Verdana" w:hAnsi="Verdana"/>
          <w:bCs/>
          <w:sz w:val="20"/>
        </w:rPr>
        <w:t xml:space="preserve"> prácticas a que se refiere el presente artículo.</w:t>
      </w:r>
    </w:p>
    <w:p w:rsidR="00CA63EE" w:rsidRPr="00CA63EE" w:rsidRDefault="00CA63EE" w:rsidP="00CA63EE">
      <w:pPr>
        <w:jc w:val="both"/>
        <w:rPr>
          <w:rFonts w:ascii="Verdana" w:hAnsi="Verdana"/>
          <w:bCs/>
          <w:sz w:val="20"/>
        </w:rPr>
      </w:pPr>
      <w:r w:rsidRPr="00CA63EE">
        <w:rPr>
          <w:rFonts w:ascii="Verdana" w:hAnsi="Verdana"/>
          <w:b/>
          <w:bCs/>
          <w:sz w:val="20"/>
        </w:rPr>
        <w:t>Artículo 66.-</w:t>
      </w:r>
      <w:r w:rsidRPr="00CA63EE">
        <w:rPr>
          <w:rFonts w:ascii="Verdana" w:hAnsi="Verdana"/>
          <w:bCs/>
          <w:sz w:val="20"/>
        </w:rPr>
        <w:t> El Órgano de Gobierno de la Administradora podrá crear un subcomité que tenga por objeto:</w:t>
      </w:r>
    </w:p>
    <w:p w:rsidR="00CA63EE" w:rsidRPr="00CA63EE" w:rsidRDefault="00CA63EE" w:rsidP="00CA63EE">
      <w:pPr>
        <w:jc w:val="both"/>
        <w:rPr>
          <w:rFonts w:ascii="Verdana" w:hAnsi="Verdana"/>
          <w:bCs/>
          <w:sz w:val="20"/>
        </w:rPr>
      </w:pPr>
      <w:r w:rsidRPr="00CA63EE">
        <w:rPr>
          <w:rFonts w:ascii="Verdana" w:hAnsi="Verdana"/>
          <w:bCs/>
          <w:sz w:val="20"/>
        </w:rPr>
        <w:t>I.           En relación al código de buenas prácticas, lo siguiente:</w:t>
      </w:r>
    </w:p>
    <w:p w:rsidR="00CA63EE" w:rsidRPr="00CA63EE" w:rsidRDefault="00CA63EE" w:rsidP="00CA63EE">
      <w:pPr>
        <w:jc w:val="both"/>
        <w:rPr>
          <w:rFonts w:ascii="Verdana" w:hAnsi="Verdana"/>
          <w:bCs/>
          <w:sz w:val="20"/>
        </w:rPr>
      </w:pPr>
      <w:r w:rsidRPr="00CA63EE">
        <w:rPr>
          <w:rFonts w:ascii="Verdana" w:hAnsi="Verdana"/>
          <w:bCs/>
          <w:sz w:val="20"/>
        </w:rPr>
        <w:t>a)   Analizar potenciales conflictos de interés en las actividades de inversión y de administración de riesgos que sean presentados ante el Órgano de Gobierno de la Administradora;</w:t>
      </w:r>
    </w:p>
    <w:p w:rsidR="00CA63EE" w:rsidRPr="00CA63EE" w:rsidRDefault="00CA63EE" w:rsidP="00CA63EE">
      <w:pPr>
        <w:jc w:val="both"/>
        <w:rPr>
          <w:rFonts w:ascii="Verdana" w:hAnsi="Verdana"/>
          <w:bCs/>
          <w:sz w:val="20"/>
        </w:rPr>
      </w:pPr>
      <w:r w:rsidRPr="00CA63EE">
        <w:rPr>
          <w:rFonts w:ascii="Verdana" w:hAnsi="Verdana"/>
          <w:bCs/>
          <w:sz w:val="20"/>
        </w:rPr>
        <w:t>b)   Analizar el contenido del código de buenas prácticas, y</w:t>
      </w:r>
    </w:p>
    <w:p w:rsidR="00CA63EE" w:rsidRPr="00CA63EE" w:rsidRDefault="00CA63EE" w:rsidP="00CA63EE">
      <w:pPr>
        <w:jc w:val="both"/>
        <w:rPr>
          <w:rFonts w:ascii="Verdana" w:hAnsi="Verdana"/>
          <w:bCs/>
          <w:sz w:val="20"/>
        </w:rPr>
      </w:pPr>
      <w:r w:rsidRPr="00CA63EE">
        <w:rPr>
          <w:rFonts w:ascii="Verdana" w:hAnsi="Verdana"/>
          <w:bCs/>
          <w:sz w:val="20"/>
        </w:rPr>
        <w:t>c)   Proponer al Órgano de Gobierno de la Administradora las sanciones que en su caso se deban imponer a los Funcionarios que infrinjan el código de buenas prácticas.</w:t>
      </w:r>
    </w:p>
    <w:p w:rsidR="00CA63EE" w:rsidRPr="00CA63EE" w:rsidRDefault="00CA63EE" w:rsidP="00CA63EE">
      <w:pPr>
        <w:jc w:val="both"/>
        <w:rPr>
          <w:rFonts w:ascii="Verdana" w:hAnsi="Verdana"/>
          <w:bCs/>
          <w:sz w:val="20"/>
        </w:rPr>
      </w:pPr>
      <w:r w:rsidRPr="00CA63EE">
        <w:rPr>
          <w:rFonts w:ascii="Verdana" w:hAnsi="Verdana"/>
          <w:bCs/>
          <w:sz w:val="20"/>
        </w:rPr>
        <w:t>II.          En relación al código de ética, lo siguiente:</w:t>
      </w:r>
    </w:p>
    <w:p w:rsidR="00CA63EE" w:rsidRPr="00CA63EE" w:rsidRDefault="00CA63EE" w:rsidP="00CA63EE">
      <w:pPr>
        <w:jc w:val="both"/>
        <w:rPr>
          <w:rFonts w:ascii="Verdana" w:hAnsi="Verdana"/>
          <w:bCs/>
          <w:sz w:val="20"/>
        </w:rPr>
      </w:pPr>
      <w:r w:rsidRPr="00CA63EE">
        <w:rPr>
          <w:rFonts w:ascii="Verdana" w:hAnsi="Verdana"/>
          <w:bCs/>
          <w:sz w:val="20"/>
        </w:rPr>
        <w:t>1.   Analizar potenciales conflictos de interés con respecto a las inversiones personales de los miembros del Comité de Inversión, del Comité de Riesgos Financieros, así como de los Funcionarios del área de inversiones y del área de riesgos,</w:t>
      </w:r>
    </w:p>
    <w:p w:rsidR="00CA63EE" w:rsidRPr="00CA63EE" w:rsidRDefault="00CA63EE" w:rsidP="00CA63EE">
      <w:pPr>
        <w:jc w:val="both"/>
        <w:rPr>
          <w:rFonts w:ascii="Verdana" w:hAnsi="Verdana"/>
          <w:bCs/>
          <w:sz w:val="20"/>
        </w:rPr>
      </w:pPr>
      <w:r w:rsidRPr="00CA63EE">
        <w:rPr>
          <w:rFonts w:ascii="Verdana" w:hAnsi="Verdana"/>
          <w:bCs/>
          <w:sz w:val="20"/>
        </w:rPr>
        <w:lastRenderedPageBreak/>
        <w:t>2.   Analizar los asuntos relacionados con la elaboración y aprobación del código de ética, y</w:t>
      </w:r>
    </w:p>
    <w:p w:rsidR="00CA63EE" w:rsidRPr="00CA63EE" w:rsidRDefault="00CA63EE" w:rsidP="00CA63EE">
      <w:pPr>
        <w:jc w:val="both"/>
        <w:rPr>
          <w:rFonts w:ascii="Verdana" w:hAnsi="Verdana"/>
          <w:bCs/>
          <w:sz w:val="20"/>
        </w:rPr>
      </w:pPr>
      <w:r w:rsidRPr="00CA63EE">
        <w:rPr>
          <w:rFonts w:ascii="Verdana" w:hAnsi="Verdana"/>
          <w:bCs/>
          <w:sz w:val="20"/>
        </w:rPr>
        <w:t>3.   Analizar el contenido del código de ética.</w:t>
      </w:r>
    </w:p>
    <w:p w:rsidR="00CA63EE" w:rsidRPr="00CA63EE" w:rsidRDefault="00CA63EE" w:rsidP="00CA63EE">
      <w:pPr>
        <w:jc w:val="both"/>
        <w:rPr>
          <w:rFonts w:ascii="Verdana" w:hAnsi="Verdana"/>
          <w:bCs/>
          <w:sz w:val="20"/>
        </w:rPr>
      </w:pPr>
      <w:r w:rsidRPr="00CA63EE">
        <w:rPr>
          <w:rFonts w:ascii="Verdana" w:hAnsi="Verdana"/>
          <w:bCs/>
          <w:sz w:val="20"/>
        </w:rPr>
        <w:t>En caso de que Órgano de Gobierno de la Administradora no cree el subcomité previsto en el presente artículo, dicho Órgano de Gobierno deberá autorizar los contenidos de las fracciones I y II del presente artículo.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CAPÍTULO III</w:t>
      </w:r>
    </w:p>
    <w:p w:rsidR="00CA63EE" w:rsidRPr="00CA63EE" w:rsidRDefault="00CA63EE" w:rsidP="00CA63EE">
      <w:pPr>
        <w:jc w:val="both"/>
        <w:rPr>
          <w:rFonts w:ascii="Verdana" w:hAnsi="Verdana"/>
          <w:bCs/>
          <w:sz w:val="20"/>
        </w:rPr>
      </w:pPr>
      <w:r w:rsidRPr="00CA63EE">
        <w:rPr>
          <w:rFonts w:ascii="Verdana" w:hAnsi="Verdana"/>
          <w:b/>
          <w:bCs/>
          <w:sz w:val="20"/>
        </w:rPr>
        <w:t>PRÁCTICAS PARA EVITAR CONFLICTOS DE INTERÉS</w:t>
      </w:r>
    </w:p>
    <w:p w:rsidR="00CA63EE" w:rsidRPr="00CA63EE" w:rsidRDefault="00CA63EE" w:rsidP="00CA63EE">
      <w:pPr>
        <w:jc w:val="both"/>
        <w:rPr>
          <w:rFonts w:ascii="Verdana" w:hAnsi="Verdana"/>
          <w:bCs/>
          <w:sz w:val="20"/>
        </w:rPr>
      </w:pPr>
      <w:r w:rsidRPr="00CA63EE">
        <w:rPr>
          <w:rFonts w:ascii="Verdana" w:hAnsi="Verdana"/>
          <w:b/>
          <w:bCs/>
          <w:sz w:val="20"/>
        </w:rPr>
        <w:t>Artículo 67.- </w:t>
      </w:r>
      <w:r w:rsidRPr="00CA63EE">
        <w:rPr>
          <w:rFonts w:ascii="Verdana" w:hAnsi="Verdana"/>
          <w:bCs/>
          <w:sz w:val="20"/>
        </w:rPr>
        <w:t>Las Sociedades de Inversión tendrán prohibido realizar las siguientes inversiones con 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I.           Adquirir directamente o indirectamente Activos Objeto de Inversión emitidos, aceptados o avalados por Intermediarios Financieros con los que la Administradora que opera la Sociedad de Inversión tenga Nexos Patrimoniales;</w:t>
      </w:r>
    </w:p>
    <w:p w:rsidR="00CA63EE" w:rsidRPr="00CA63EE" w:rsidRDefault="00CA63EE" w:rsidP="00CA63EE">
      <w:pPr>
        <w:jc w:val="both"/>
        <w:rPr>
          <w:rFonts w:ascii="Verdana" w:hAnsi="Verdana"/>
          <w:bCs/>
          <w:sz w:val="20"/>
        </w:rPr>
      </w:pPr>
      <w:r w:rsidRPr="00CA63EE">
        <w:rPr>
          <w:rFonts w:ascii="Verdana" w:hAnsi="Verdana"/>
          <w:bCs/>
          <w:sz w:val="20"/>
        </w:rPr>
        <w:t>II.          Celebrar operaciones con Activos Objeto de Inversión con Intermediarios Financieros con los que la Administradora que opera la Sociedad de Inversión tenga Nexos Patrimoniales, y</w:t>
      </w:r>
    </w:p>
    <w:p w:rsidR="00CA63EE" w:rsidRPr="00CA63EE" w:rsidRDefault="00CA63EE" w:rsidP="00CA63EE">
      <w:pPr>
        <w:jc w:val="both"/>
        <w:rPr>
          <w:rFonts w:ascii="Verdana" w:hAnsi="Verdana"/>
          <w:bCs/>
          <w:sz w:val="20"/>
        </w:rPr>
      </w:pPr>
      <w:r w:rsidRPr="00CA63EE">
        <w:rPr>
          <w:rFonts w:ascii="Verdana" w:hAnsi="Verdana"/>
          <w:bCs/>
          <w:sz w:val="20"/>
        </w:rPr>
        <w:t>III.          Celebrar operaciones con Vehículos o Vehículos de Inversión Inmobiliaria de los que no se conozcan los Activos subyacentes del Vehículo, de conformidad con la periodicidad diaria, excepto en los supuestos previstos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Las Sociedades de Inversión podrán adquirir Vehículos y Vehículos de Inversión Inmobiliaria, que sean patrocinados o administrados por Intermediarios Financieros, Mandatarios o Prestadores de Servicios con los que la Administradora que opera la Sociedad de Inversión tenga Nexos Patrimoniales, siempre que dichos Vehículos o Vehículos de Inversión Inmobiliaria se encuentren en la relación publicada por la Comisión en su página de Internet, o bien, cuenten con un dictamen favorable por parte del experto independiente, de conformidad con lo previsto en las Disposiciones de carácter general que establecen el régimen de inversión al que deberán sujetarse las Sociedades de Inversión y los criterios definidos por el Comité de Análisis de Riesgos. Los Vehículos y los Vehículos de Inversión Inmobiliaria deberán cumplir en todo momento con las disposiciones que les resulten aplicables.</w:t>
      </w:r>
    </w:p>
    <w:p w:rsidR="00CA63EE" w:rsidRPr="00CA63EE" w:rsidRDefault="00CA63EE" w:rsidP="00CA63EE">
      <w:pPr>
        <w:jc w:val="both"/>
        <w:rPr>
          <w:rFonts w:ascii="Verdana" w:hAnsi="Verdana"/>
          <w:bCs/>
          <w:sz w:val="20"/>
        </w:rPr>
      </w:pPr>
      <w:r w:rsidRPr="00CA63EE">
        <w:rPr>
          <w:rFonts w:ascii="Verdana" w:hAnsi="Verdana"/>
          <w:bCs/>
          <w:sz w:val="20"/>
        </w:rPr>
        <w:t xml:space="preserve">Las Sociedades de Inversión, cuyo régimen de inversión lo autorice, podrán adquirir Vehículos a través de colocaciones primarias y en el mercado secundario cuando el emisor sea un fideicomiso constituido en una Institución de Crédito integrante del mismo grupo financiero que la Administradora, o de la cual sus accionistas formen parte, que opere a la Sociedad de Inversión, debiendo hacerse constar en el contrato de fideicomiso que se celebre, las condiciones de que el fiduciario actuará por cuenta </w:t>
      </w:r>
      <w:r w:rsidRPr="00CA63EE">
        <w:rPr>
          <w:rFonts w:ascii="Verdana" w:hAnsi="Verdana"/>
          <w:bCs/>
          <w:sz w:val="20"/>
        </w:rPr>
        <w:lastRenderedPageBreak/>
        <w:t>de terceros, sin asumir ninguna responsabilidad de pago ni otorgar a los tenedores garantías de ningún tipo.</w:t>
      </w:r>
    </w:p>
    <w:p w:rsidR="00CA63EE" w:rsidRPr="00CA63EE" w:rsidRDefault="00CA63EE" w:rsidP="00CA63EE">
      <w:pPr>
        <w:jc w:val="both"/>
        <w:rPr>
          <w:rFonts w:ascii="Verdana" w:hAnsi="Verdana"/>
          <w:bCs/>
          <w:sz w:val="20"/>
        </w:rPr>
      </w:pPr>
      <w:r w:rsidRPr="00CA63EE">
        <w:rPr>
          <w:rFonts w:ascii="Verdana" w:hAnsi="Verdana"/>
          <w:bCs/>
          <w:sz w:val="20"/>
        </w:rPr>
        <w:t>Asimismo, las Sociedades de Inversión podrán adquirir los Instrumentos Estructurados a que se refiere el párrafo anterior, en el mercado secundario, utilizando los servicios de la Institución de Crédito o de la casa de bolsa del grupo financiero del que la Administradora que las opere forme parte o que tenga Nexo Patrimonial, para que por cuenta y orden, efectúen operaciones con valores, distintas a las que se encuentran prohibidas por el artículo 69 de la Ley.</w:t>
      </w:r>
    </w:p>
    <w:p w:rsidR="00CA63EE" w:rsidRPr="00CA63EE" w:rsidRDefault="00CA63EE" w:rsidP="00CA63EE">
      <w:pPr>
        <w:jc w:val="both"/>
        <w:rPr>
          <w:rFonts w:ascii="Verdana" w:hAnsi="Verdana"/>
          <w:bCs/>
          <w:sz w:val="20"/>
        </w:rPr>
      </w:pPr>
      <w:r w:rsidRPr="00CA63EE">
        <w:rPr>
          <w:rFonts w:ascii="Verdana" w:hAnsi="Verdana"/>
          <w:b/>
          <w:bCs/>
          <w:sz w:val="20"/>
        </w:rPr>
        <w:t>Artículo 68.- </w:t>
      </w:r>
      <w:r w:rsidRPr="00CA63EE">
        <w:rPr>
          <w:rFonts w:ascii="Verdana" w:hAnsi="Verdana"/>
          <w:bCs/>
          <w:sz w:val="20"/>
        </w:rPr>
        <w:t>Las Sociedades de Inversión deberán ajustar sus prácticas con los Prestadores de Servicios Financieros, y en su caso con los Mandatarios, a lo dispuesto por el presente Capítulo, debiendo en todo momento evitar operaciones que impliquen un posible conflicto de interés, a tal efecto, se deberá pactar de manera expresa:</w:t>
      </w:r>
    </w:p>
    <w:p w:rsidR="00CA63EE" w:rsidRPr="00CA63EE" w:rsidRDefault="00CA63EE" w:rsidP="00CA63EE">
      <w:pPr>
        <w:jc w:val="both"/>
        <w:rPr>
          <w:rFonts w:ascii="Verdana" w:hAnsi="Verdana"/>
          <w:bCs/>
          <w:sz w:val="20"/>
        </w:rPr>
      </w:pPr>
      <w:r w:rsidRPr="00CA63EE">
        <w:rPr>
          <w:rFonts w:ascii="Verdana" w:hAnsi="Verdana"/>
          <w:bCs/>
          <w:sz w:val="20"/>
        </w:rPr>
        <w:t>I.           Que los Prestadores de Servicios Financieros, y en su caso los Mandatarios, no podrán celebrar operación alguna para la Sociedad de Inversión contratante cuando actúen con Activos Objeto de Inversión que formen parte del patrimonio de los Prestadores de Servicios Financieros o de los Mandatarios;</w:t>
      </w:r>
    </w:p>
    <w:p w:rsidR="00CA63EE" w:rsidRPr="00CA63EE" w:rsidRDefault="00CA63EE" w:rsidP="00CA63EE">
      <w:pPr>
        <w:jc w:val="both"/>
        <w:rPr>
          <w:rFonts w:ascii="Verdana" w:hAnsi="Verdana"/>
          <w:bCs/>
          <w:sz w:val="20"/>
        </w:rPr>
      </w:pPr>
      <w:r w:rsidRPr="00CA63EE">
        <w:rPr>
          <w:rFonts w:ascii="Verdana" w:hAnsi="Verdana"/>
          <w:bCs/>
          <w:sz w:val="20"/>
        </w:rPr>
        <w:t>II.          Que los Prestadores de Servicios Financieros, y en su caso los Mandatarios, no podrán celebrar operación alguna para la Sociedad de Inversión contratante con Intermediarios Financieros con los que los Prestadores de Servicios Financieros o los Mandatarios tengan Nexos Patrimoniales, y</w:t>
      </w:r>
    </w:p>
    <w:p w:rsidR="00CA63EE" w:rsidRPr="00CA63EE" w:rsidRDefault="00CA63EE" w:rsidP="00CA63EE">
      <w:pPr>
        <w:jc w:val="both"/>
        <w:rPr>
          <w:rFonts w:ascii="Verdana" w:hAnsi="Verdana"/>
          <w:bCs/>
          <w:sz w:val="20"/>
        </w:rPr>
      </w:pPr>
      <w:r w:rsidRPr="00CA63EE">
        <w:rPr>
          <w:rFonts w:ascii="Verdana" w:hAnsi="Verdana"/>
          <w:bCs/>
          <w:sz w:val="20"/>
        </w:rPr>
        <w:t>III.          Que los Prestadores de Servicios Financieros, y en su caso los Mandatarios, no podrán celebrar operación alguna para la Sociedad de Inversión contratante con Intermediarios Financieros con los que la Administradora que opera esa Sociedad de Inversión tenga Nexos Patrimoniales.</w:t>
      </w:r>
    </w:p>
    <w:p w:rsidR="00CA63EE" w:rsidRPr="00CA63EE" w:rsidRDefault="00CA63EE" w:rsidP="00CA63EE">
      <w:pPr>
        <w:jc w:val="both"/>
        <w:rPr>
          <w:rFonts w:ascii="Verdana" w:hAnsi="Verdana"/>
          <w:bCs/>
          <w:sz w:val="20"/>
        </w:rPr>
      </w:pPr>
      <w:r w:rsidRPr="00CA63EE">
        <w:rPr>
          <w:rFonts w:ascii="Verdana" w:hAnsi="Verdana"/>
          <w:b/>
          <w:bCs/>
          <w:sz w:val="20"/>
        </w:rPr>
        <w:t>Artículo 69.- </w:t>
      </w:r>
      <w:r w:rsidRPr="00CA63EE">
        <w:rPr>
          <w:rFonts w:ascii="Verdana" w:hAnsi="Verdana"/>
          <w:bCs/>
          <w:sz w:val="20"/>
        </w:rPr>
        <w:t>El Contralor Normativo de la Administradora que opere la Sociedad de Inversión, será responsable de observar el estricto cumplimiento de lo dispuesto en el presente Capítulo. En lo referente al Activo Administrado por la Sociedad de Inversión, el Contralor Normativo deberá definir en su Plan de Funciones un proceso para observar desviaciones a lo establecido en el presente Capítulo.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CAPÍTULO IV</w:t>
      </w:r>
    </w:p>
    <w:p w:rsidR="00CA63EE" w:rsidRPr="00CA63EE" w:rsidRDefault="00CA63EE" w:rsidP="00CA63EE">
      <w:pPr>
        <w:jc w:val="both"/>
        <w:rPr>
          <w:rFonts w:ascii="Verdana" w:hAnsi="Verdana"/>
          <w:bCs/>
          <w:sz w:val="20"/>
        </w:rPr>
      </w:pPr>
      <w:r w:rsidRPr="00CA63EE">
        <w:rPr>
          <w:rFonts w:ascii="Verdana" w:hAnsi="Verdana"/>
          <w:b/>
          <w:bCs/>
          <w:sz w:val="20"/>
        </w:rPr>
        <w:t>DE LA CERTIFICACIÓN DE FUNCIONARIOS</w:t>
      </w:r>
    </w:p>
    <w:p w:rsidR="00CA63EE" w:rsidRPr="00CA63EE" w:rsidRDefault="00CA63EE" w:rsidP="00CA63EE">
      <w:pPr>
        <w:jc w:val="both"/>
        <w:rPr>
          <w:rFonts w:ascii="Verdana" w:hAnsi="Verdana"/>
          <w:bCs/>
          <w:sz w:val="20"/>
        </w:rPr>
      </w:pPr>
      <w:r w:rsidRPr="00CA63EE">
        <w:rPr>
          <w:rFonts w:ascii="Verdana" w:hAnsi="Verdana"/>
          <w:b/>
          <w:bCs/>
          <w:sz w:val="20"/>
        </w:rPr>
        <w:t>Artículo 70.- </w:t>
      </w:r>
      <w:r w:rsidRPr="00CA63EE">
        <w:rPr>
          <w:rFonts w:ascii="Verdana" w:hAnsi="Verdana"/>
          <w:bCs/>
          <w:sz w:val="20"/>
        </w:rPr>
        <w:t>Los Funcionarios</w:t>
      </w:r>
      <w:r w:rsidRPr="00CA63EE">
        <w:rPr>
          <w:rFonts w:ascii="Verdana" w:hAnsi="Verdana"/>
          <w:b/>
          <w:bCs/>
          <w:sz w:val="20"/>
        </w:rPr>
        <w:t> </w:t>
      </w:r>
      <w:r w:rsidRPr="00CA63EE">
        <w:rPr>
          <w:rFonts w:ascii="Verdana" w:hAnsi="Verdana"/>
          <w:bCs/>
          <w:sz w:val="20"/>
        </w:rPr>
        <w:t>encargados de actividades de las Sociedades de Inversión</w:t>
      </w:r>
      <w:r w:rsidRPr="00CA63EE">
        <w:rPr>
          <w:rFonts w:ascii="Verdana" w:hAnsi="Verdana"/>
          <w:b/>
          <w:bCs/>
          <w:sz w:val="20"/>
        </w:rPr>
        <w:t> </w:t>
      </w:r>
      <w:r w:rsidRPr="00CA63EE">
        <w:rPr>
          <w:rFonts w:ascii="Verdana" w:hAnsi="Verdana"/>
          <w:bCs/>
          <w:sz w:val="20"/>
        </w:rPr>
        <w:t>deberán estar certificados de conformidad con el presente artículo y el Anexo J de las presentes Disposiciones. En particular, los Funcionarios</w:t>
      </w:r>
      <w:r w:rsidRPr="00CA63EE">
        <w:rPr>
          <w:rFonts w:ascii="Verdana" w:hAnsi="Verdana"/>
          <w:b/>
          <w:bCs/>
          <w:sz w:val="20"/>
        </w:rPr>
        <w:t> </w:t>
      </w:r>
      <w:r w:rsidRPr="00CA63EE">
        <w:rPr>
          <w:rFonts w:ascii="Verdana" w:hAnsi="Verdana"/>
          <w:bCs/>
          <w:sz w:val="20"/>
        </w:rPr>
        <w:t xml:space="preserve">del área de inversiones, del área de riesgos, de la contraloría normativa que ejerzan sus labores en materia financiera de las Sociedades de Inversión, de las áreas o actividades de confirmación, liquidación, asignación, registro contable y generación de estados financieros de las operaciones de inversión, deberán estar certificados por alguno de </w:t>
      </w:r>
      <w:r w:rsidRPr="00CA63EE">
        <w:rPr>
          <w:rFonts w:ascii="Verdana" w:hAnsi="Verdana"/>
          <w:bCs/>
          <w:sz w:val="20"/>
        </w:rPr>
        <w:lastRenderedPageBreak/>
        <w:t xml:space="preserve">los terceros independientes de </w:t>
      </w:r>
      <w:proofErr w:type="spellStart"/>
      <w:r w:rsidRPr="00CA63EE">
        <w:rPr>
          <w:rFonts w:ascii="Verdana" w:hAnsi="Verdana"/>
          <w:bCs/>
          <w:sz w:val="20"/>
        </w:rPr>
        <w:t>reconocidoprestigio</w:t>
      </w:r>
      <w:proofErr w:type="spellEnd"/>
      <w:r w:rsidRPr="00CA63EE">
        <w:rPr>
          <w:rFonts w:ascii="Verdana" w:hAnsi="Verdana"/>
          <w:bCs/>
          <w:sz w:val="20"/>
        </w:rPr>
        <w:t xml:space="preserve"> en la impartición de educación en materia financiera que al efecto designe la Comisión para acreditar sus conocimientos generales en materia de inversiones para ejercer las funciones que desempeñen. La certificación tendrá una vigencia de conformidad con el Anexo J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Los Funcionarios únicamente podrán celebrar las operaciones de compra, venta, reporto, préstamo de valores, confirmación, liquidación, asignación o registro contable y generación de estados financieros de instrumentos sobre Activos Objeto de Inversión para las que se encuentren certificados.</w:t>
      </w:r>
    </w:p>
    <w:p w:rsidR="00CA63EE" w:rsidRPr="00CA63EE" w:rsidRDefault="00CA63EE" w:rsidP="00CA63EE">
      <w:pPr>
        <w:jc w:val="both"/>
        <w:rPr>
          <w:rFonts w:ascii="Verdana" w:hAnsi="Verdana"/>
          <w:bCs/>
          <w:sz w:val="20"/>
        </w:rPr>
      </w:pPr>
      <w:r w:rsidRPr="00CA63EE">
        <w:rPr>
          <w:rFonts w:ascii="Verdana" w:hAnsi="Verdana"/>
          <w:bCs/>
          <w:sz w:val="20"/>
        </w:rPr>
        <w:t>En caso, que existieran errores operativos provocados por los Funcionarios que incumplieron con la certificación referida en el presente artículo y por ello se hubieren generado minusvalías, costos o pérdidas a las Sociedades de Inversión, la Administradora que opere la Sociedad de Inversión correspondiente deberá resarcir las erogaciones anteriores, para lo anterior se considerará el periodo completo en que ocurrió el evento.</w:t>
      </w:r>
    </w:p>
    <w:p w:rsidR="00CA63EE" w:rsidRPr="00CA63EE" w:rsidRDefault="00CA63EE" w:rsidP="00CA63EE">
      <w:pPr>
        <w:jc w:val="both"/>
        <w:rPr>
          <w:rFonts w:ascii="Verdana" w:hAnsi="Verdana"/>
          <w:bCs/>
          <w:sz w:val="20"/>
        </w:rPr>
      </w:pPr>
      <w:r w:rsidRPr="00CA63EE">
        <w:rPr>
          <w:rFonts w:ascii="Verdana" w:hAnsi="Verdana"/>
          <w:bCs/>
          <w:sz w:val="20"/>
        </w:rPr>
        <w:t>Ninguna persona vinculada a las labores de las Sociedades de Inversión que incumpla con lo dispuesto en las presentes Disposiciones referente a las certificaciones previstas en el presente artículo, podrá ejercer funciones para las Sociedades de Inversión que requieran ser ejecutadas por un Funcionario certificado por un periodo mayor a los 60 días hábiles.</w:t>
      </w:r>
    </w:p>
    <w:p w:rsidR="00CA63EE" w:rsidRPr="00CA63EE" w:rsidRDefault="00CA63EE" w:rsidP="00CA63EE">
      <w:pPr>
        <w:jc w:val="both"/>
        <w:rPr>
          <w:rFonts w:ascii="Verdana" w:hAnsi="Verdana"/>
          <w:bCs/>
          <w:sz w:val="20"/>
        </w:rPr>
      </w:pPr>
      <w:r w:rsidRPr="00CA63EE">
        <w:rPr>
          <w:rFonts w:ascii="Verdana" w:hAnsi="Verdana"/>
          <w:bCs/>
          <w:sz w:val="20"/>
        </w:rPr>
        <w:t>Los Funcionarios no podrán acumular más de 60 días hábiles sin certificación en una Administradora o distintas Administradoras contando los días a partir de que se incorporó a las áreas referidas en distintas Administradoras o en una misma Administradora.</w:t>
      </w:r>
    </w:p>
    <w:p w:rsidR="00CA63EE" w:rsidRPr="00CA63EE" w:rsidRDefault="00CA63EE" w:rsidP="00CA63EE">
      <w:pPr>
        <w:jc w:val="both"/>
        <w:rPr>
          <w:rFonts w:ascii="Verdana" w:hAnsi="Verdana"/>
          <w:bCs/>
          <w:sz w:val="20"/>
        </w:rPr>
      </w:pPr>
      <w:r w:rsidRPr="00CA63EE">
        <w:rPr>
          <w:rFonts w:ascii="Verdana" w:hAnsi="Verdana"/>
          <w:bCs/>
          <w:sz w:val="20"/>
        </w:rPr>
        <w:t>Sin menoscabo de la certificación general en materia financiera referida en el presente artículo, los Funcionarios encargados de actividades referentes a las Sociedades de Inversión</w:t>
      </w:r>
      <w:r w:rsidRPr="00CA63EE">
        <w:rPr>
          <w:rFonts w:ascii="Verdana" w:hAnsi="Verdana"/>
          <w:b/>
          <w:bCs/>
          <w:sz w:val="20"/>
        </w:rPr>
        <w:t> </w:t>
      </w:r>
      <w:r w:rsidRPr="00CA63EE">
        <w:rPr>
          <w:rFonts w:ascii="Verdana" w:hAnsi="Verdana"/>
          <w:bCs/>
          <w:sz w:val="20"/>
        </w:rPr>
        <w:t>que realicen operaciones con Derivados e Instrumentos Estructurados, adicionalmente deberán contar con las certificaciones específicas que se establecen en las presentes Disposiciones, en especial respecto del contenido del Anexo J.</w:t>
      </w:r>
    </w:p>
    <w:p w:rsidR="00CA63EE" w:rsidRPr="00CA63EE" w:rsidRDefault="00CA63EE" w:rsidP="00CA63EE">
      <w:pPr>
        <w:jc w:val="both"/>
        <w:rPr>
          <w:rFonts w:ascii="Verdana" w:hAnsi="Verdana"/>
          <w:bCs/>
          <w:sz w:val="20"/>
        </w:rPr>
      </w:pPr>
      <w:r w:rsidRPr="00CA63EE">
        <w:rPr>
          <w:rFonts w:ascii="Verdana" w:hAnsi="Verdana"/>
          <w:b/>
          <w:bCs/>
          <w:sz w:val="20"/>
        </w:rPr>
        <w:t>CAPÍTULO V</w:t>
      </w:r>
    </w:p>
    <w:p w:rsidR="00CA63EE" w:rsidRPr="00CA63EE" w:rsidRDefault="00CA63EE" w:rsidP="00CA63EE">
      <w:pPr>
        <w:jc w:val="both"/>
        <w:rPr>
          <w:rFonts w:ascii="Verdana" w:hAnsi="Verdana"/>
          <w:bCs/>
          <w:sz w:val="20"/>
        </w:rPr>
      </w:pPr>
      <w:r w:rsidRPr="00CA63EE">
        <w:rPr>
          <w:rFonts w:ascii="Verdana" w:hAnsi="Verdana"/>
          <w:b/>
          <w:bCs/>
          <w:sz w:val="20"/>
        </w:rPr>
        <w:t>DE LOS CONSEJEROS INDEPENDIENTES</w:t>
      </w:r>
    </w:p>
    <w:p w:rsidR="00CA63EE" w:rsidRPr="00CA63EE" w:rsidRDefault="00CA63EE" w:rsidP="00CA63EE">
      <w:pPr>
        <w:jc w:val="both"/>
        <w:rPr>
          <w:rFonts w:ascii="Verdana" w:hAnsi="Verdana"/>
          <w:bCs/>
          <w:sz w:val="20"/>
        </w:rPr>
      </w:pPr>
      <w:r w:rsidRPr="00CA63EE">
        <w:rPr>
          <w:rFonts w:ascii="Verdana" w:hAnsi="Verdana"/>
          <w:b/>
          <w:bCs/>
          <w:sz w:val="20"/>
        </w:rPr>
        <w:t>Artículo 71.- </w:t>
      </w:r>
      <w:r w:rsidRPr="00CA63EE">
        <w:rPr>
          <w:rFonts w:ascii="Verdana" w:hAnsi="Verdana"/>
          <w:bCs/>
          <w:sz w:val="20"/>
        </w:rPr>
        <w:t>Los Consejeros Independientes, una vez al año, dentro de los cuatro meses que sigan a la clausura del ejercicio social, deberán rendir un informe anual al Órgano de Gobierno de la Administradora, el cual deberá contener su opinión sobre las áreas de oportunidad que identifiquen en la Administradora en materia financiera, así como, las actividades más relevantes de su gestión y las actividades dentro de los Comités a los cuales haya asistido durante el período de referencia. Dicho informe deberá estar a disposición de la Comisión en todo momento.</w:t>
      </w:r>
    </w:p>
    <w:p w:rsidR="00CA63EE" w:rsidRPr="00CA63EE" w:rsidRDefault="00CA63EE" w:rsidP="00CA63EE">
      <w:pPr>
        <w:jc w:val="both"/>
        <w:rPr>
          <w:rFonts w:ascii="Verdana" w:hAnsi="Verdana"/>
          <w:bCs/>
          <w:sz w:val="20"/>
        </w:rPr>
      </w:pPr>
      <w:r w:rsidRPr="00CA63EE">
        <w:rPr>
          <w:rFonts w:ascii="Verdana" w:hAnsi="Verdana"/>
          <w:b/>
          <w:bCs/>
          <w:sz w:val="20"/>
        </w:rPr>
        <w:t>Artículo 72.- </w:t>
      </w:r>
      <w:r w:rsidRPr="00CA63EE">
        <w:rPr>
          <w:rFonts w:ascii="Verdana" w:hAnsi="Verdana"/>
          <w:bCs/>
          <w:sz w:val="20"/>
        </w:rPr>
        <w:t xml:space="preserve">Los Consejeros Independientes deberán conocer de los Funcionarios que dejen de laborar o de prestar sus servicios en la Administradora con puestos </w:t>
      </w:r>
      <w:r w:rsidRPr="00CA63EE">
        <w:rPr>
          <w:rFonts w:ascii="Verdana" w:hAnsi="Verdana"/>
          <w:bCs/>
          <w:sz w:val="20"/>
        </w:rPr>
        <w:lastRenderedPageBreak/>
        <w:t>equivalentes o superiores a los responsables de cada una de las áreas de la Administradora, entre otros, el Responsable del Área de Inversiones, el de riesgos financieros, el de riesgos operativos de la Sociedad de Inversión, el de administración y finanzas, legal y del órgano de control interno.</w:t>
      </w:r>
    </w:p>
    <w:p w:rsidR="00CA63EE" w:rsidRPr="00CA63EE" w:rsidRDefault="00CA63EE" w:rsidP="00CA63EE">
      <w:pPr>
        <w:jc w:val="both"/>
        <w:rPr>
          <w:rFonts w:ascii="Verdana" w:hAnsi="Verdana"/>
          <w:bCs/>
          <w:sz w:val="20"/>
        </w:rPr>
      </w:pPr>
      <w:r w:rsidRPr="00CA63EE">
        <w:rPr>
          <w:rFonts w:ascii="Verdana" w:hAnsi="Verdana"/>
          <w:b/>
          <w:bCs/>
          <w:sz w:val="20"/>
        </w:rPr>
        <w:t>Artículo 73.- </w:t>
      </w:r>
      <w:r w:rsidRPr="00CA63EE">
        <w:rPr>
          <w:rFonts w:ascii="Verdana" w:hAnsi="Verdana"/>
          <w:bCs/>
          <w:sz w:val="20"/>
        </w:rPr>
        <w:t>Por lo menos una vez al año a través de su representación en el Órgano de Gobierno de la Administradora, los Consejeros Independientes deberán proponer y opinar respecto a las mejoras identificadas al modelo de gobierno corporativo vigente en la Administradora.</w:t>
      </w:r>
    </w:p>
    <w:p w:rsidR="00CA63EE" w:rsidRPr="00CA63EE" w:rsidRDefault="00CA63EE" w:rsidP="00CA63EE">
      <w:pPr>
        <w:jc w:val="both"/>
        <w:rPr>
          <w:rFonts w:ascii="Verdana" w:hAnsi="Verdana"/>
          <w:bCs/>
          <w:sz w:val="20"/>
        </w:rPr>
      </w:pPr>
      <w:r w:rsidRPr="00CA63EE">
        <w:rPr>
          <w:rFonts w:ascii="Verdana" w:hAnsi="Verdana"/>
          <w:b/>
          <w:bCs/>
          <w:sz w:val="20"/>
        </w:rPr>
        <w:t>Artículo 74.- </w:t>
      </w:r>
      <w:r w:rsidRPr="00CA63EE">
        <w:rPr>
          <w:rFonts w:ascii="Verdana" w:hAnsi="Verdana"/>
          <w:bCs/>
          <w:sz w:val="20"/>
        </w:rPr>
        <w:t>La Administradora deberá proveer los recursos humanos y materiales que sean necesarios a los Consejeros Independientes para la realización de sus funciones.</w:t>
      </w:r>
    </w:p>
    <w:p w:rsidR="00CA63EE" w:rsidRPr="00CA63EE" w:rsidRDefault="00CA63EE" w:rsidP="00CA63EE">
      <w:pPr>
        <w:jc w:val="both"/>
        <w:rPr>
          <w:rFonts w:ascii="Verdana" w:hAnsi="Verdana"/>
          <w:bCs/>
          <w:sz w:val="20"/>
        </w:rPr>
      </w:pPr>
      <w:r w:rsidRPr="00CA63EE">
        <w:rPr>
          <w:rFonts w:ascii="Verdana" w:hAnsi="Verdana"/>
          <w:b/>
          <w:bCs/>
          <w:sz w:val="20"/>
        </w:rPr>
        <w:t>Artículo 75.- </w:t>
      </w:r>
      <w:r w:rsidRPr="00CA63EE">
        <w:rPr>
          <w:rFonts w:ascii="Verdana" w:hAnsi="Verdana"/>
          <w:bCs/>
          <w:sz w:val="20"/>
        </w:rPr>
        <w:t xml:space="preserve">Los Consejeros Independientes, al dejar su cargo para la Administradora, dentro de los cuatro meses que sigan a su salida, deberán rendir un informe al Órgano de Gobierno de la Administradora, el cual deberá contener su opinión respecto a la situación de la Administradora en materia financiera, las actividades más relevantes de su gestión y las actividades dentro de los Comités a los cuales haya asistido durante el período en el que permaneció en la Administradora, así como los asuntos en trámite o pendientes a su cargo y la demás información que considere relevante. Dicho informe deberá estar a disposición de </w:t>
      </w:r>
      <w:proofErr w:type="spellStart"/>
      <w:r w:rsidRPr="00CA63EE">
        <w:rPr>
          <w:rFonts w:ascii="Verdana" w:hAnsi="Verdana"/>
          <w:bCs/>
          <w:sz w:val="20"/>
        </w:rPr>
        <w:t>laComisión</w:t>
      </w:r>
      <w:proofErr w:type="spellEnd"/>
      <w:r w:rsidRPr="00CA63EE">
        <w:rPr>
          <w:rFonts w:ascii="Verdana" w:hAnsi="Verdana"/>
          <w:bCs/>
          <w:sz w:val="20"/>
        </w:rPr>
        <w:t xml:space="preserve"> en todo momento.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TÍTULO V</w:t>
      </w:r>
    </w:p>
    <w:p w:rsidR="00CA63EE" w:rsidRPr="00CA63EE" w:rsidRDefault="00CA63EE" w:rsidP="00CA63EE">
      <w:pPr>
        <w:jc w:val="both"/>
        <w:rPr>
          <w:rFonts w:ascii="Verdana" w:hAnsi="Verdana"/>
          <w:bCs/>
          <w:sz w:val="20"/>
        </w:rPr>
      </w:pPr>
      <w:r w:rsidRPr="00CA63EE">
        <w:rPr>
          <w:rFonts w:ascii="Verdana" w:hAnsi="Verdana"/>
          <w:b/>
          <w:bCs/>
          <w:sz w:val="20"/>
        </w:rPr>
        <w:t>DE LA PROVEEDURÍA DE PRECIOS Y DE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Artículo 76.- </w:t>
      </w:r>
      <w:r w:rsidRPr="00CA63EE">
        <w:rPr>
          <w:rFonts w:ascii="Verdana" w:hAnsi="Verdana"/>
          <w:bCs/>
          <w:sz w:val="20"/>
        </w:rPr>
        <w:t>Las Administradoras, deberán valuar los Activos Objeto de Inversión propiedad de las Sociedades de Inversión por sí mismas o a través de una Sociedad Valuadora que contraten. En cualquier caso deberán utilizar los precios proporcionados por el Proveedor de Precios, los cuales podrán ser entidades diferentes cuando se aplique al Activo Administrado por la Sociedad de Inversión y al Activo Administrado por cada uno de los Mandatarios. Respecto de los Activos Administrados por los Mandatarios, las Administradoras podrán contratar a una Sociedad Valuadora distinta.</w:t>
      </w:r>
    </w:p>
    <w:p w:rsidR="00CA63EE" w:rsidRPr="00CA63EE" w:rsidRDefault="00CA63EE" w:rsidP="00CA63EE">
      <w:pPr>
        <w:jc w:val="both"/>
        <w:rPr>
          <w:rFonts w:ascii="Verdana" w:hAnsi="Verdana"/>
          <w:bCs/>
          <w:sz w:val="20"/>
        </w:rPr>
      </w:pPr>
      <w:r w:rsidRPr="00CA63EE">
        <w:rPr>
          <w:rFonts w:ascii="Verdana" w:hAnsi="Verdana"/>
          <w:bCs/>
          <w:sz w:val="20"/>
        </w:rPr>
        <w:t>Respecto del Activo Total de la Sociedad de Inversión, las Sociedades Valuadoras deberán valuar las acciones representativas del capital pagado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Para los Activos Administrados por la Sociedad de Inversión, las Sociedades Valuadoras, o en su caso las Administradoras, deberán realizar, además de la valuación a los Activos Objeto de Inversión a que se hace referencia, lo siguiente:</w:t>
      </w:r>
    </w:p>
    <w:p w:rsidR="00CA63EE" w:rsidRPr="00CA63EE" w:rsidRDefault="00CA63EE" w:rsidP="00CA63EE">
      <w:pPr>
        <w:jc w:val="both"/>
        <w:rPr>
          <w:rFonts w:ascii="Verdana" w:hAnsi="Verdana"/>
          <w:bCs/>
          <w:sz w:val="20"/>
        </w:rPr>
      </w:pPr>
      <w:r w:rsidRPr="00CA63EE">
        <w:rPr>
          <w:rFonts w:ascii="Verdana" w:hAnsi="Verdana"/>
          <w:bCs/>
          <w:sz w:val="20"/>
        </w:rPr>
        <w:t>I.           Calcular el valor razonable de las operaciones de reporto que realicen las Sociedades de Inversión, y</w:t>
      </w:r>
    </w:p>
    <w:p w:rsidR="00CA63EE" w:rsidRPr="00CA63EE" w:rsidRDefault="00CA63EE" w:rsidP="00CA63EE">
      <w:pPr>
        <w:jc w:val="both"/>
        <w:rPr>
          <w:rFonts w:ascii="Verdana" w:hAnsi="Verdana"/>
          <w:bCs/>
          <w:sz w:val="20"/>
        </w:rPr>
      </w:pPr>
      <w:r w:rsidRPr="00CA63EE">
        <w:rPr>
          <w:rFonts w:ascii="Verdana" w:hAnsi="Verdana"/>
          <w:bCs/>
          <w:sz w:val="20"/>
        </w:rPr>
        <w:lastRenderedPageBreak/>
        <w:t>II.          Calcular para todas las Sociedades de Inversión el Valor en Riesgo, el Diferencial del Valor en Riesgo Condicional y las medidas de riesgo definidas por la Comisión, así como las medidas de riesgo que regulatoriamente deban ser propuestas por el Comité de Riesgos Financieros de la Sociedad de Inversión y aprobadas por el Órgano de Gobierno de la Sociedad de Inversión.</w:t>
      </w:r>
    </w:p>
    <w:p w:rsidR="00CA63EE" w:rsidRPr="00CA63EE" w:rsidRDefault="00CA63EE" w:rsidP="00CA63EE">
      <w:pPr>
        <w:jc w:val="both"/>
        <w:rPr>
          <w:rFonts w:ascii="Verdana" w:hAnsi="Verdana"/>
          <w:bCs/>
          <w:sz w:val="20"/>
        </w:rPr>
      </w:pPr>
      <w:r w:rsidRPr="00CA63EE">
        <w:rPr>
          <w:rFonts w:ascii="Verdana" w:hAnsi="Verdana"/>
          <w:bCs/>
          <w:sz w:val="20"/>
        </w:rPr>
        <w:t>Para efectos de realizar la valuación de Activos Administrados por los Mandatarios, las Sociedades Valuadoras contratadas por las Administradoras deberán:</w:t>
      </w:r>
    </w:p>
    <w:p w:rsidR="00CA63EE" w:rsidRPr="00CA63EE" w:rsidRDefault="00CA63EE" w:rsidP="00CA63EE">
      <w:pPr>
        <w:jc w:val="both"/>
        <w:rPr>
          <w:rFonts w:ascii="Verdana" w:hAnsi="Verdana"/>
          <w:bCs/>
          <w:sz w:val="20"/>
        </w:rPr>
      </w:pPr>
      <w:r w:rsidRPr="00CA63EE">
        <w:rPr>
          <w:rFonts w:ascii="Verdana" w:hAnsi="Verdana"/>
          <w:bCs/>
          <w:sz w:val="20"/>
        </w:rPr>
        <w:t>a)   Valuar los Activos Administrados por los Mandatarios;</w:t>
      </w:r>
    </w:p>
    <w:p w:rsidR="00CA63EE" w:rsidRPr="00CA63EE" w:rsidRDefault="00CA63EE" w:rsidP="00CA63EE">
      <w:pPr>
        <w:jc w:val="both"/>
        <w:rPr>
          <w:rFonts w:ascii="Verdana" w:hAnsi="Verdana"/>
          <w:bCs/>
          <w:sz w:val="20"/>
        </w:rPr>
      </w:pPr>
      <w:r w:rsidRPr="00CA63EE">
        <w:rPr>
          <w:rFonts w:ascii="Verdana" w:hAnsi="Verdana"/>
          <w:bCs/>
          <w:sz w:val="20"/>
        </w:rPr>
        <w:t>b)   Calcular el valor razonable de las operaciones de reporto que realicen los Mandatarios, y</w:t>
      </w:r>
    </w:p>
    <w:p w:rsidR="00CA63EE" w:rsidRPr="00CA63EE" w:rsidRDefault="00CA63EE" w:rsidP="00CA63EE">
      <w:pPr>
        <w:jc w:val="both"/>
        <w:rPr>
          <w:rFonts w:ascii="Verdana" w:hAnsi="Verdana"/>
          <w:bCs/>
          <w:sz w:val="20"/>
        </w:rPr>
      </w:pPr>
      <w:r w:rsidRPr="00CA63EE">
        <w:rPr>
          <w:rFonts w:ascii="Verdana" w:hAnsi="Verdana"/>
          <w:bCs/>
          <w:sz w:val="20"/>
        </w:rPr>
        <w:t>c)   Calcular las medidas de riesgo definidas por la Comisión o en su caso las que regulatoriamente deban ser propuestas por el Comité de Riesgos Financieros de la Sociedad de Inversión y aprobadas por el Órgano de Gobierno de la Sociedad de Inversión, aplicable a los Activos Administrados por los Mandatarios.</w:t>
      </w:r>
    </w:p>
    <w:p w:rsidR="00CA63EE" w:rsidRPr="00CA63EE" w:rsidRDefault="00CA63EE" w:rsidP="00CA63EE">
      <w:pPr>
        <w:jc w:val="both"/>
        <w:rPr>
          <w:rFonts w:ascii="Verdana" w:hAnsi="Verdana"/>
          <w:bCs/>
          <w:sz w:val="20"/>
        </w:rPr>
      </w:pPr>
      <w:r w:rsidRPr="00CA63EE">
        <w:rPr>
          <w:rFonts w:ascii="Verdana" w:hAnsi="Verdana"/>
          <w:b/>
          <w:bCs/>
          <w:sz w:val="20"/>
        </w:rPr>
        <w:t>Artículo 77.- </w:t>
      </w:r>
      <w:r w:rsidRPr="00CA63EE">
        <w:rPr>
          <w:rFonts w:ascii="Verdana" w:hAnsi="Verdana"/>
          <w:bCs/>
          <w:sz w:val="20"/>
        </w:rPr>
        <w:t>Las Administradoras, antes de adquirir cualquier Activo Objeto de Inversión, ya sea a través de las Sociedades de Inversión o a través de Mandatarios, deberán asegurarse que contarán con el Precio Actualizado para Valuación de los Activos Objeto de Inversión que corresponda, de conformidad con las presentes Disposiciones al Día de Valuación en que ingrese dicho Activo Objeto de Inversión a la cartera de inversión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Los Precios Actualizados para Valuación utilizados para </w:t>
      </w:r>
      <w:proofErr w:type="spellStart"/>
      <w:r w:rsidRPr="00CA63EE">
        <w:rPr>
          <w:rFonts w:ascii="Verdana" w:hAnsi="Verdana"/>
          <w:bCs/>
          <w:sz w:val="20"/>
        </w:rPr>
        <w:t>valuar</w:t>
      </w:r>
      <w:proofErr w:type="spellEnd"/>
      <w:r w:rsidRPr="00CA63EE">
        <w:rPr>
          <w:rFonts w:ascii="Verdana" w:hAnsi="Verdana"/>
          <w:bCs/>
          <w:sz w:val="20"/>
        </w:rPr>
        <w:t xml:space="preserve"> los Activos Objeto de Inversión que conformen el Activo Administrado por las Sociedades de Inversión y, en su caso, los intereses, deberán corresponder al Día de Valuación de la acción de la Sociedad de Inversión. Los Activos Administrados por los Mandatarios deberán ser valuados el Día de Valuación usando precios que podrán estar rezagados en su fecha de determinación de conformidad con los plazos descritos en las Disposiciones de carácter general sobre el registro de la contabilidad, elaboración y presentación de estados financieros a las que </w:t>
      </w:r>
      <w:proofErr w:type="spellStart"/>
      <w:r w:rsidRPr="00CA63EE">
        <w:rPr>
          <w:rFonts w:ascii="Verdana" w:hAnsi="Verdana"/>
          <w:bCs/>
          <w:sz w:val="20"/>
        </w:rPr>
        <w:t>deberánsujetarse</w:t>
      </w:r>
      <w:proofErr w:type="spellEnd"/>
      <w:r w:rsidRPr="00CA63EE">
        <w:rPr>
          <w:rFonts w:ascii="Verdana" w:hAnsi="Verdana"/>
          <w:bCs/>
          <w:sz w:val="20"/>
        </w:rPr>
        <w:t xml:space="preserve"> las Sociedades de Inversión emitidas por la Comisión.</w:t>
      </w:r>
    </w:p>
    <w:p w:rsidR="00CA63EE" w:rsidRPr="00CA63EE" w:rsidRDefault="00CA63EE" w:rsidP="00CA63EE">
      <w:pPr>
        <w:jc w:val="both"/>
        <w:rPr>
          <w:rFonts w:ascii="Verdana" w:hAnsi="Verdana"/>
          <w:bCs/>
          <w:sz w:val="20"/>
        </w:rPr>
      </w:pPr>
      <w:r w:rsidRPr="00CA63EE">
        <w:rPr>
          <w:rFonts w:ascii="Verdana" w:hAnsi="Verdana"/>
          <w:b/>
          <w:bCs/>
          <w:sz w:val="20"/>
        </w:rPr>
        <w:t>Artículo 78.- </w:t>
      </w:r>
      <w:r w:rsidRPr="00CA63EE">
        <w:rPr>
          <w:rFonts w:ascii="Verdana" w:hAnsi="Verdana"/>
          <w:bCs/>
          <w:sz w:val="20"/>
        </w:rPr>
        <w:t>Las Administradoras que tengan objeciones a los precios que determinen el Proveedor de Precios o la Sociedad Valuadora conforme a sus actividades, deberán formularlas por escrito ante dichas entidades y ante la autoridad competente o bien con apego a las prácticas internacionales establecidas en el País Elegible para Inversiones de que se trate, a efecto de que se resuelvan conforme a lo previsto en la regulación que les sea aplicable y deberán dar aviso a la Comisión de la inconformidad anterior el día hábil siguiente a la fecha de publicación del precio objetado, señalando la resolución adoptada por el Proveedor </w:t>
      </w:r>
      <w:proofErr w:type="spellStart"/>
      <w:r w:rsidRPr="00CA63EE">
        <w:rPr>
          <w:rFonts w:ascii="Verdana" w:hAnsi="Verdana"/>
          <w:bCs/>
          <w:sz w:val="20"/>
        </w:rPr>
        <w:t>dePrecios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 xml:space="preserve">Las Administradoras deberán conservar durante un plazo de 5 años, la evidencia proporcionada por el Proveedor de Precios o la Sociedad Valuadora que sustente las modificaciones que en su caso se hubieren realizado a los Precios Actualizados para </w:t>
      </w:r>
      <w:r w:rsidRPr="00CA63EE">
        <w:rPr>
          <w:rFonts w:ascii="Verdana" w:hAnsi="Verdana"/>
          <w:bCs/>
          <w:sz w:val="20"/>
        </w:rPr>
        <w:lastRenderedPageBreak/>
        <w:t>Valuación o en su caso a los insumos empleados para determinar el cumplimiento de los límites aplicables a las medidas de riesgos que determine la Comisión de conformidad con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Artículo 79.- </w:t>
      </w:r>
      <w:r w:rsidRPr="00CA63EE">
        <w:rPr>
          <w:rFonts w:ascii="Verdana" w:hAnsi="Verdana"/>
          <w:bCs/>
          <w:sz w:val="20"/>
        </w:rPr>
        <w:t xml:space="preserve">Los depósitos bancarios de dinero realizados con los Activos Administrados por la Sociedad de Inversión deberán </w:t>
      </w:r>
      <w:proofErr w:type="spellStart"/>
      <w:r w:rsidRPr="00CA63EE">
        <w:rPr>
          <w:rFonts w:ascii="Verdana" w:hAnsi="Verdana"/>
          <w:bCs/>
          <w:sz w:val="20"/>
        </w:rPr>
        <w:t>valuarse</w:t>
      </w:r>
      <w:proofErr w:type="spellEnd"/>
      <w:r w:rsidRPr="00CA63EE">
        <w:rPr>
          <w:rFonts w:ascii="Verdana" w:hAnsi="Verdana"/>
          <w:bCs/>
          <w:sz w:val="20"/>
        </w:rPr>
        <w:t xml:space="preserve"> exclusivamente por las Administradoras, tomando el saldo de cierre del día anterior al Día de Valuación. Tratándose de la valuación en moneda nacional de depósitos en Divisas, las</w:t>
      </w:r>
    </w:p>
    <w:p w:rsidR="00CA63EE" w:rsidRPr="00CA63EE" w:rsidRDefault="00CA63EE" w:rsidP="00CA63EE">
      <w:pPr>
        <w:jc w:val="both"/>
        <w:rPr>
          <w:rFonts w:ascii="Verdana" w:hAnsi="Verdana"/>
          <w:bCs/>
          <w:sz w:val="20"/>
        </w:rPr>
      </w:pPr>
      <w:r w:rsidRPr="00CA63EE">
        <w:rPr>
          <w:rFonts w:ascii="Verdana" w:hAnsi="Verdana"/>
          <w:bCs/>
          <w:sz w:val="20"/>
        </w:rPr>
        <w:t xml:space="preserve">Administradoras deberán utilizar el Tipo de Cambio, o bien, el Tipo de Cambio Cruzado de Valuación, vigentes para el Día de Valuación. Los depósitos bancarios realizados con los Activos Administrados por los Mandatarios deberán ser </w:t>
      </w:r>
      <w:proofErr w:type="spellStart"/>
      <w:r w:rsidRPr="00CA63EE">
        <w:rPr>
          <w:rFonts w:ascii="Verdana" w:hAnsi="Verdana"/>
          <w:bCs/>
          <w:sz w:val="20"/>
        </w:rPr>
        <w:t>valuados</w:t>
      </w:r>
      <w:proofErr w:type="spellEnd"/>
      <w:r w:rsidRPr="00CA63EE">
        <w:rPr>
          <w:rFonts w:ascii="Verdana" w:hAnsi="Verdana"/>
          <w:bCs/>
          <w:sz w:val="20"/>
        </w:rPr>
        <w:t xml:space="preserve"> por un tercero elegible de conformidad con las presentes Disposiciones determinado por la Administradora entre los que se podrán encontrar los Custodios internacionales o esta misma.</w:t>
      </w:r>
    </w:p>
    <w:p w:rsidR="00CA63EE" w:rsidRPr="00CA63EE" w:rsidRDefault="00CA63EE" w:rsidP="00CA63EE">
      <w:pPr>
        <w:jc w:val="both"/>
        <w:rPr>
          <w:rFonts w:ascii="Verdana" w:hAnsi="Verdana"/>
          <w:bCs/>
          <w:sz w:val="20"/>
        </w:rPr>
      </w:pPr>
      <w:r w:rsidRPr="00CA63EE">
        <w:rPr>
          <w:rFonts w:ascii="Verdana" w:hAnsi="Verdana"/>
          <w:b/>
          <w:bCs/>
          <w:sz w:val="20"/>
        </w:rPr>
        <w:t>Artículo 80.- </w:t>
      </w:r>
      <w:r w:rsidRPr="00CA63EE">
        <w:rPr>
          <w:rFonts w:ascii="Verdana" w:hAnsi="Verdana"/>
          <w:bCs/>
          <w:sz w:val="20"/>
        </w:rPr>
        <w:t>Las Administradoras o, en su caso las Sociedades Valuadoras que contraten al efecto, deberán valuar diariamente en moneda nacional los Activos Objeto de Inversión que formen parte del Activo Total de la Sociedad de Inversión conforme al Régimen de Inversión Autorizado, usando lo siguiente:</w:t>
      </w:r>
    </w:p>
    <w:p w:rsidR="00CA63EE" w:rsidRPr="00CA63EE" w:rsidRDefault="00CA63EE" w:rsidP="00CA63EE">
      <w:pPr>
        <w:jc w:val="both"/>
        <w:rPr>
          <w:rFonts w:ascii="Verdana" w:hAnsi="Verdana"/>
          <w:bCs/>
          <w:sz w:val="20"/>
        </w:rPr>
      </w:pPr>
      <w:r w:rsidRPr="00CA63EE">
        <w:rPr>
          <w:rFonts w:ascii="Verdana" w:hAnsi="Verdana"/>
          <w:bCs/>
          <w:sz w:val="20"/>
        </w:rPr>
        <w:t>I.           Precios Actualizados para Valuación aplicados a los Activos Objeto de Inversión que formen parte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II.          Precios que obtengan las Administradoras de acuerdo con la metodología que desarrollen en el Manual de Políticas y Procedimientos para la Administración del Riesgo Financiero, aplicados a los Activos Objeto de Inversión para los que las presentes Disposiciones prevea este proceso de valuación, que formen parte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III.          Valor razonable de las operaciones de reporto y valor de los depósitos bancarios, aplicados a los Activos Objeto de Inversión que formen parte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IV.         Factores de Riesgo correspondientes a la fecha de valuación, aplicados a los Activos Objeto de Inversión que formen parte del Activo Administrado por la Sociedad de Inversión, y</w:t>
      </w:r>
    </w:p>
    <w:p w:rsidR="00CA63EE" w:rsidRPr="00CA63EE" w:rsidRDefault="00CA63EE" w:rsidP="00CA63EE">
      <w:pPr>
        <w:jc w:val="both"/>
        <w:rPr>
          <w:rFonts w:ascii="Verdana" w:hAnsi="Verdana"/>
          <w:bCs/>
          <w:sz w:val="20"/>
        </w:rPr>
      </w:pPr>
      <w:r w:rsidRPr="00CA63EE">
        <w:rPr>
          <w:rFonts w:ascii="Verdana" w:hAnsi="Verdana"/>
          <w:bCs/>
          <w:sz w:val="20"/>
        </w:rPr>
        <w:t>V.          Valuación de los Activos Objeto de Inversión del Activo Administrado por los Mandatarios.</w:t>
      </w:r>
    </w:p>
    <w:p w:rsidR="00CA63EE" w:rsidRPr="00CA63EE" w:rsidRDefault="00CA63EE" w:rsidP="00CA63EE">
      <w:pPr>
        <w:jc w:val="both"/>
        <w:rPr>
          <w:rFonts w:ascii="Verdana" w:hAnsi="Verdana"/>
          <w:bCs/>
          <w:sz w:val="20"/>
        </w:rPr>
      </w:pPr>
      <w:r w:rsidRPr="00CA63EE">
        <w:rPr>
          <w:rFonts w:ascii="Verdana" w:hAnsi="Verdana"/>
          <w:bCs/>
          <w:sz w:val="20"/>
        </w:rPr>
        <w:t xml:space="preserve">Tratándose de Activos Objeto de Inversión denominados en Divisas, exceptuando los previstos en el artículo 79 de las presentes Disposiciones, las Administradoras o, en su caso las Sociedades Valuadoras que contraten al efecto, deberán </w:t>
      </w:r>
      <w:proofErr w:type="spellStart"/>
      <w:r w:rsidRPr="00CA63EE">
        <w:rPr>
          <w:rFonts w:ascii="Verdana" w:hAnsi="Verdana"/>
          <w:bCs/>
          <w:sz w:val="20"/>
        </w:rPr>
        <w:t>valuarlos</w:t>
      </w:r>
      <w:proofErr w:type="spellEnd"/>
      <w:r w:rsidRPr="00CA63EE">
        <w:rPr>
          <w:rFonts w:ascii="Verdana" w:hAnsi="Verdana"/>
          <w:bCs/>
          <w:sz w:val="20"/>
        </w:rPr>
        <w:t xml:space="preserve"> en moneda nacional utilizando el Tipo de Cambio y, en su caso, el Tipo de Cambio Cruzado de Valuación.</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Asimismo, los Activos Objeto de Inversión que formen parte de los Activos Administrados por los Mandatarios, exceptuando los previstos en el artículo 79 de las presentes Disposiciones, deberán </w:t>
      </w:r>
      <w:proofErr w:type="spellStart"/>
      <w:r w:rsidRPr="00CA63EE">
        <w:rPr>
          <w:rFonts w:ascii="Verdana" w:hAnsi="Verdana"/>
          <w:bCs/>
          <w:sz w:val="20"/>
        </w:rPr>
        <w:t>valuarse</w:t>
      </w:r>
      <w:proofErr w:type="spellEnd"/>
      <w:r w:rsidRPr="00CA63EE">
        <w:rPr>
          <w:rFonts w:ascii="Verdana" w:hAnsi="Verdana"/>
          <w:bCs/>
          <w:sz w:val="20"/>
        </w:rPr>
        <w:t xml:space="preserve"> por la Administradora o en su caso por la Sociedad Valuadora que contraten para tales efectos, en moneda nacional, aplicando en su caso Tipos de Cambio Cruzados de Valuación proporcionados por el Proveedor de Precios que corresponda.</w:t>
      </w:r>
    </w:p>
    <w:p w:rsidR="00CA63EE" w:rsidRPr="00CA63EE" w:rsidRDefault="00CA63EE" w:rsidP="00CA63EE">
      <w:pPr>
        <w:jc w:val="both"/>
        <w:rPr>
          <w:rFonts w:ascii="Verdana" w:hAnsi="Verdana"/>
          <w:bCs/>
          <w:sz w:val="20"/>
        </w:rPr>
      </w:pPr>
      <w:r w:rsidRPr="00CA63EE">
        <w:rPr>
          <w:rFonts w:ascii="Verdana" w:hAnsi="Verdana"/>
          <w:b/>
          <w:bCs/>
          <w:sz w:val="20"/>
        </w:rPr>
        <w:t>Artículo 81.- </w:t>
      </w:r>
      <w:r w:rsidRPr="00CA63EE">
        <w:rPr>
          <w:rFonts w:ascii="Verdana" w:hAnsi="Verdana"/>
          <w:bCs/>
          <w:sz w:val="20"/>
        </w:rPr>
        <w:t>Las Administradoras o, en su caso las Sociedades Valuadoras que contraten al efecto, deberán calcular el valor razonable de las operaciones de reporto que realicen las Sociedades de Inversión y en su caso los Mandatarios, utilizando los Precios Actualizados para Valuación y se actualizará el premio devengado de acuerdo con el plazo del Día de Valuación. Asimismo, las Administradoras o, en su caso las Sociedades Valuadoras que contraten al efecto, deberán valuar las garantías de las operaciones de reporto, en los términos de los artículos 83 y 84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Para efecto de lo establecido en el presente artículo, el valor razonable de las operaciones de reporto deberá ser igual al valor presente de la suma del valor del efectivo, más el premio del reporto. El valor presente, a su vez, se calculará usando la tasa de descuento proporcionada por el Proveedor de Precios, correspondiente al plazo a vencimiento del reporto y a la calificación crediticia de la Contraparte con quien se celebre dicha operación.</w:t>
      </w:r>
    </w:p>
    <w:p w:rsidR="00CA63EE" w:rsidRPr="00CA63EE" w:rsidRDefault="00CA63EE" w:rsidP="00CA63EE">
      <w:pPr>
        <w:jc w:val="both"/>
        <w:rPr>
          <w:rFonts w:ascii="Verdana" w:hAnsi="Verdana"/>
          <w:bCs/>
          <w:sz w:val="20"/>
        </w:rPr>
      </w:pPr>
      <w:r w:rsidRPr="00CA63EE">
        <w:rPr>
          <w:rFonts w:ascii="Verdana" w:hAnsi="Verdana"/>
          <w:b/>
          <w:bCs/>
          <w:sz w:val="20"/>
        </w:rPr>
        <w:t>Artículo 82.- </w:t>
      </w:r>
      <w:r w:rsidRPr="00CA63EE">
        <w:rPr>
          <w:rFonts w:ascii="Verdana" w:hAnsi="Verdana"/>
          <w:bCs/>
          <w:sz w:val="20"/>
        </w:rPr>
        <w:t xml:space="preserve">Las Administradoras o, en su caso las Sociedades Valuadoras que contraten al efecto, deberán calcular el Valor en Riesgo, el Diferencial del Valor en Riesgo Condicional o en su caso, la medida de riesgo que de conformidad con las Disposiciones de carácter general que establecen el régimen de inversión al que deberán sujetarse las Sociedades de Inversión sea definida, o aquella medida de riesgos que regulatoriamente deba ser propuesta por el Comité de Riesgos Financieros de la Sociedad de Inversión y aprobada por el Órgano de Gobierno de las Sociedades de Inversión o bien la definida por el Comité </w:t>
      </w:r>
      <w:proofErr w:type="spellStart"/>
      <w:r w:rsidRPr="00CA63EE">
        <w:rPr>
          <w:rFonts w:ascii="Verdana" w:hAnsi="Verdana"/>
          <w:bCs/>
          <w:sz w:val="20"/>
        </w:rPr>
        <w:t>deAnálisis</w:t>
      </w:r>
      <w:proofErr w:type="spellEnd"/>
      <w:r w:rsidRPr="00CA63EE">
        <w:rPr>
          <w:rFonts w:ascii="Verdana" w:hAnsi="Verdana"/>
          <w:bCs/>
          <w:sz w:val="20"/>
        </w:rPr>
        <w:t xml:space="preserve"> de Riesgos aplicable a los Activos Objeto de Inversión que formen parte de los Activos Administrados por las Sociedades de Inversión.</w:t>
      </w:r>
    </w:p>
    <w:p w:rsidR="00CA63EE" w:rsidRPr="00CA63EE" w:rsidRDefault="00CA63EE" w:rsidP="00CA63EE">
      <w:pPr>
        <w:jc w:val="both"/>
        <w:rPr>
          <w:rFonts w:ascii="Verdana" w:hAnsi="Verdana"/>
          <w:bCs/>
          <w:sz w:val="20"/>
        </w:rPr>
      </w:pPr>
      <w:r w:rsidRPr="00CA63EE">
        <w:rPr>
          <w:rFonts w:ascii="Verdana" w:hAnsi="Verdana"/>
          <w:bCs/>
          <w:sz w:val="20"/>
        </w:rPr>
        <w:t>Asimismo, las Sociedades Valuadoras que contraten las Administradoras deberán calcular la medida de riesgo que de conformidad con las Disposiciones de carácter general que establecen el régimen de inversión al que deberán sujetarse las Sociedades de Inversión sea definida, la que regulatoriamente deba ser propuesta por el Comité de Riesgos Financieros de la Sociedad de Inversión y aprobada por el Órgano de Gobierno de las Sociedades de Inversión o bien la definida por el Comité de Análisis de Riesgos, aplicable a los Activos Objeto de Inversión que forme parte de los Activos Administrados por los Mandatarios.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lastRenderedPageBreak/>
        <w:t>PROVEEDURÍA DE PRECIOS PARA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Sección I</w:t>
      </w:r>
    </w:p>
    <w:p w:rsidR="00CA63EE" w:rsidRPr="00CA63EE" w:rsidRDefault="00CA63EE" w:rsidP="00CA63EE">
      <w:pPr>
        <w:jc w:val="both"/>
        <w:rPr>
          <w:rFonts w:ascii="Verdana" w:hAnsi="Verdana"/>
          <w:bCs/>
          <w:sz w:val="20"/>
        </w:rPr>
      </w:pPr>
      <w:r w:rsidRPr="00CA63EE">
        <w:rPr>
          <w:rFonts w:ascii="Verdana" w:hAnsi="Verdana"/>
          <w:b/>
          <w:bCs/>
          <w:sz w:val="20"/>
        </w:rPr>
        <w:t>De la Proveeduría de precios para la valuación de Activos Administrados por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83.- </w:t>
      </w:r>
      <w:r w:rsidRPr="00CA63EE">
        <w:rPr>
          <w:rFonts w:ascii="Verdana" w:hAnsi="Verdana"/>
          <w:bCs/>
          <w:sz w:val="20"/>
        </w:rPr>
        <w:t>Respecto a los Activos Objeto de Inversión que formen parte de los Activos Administrados por la Sociedad de Inversión, las Administradoras deberán contratar los servicios de un Proveedor de Precios, a fin de recibir de éste, los siguientes servicios:</w:t>
      </w:r>
    </w:p>
    <w:p w:rsidR="00CA63EE" w:rsidRPr="00CA63EE" w:rsidRDefault="00CA63EE" w:rsidP="00CA63EE">
      <w:pPr>
        <w:jc w:val="both"/>
        <w:rPr>
          <w:rFonts w:ascii="Verdana" w:hAnsi="Verdana"/>
          <w:bCs/>
          <w:sz w:val="20"/>
        </w:rPr>
      </w:pPr>
      <w:r w:rsidRPr="00CA63EE">
        <w:rPr>
          <w:rFonts w:ascii="Verdana" w:hAnsi="Verdana"/>
          <w:bCs/>
          <w:sz w:val="20"/>
        </w:rPr>
        <w:t>I.           Precios Actualizados para Valuación de Instrumentos de todos los Activos Objeto de Inversión que conformen el Activo Administrado por la Sociedad de Inversión, excepto para:</w:t>
      </w:r>
    </w:p>
    <w:p w:rsidR="00CA63EE" w:rsidRPr="00CA63EE" w:rsidRDefault="00CA63EE" w:rsidP="00CA63EE">
      <w:pPr>
        <w:jc w:val="both"/>
        <w:rPr>
          <w:rFonts w:ascii="Verdana" w:hAnsi="Verdana"/>
          <w:bCs/>
          <w:sz w:val="20"/>
        </w:rPr>
      </w:pPr>
      <w:r w:rsidRPr="00CA63EE">
        <w:rPr>
          <w:rFonts w:ascii="Verdana" w:hAnsi="Verdana"/>
          <w:bCs/>
          <w:sz w:val="20"/>
        </w:rPr>
        <w:t>a)   El valor razonable de las operaciones de reporto;</w:t>
      </w:r>
    </w:p>
    <w:p w:rsidR="00CA63EE" w:rsidRPr="00CA63EE" w:rsidRDefault="00CA63EE" w:rsidP="00CA63EE">
      <w:pPr>
        <w:jc w:val="both"/>
        <w:rPr>
          <w:rFonts w:ascii="Verdana" w:hAnsi="Verdana"/>
          <w:bCs/>
          <w:sz w:val="20"/>
        </w:rPr>
      </w:pPr>
      <w:r w:rsidRPr="00CA63EE">
        <w:rPr>
          <w:rFonts w:ascii="Verdana" w:hAnsi="Verdana"/>
          <w:bCs/>
          <w:sz w:val="20"/>
        </w:rPr>
        <w:t>b)   El valor de depósitos bancarios;</w:t>
      </w:r>
    </w:p>
    <w:p w:rsidR="00CA63EE" w:rsidRPr="00CA63EE" w:rsidRDefault="00CA63EE" w:rsidP="00CA63EE">
      <w:pPr>
        <w:jc w:val="both"/>
        <w:rPr>
          <w:rFonts w:ascii="Verdana" w:hAnsi="Verdana"/>
          <w:bCs/>
          <w:sz w:val="20"/>
        </w:rPr>
      </w:pPr>
      <w:r w:rsidRPr="00CA63EE">
        <w:rPr>
          <w:rFonts w:ascii="Verdana" w:hAnsi="Verdana"/>
          <w:bCs/>
          <w:sz w:val="20"/>
        </w:rPr>
        <w:t xml:space="preserve">c)   El valor de los Instrumentos Estructurados, que cuenten con la valuación de un valuador independiente del fideicomitente del patrimonio del Instrumento Estructurado, de las entidades promovidas, del </w:t>
      </w:r>
      <w:proofErr w:type="spellStart"/>
      <w:r w:rsidRPr="00CA63EE">
        <w:rPr>
          <w:rFonts w:ascii="Verdana" w:hAnsi="Verdana"/>
          <w:bCs/>
          <w:sz w:val="20"/>
        </w:rPr>
        <w:t>promovente</w:t>
      </w:r>
      <w:proofErr w:type="spellEnd"/>
      <w:r w:rsidRPr="00CA63EE">
        <w:rPr>
          <w:rFonts w:ascii="Verdana" w:hAnsi="Verdana"/>
          <w:bCs/>
          <w:sz w:val="20"/>
        </w:rPr>
        <w:t xml:space="preserve"> y del administrador del fondo, y</w:t>
      </w:r>
    </w:p>
    <w:p w:rsidR="00CA63EE" w:rsidRPr="00CA63EE" w:rsidRDefault="00CA63EE" w:rsidP="00CA63EE">
      <w:pPr>
        <w:jc w:val="both"/>
        <w:rPr>
          <w:rFonts w:ascii="Verdana" w:hAnsi="Verdana"/>
          <w:bCs/>
          <w:sz w:val="20"/>
        </w:rPr>
      </w:pPr>
      <w:r w:rsidRPr="00CA63EE">
        <w:rPr>
          <w:rFonts w:ascii="Verdana" w:hAnsi="Verdana"/>
          <w:bCs/>
          <w:sz w:val="20"/>
        </w:rPr>
        <w:t>d)   Los Activos Objeto de Inversión previstos en los artículos 84 y 85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II.          Factores de Riesgo de todos los Activos Objeto de Inversión que conformen el Activo Administrado por la Sociedad de Inversión, exceptuando los previstos en los artículos 84 y 85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84.- </w:t>
      </w:r>
      <w:r w:rsidRPr="00CA63EE">
        <w:rPr>
          <w:rFonts w:ascii="Verdana" w:hAnsi="Verdana"/>
          <w:bCs/>
          <w:sz w:val="20"/>
        </w:rPr>
        <w:t>Respecto de los Activos Objeto de Inversión que operen en mercados internacionales y que formen parte de los Activos Administrados por la Sociedad de Inversión, las Administradoras podrán:</w:t>
      </w:r>
    </w:p>
    <w:p w:rsidR="00CA63EE" w:rsidRPr="00CA63EE" w:rsidRDefault="00CA63EE" w:rsidP="00CA63EE">
      <w:pPr>
        <w:jc w:val="both"/>
        <w:rPr>
          <w:rFonts w:ascii="Verdana" w:hAnsi="Verdana"/>
          <w:bCs/>
          <w:sz w:val="20"/>
        </w:rPr>
      </w:pPr>
      <w:r w:rsidRPr="00CA63EE">
        <w:rPr>
          <w:rFonts w:ascii="Verdana" w:hAnsi="Verdana"/>
          <w:bCs/>
          <w:sz w:val="20"/>
        </w:rPr>
        <w:t>I.           Obtener los Precios Actualizados para Valuación del Custodio que hayan contratado para la guarda de valores y operaciones que celebren en los mercados internacionales, y</w:t>
      </w:r>
    </w:p>
    <w:p w:rsidR="00CA63EE" w:rsidRPr="00CA63EE" w:rsidRDefault="00CA63EE" w:rsidP="00CA63EE">
      <w:pPr>
        <w:jc w:val="both"/>
        <w:rPr>
          <w:rFonts w:ascii="Verdana" w:hAnsi="Verdana"/>
          <w:bCs/>
          <w:sz w:val="20"/>
        </w:rPr>
      </w:pPr>
      <w:r w:rsidRPr="00CA63EE">
        <w:rPr>
          <w:rFonts w:ascii="Verdana" w:hAnsi="Verdana"/>
          <w:bCs/>
          <w:sz w:val="20"/>
        </w:rPr>
        <w:t>II.          Obtener los Factores de Riesgo del Custodio contratado para la guarda de valores y operaciones que celebren en los mercados internacionales.</w:t>
      </w:r>
    </w:p>
    <w:p w:rsidR="00CA63EE" w:rsidRPr="00CA63EE" w:rsidRDefault="00CA63EE" w:rsidP="00CA63EE">
      <w:pPr>
        <w:jc w:val="both"/>
        <w:rPr>
          <w:rFonts w:ascii="Verdana" w:hAnsi="Verdana"/>
          <w:bCs/>
          <w:sz w:val="20"/>
        </w:rPr>
      </w:pPr>
      <w:r w:rsidRPr="00CA63EE">
        <w:rPr>
          <w:rFonts w:ascii="Verdana" w:hAnsi="Verdana"/>
          <w:bCs/>
          <w:sz w:val="20"/>
        </w:rPr>
        <w:t>El Custodio al que se refiere el presente artículo deberá estar autorizado para realizar actividades de valuación por la autoridad competente del País Elegible para Inversiones donde se encuentre domiciliado y podrá ser una entidad distinta del Custodio contratado para las actividades de guarda de valores en el mercado nacional.</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85.- </w:t>
      </w:r>
      <w:r w:rsidRPr="00CA63EE">
        <w:rPr>
          <w:rFonts w:ascii="Verdana" w:hAnsi="Verdana"/>
          <w:bCs/>
          <w:sz w:val="20"/>
        </w:rPr>
        <w:t>Respecto de los Activos Administrados por la Sociedad de Inversión, la Administradora podrá obtener el valor de las operaciones con Derivados que las Sociedades de Inversión administradas por ésta celebren en mercados extrabursátiles, utilizando la metodología de valuación que aprueben los respectivos Comités de Riesgos Financieros contenida en el Manual de Políticas y Procedimientos para la Administración del Riesgo Financiero.</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
          <w:bCs/>
          <w:sz w:val="20"/>
        </w:rPr>
        <w:t>De la Proveeduría de precios para la Valuación de Activos Administrados por Mandatarios</w:t>
      </w:r>
    </w:p>
    <w:p w:rsidR="00CA63EE" w:rsidRPr="00CA63EE" w:rsidRDefault="00CA63EE" w:rsidP="00CA63EE">
      <w:pPr>
        <w:jc w:val="both"/>
        <w:rPr>
          <w:rFonts w:ascii="Verdana" w:hAnsi="Verdana"/>
          <w:bCs/>
          <w:sz w:val="20"/>
        </w:rPr>
      </w:pPr>
      <w:r w:rsidRPr="00CA63EE">
        <w:rPr>
          <w:rFonts w:ascii="Verdana" w:hAnsi="Verdana"/>
          <w:b/>
          <w:bCs/>
          <w:sz w:val="20"/>
        </w:rPr>
        <w:t>Artículo 86.- </w:t>
      </w:r>
      <w:r w:rsidRPr="00CA63EE">
        <w:rPr>
          <w:rFonts w:ascii="Verdana" w:hAnsi="Verdana"/>
          <w:bCs/>
          <w:sz w:val="20"/>
        </w:rPr>
        <w:t>Respecto a los Activos Objeto de Inversión que formen parte de los Activos Administrados por los Mandatarios, la Administradora deberá obtener los Precios Actualizados para Valuación y los Factores de Riesgo aplicables a los activos referidos en las presentes Disposiciones de un Proveedor de Precios o bien de los Custodios autorizados para realizar tales actividades en los Países Elegibles para Inversiones, los cuales podrán ser entidades distintas de aquéllas referidas en la Sección anterior.</w:t>
      </w:r>
    </w:p>
    <w:p w:rsidR="00CA63EE" w:rsidRPr="00CA63EE" w:rsidRDefault="00CA63EE" w:rsidP="00CA63EE">
      <w:pPr>
        <w:jc w:val="both"/>
        <w:rPr>
          <w:rFonts w:ascii="Verdana" w:hAnsi="Verdana"/>
          <w:bCs/>
          <w:sz w:val="20"/>
        </w:rPr>
      </w:pPr>
      <w:r w:rsidRPr="00CA63EE">
        <w:rPr>
          <w:rFonts w:ascii="Verdana" w:hAnsi="Verdana"/>
          <w:b/>
          <w:bCs/>
          <w:sz w:val="20"/>
        </w:rPr>
        <w:t>Sección III</w:t>
      </w:r>
    </w:p>
    <w:p w:rsidR="00CA63EE" w:rsidRPr="00CA63EE" w:rsidRDefault="00CA63EE" w:rsidP="00CA63EE">
      <w:pPr>
        <w:jc w:val="both"/>
        <w:rPr>
          <w:rFonts w:ascii="Verdana" w:hAnsi="Verdana"/>
          <w:bCs/>
          <w:sz w:val="20"/>
        </w:rPr>
      </w:pPr>
      <w:r w:rsidRPr="00CA63EE">
        <w:rPr>
          <w:rFonts w:ascii="Verdana" w:hAnsi="Verdana"/>
          <w:b/>
          <w:bCs/>
          <w:sz w:val="20"/>
        </w:rPr>
        <w:t>De la Proveeduría de Precios para la Valuación de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Artículo 87.- </w:t>
      </w:r>
      <w:r w:rsidRPr="00CA63EE">
        <w:rPr>
          <w:rFonts w:ascii="Verdana" w:hAnsi="Verdana"/>
          <w:bCs/>
          <w:sz w:val="20"/>
        </w:rPr>
        <w:t>Los Precios Actualizados para Valuación correspondientes a los Activos Objeto de Inversión que conforman la cartera de inversión de las Sociedades de Inversión y, en su caso, los intereses, deberán corresponder al Día de Valuación de la acción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A efectos de lo anterior, el Comité de Valuación, a que se refiere el artículo 46 de la Ley, podrá determinar los criterios referentes a la información que será considerada para efectos de calcular los Precios Actualizados para Valuación.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Asimismo, a través de las Reglas generales que al efecto establezca la Comisión para la entrega de información, deberá entregarse a la Comisión, las políticas para definir las operaciones y los activos que conformarán las posiciones que deberán ser valuadas en cada fecha valor.</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
          <w:bCs/>
          <w:sz w:val="20"/>
        </w:rPr>
        <w:t>De la Contratación del Proveedor de Precios</w:t>
      </w:r>
    </w:p>
    <w:p w:rsidR="00CA63EE" w:rsidRPr="00CA63EE" w:rsidRDefault="00CA63EE" w:rsidP="00CA63EE">
      <w:pPr>
        <w:jc w:val="both"/>
        <w:rPr>
          <w:rFonts w:ascii="Verdana" w:hAnsi="Verdana"/>
          <w:bCs/>
          <w:sz w:val="20"/>
        </w:rPr>
      </w:pPr>
      <w:r w:rsidRPr="00CA63EE">
        <w:rPr>
          <w:rFonts w:ascii="Verdana" w:hAnsi="Verdana"/>
          <w:b/>
          <w:bCs/>
          <w:sz w:val="20"/>
        </w:rPr>
        <w:t>Artículo 88.- </w:t>
      </w:r>
      <w:r w:rsidRPr="00CA63EE">
        <w:rPr>
          <w:rFonts w:ascii="Verdana" w:hAnsi="Verdana"/>
          <w:bCs/>
          <w:sz w:val="20"/>
        </w:rPr>
        <w:t>Cada Proveedor de Precios o Custodio que contrate la Administradora con fines de obtener Precios Actualizados para Valuación, deberá proveer un precio único de los Activos Objeto de Inversión que valúe.</w:t>
      </w:r>
    </w:p>
    <w:p w:rsidR="00CA63EE" w:rsidRPr="00CA63EE" w:rsidRDefault="00CA63EE" w:rsidP="00CA63EE">
      <w:pPr>
        <w:jc w:val="both"/>
        <w:rPr>
          <w:rFonts w:ascii="Verdana" w:hAnsi="Verdana"/>
          <w:bCs/>
          <w:sz w:val="20"/>
        </w:rPr>
      </w:pPr>
      <w:r w:rsidRPr="00CA63EE">
        <w:rPr>
          <w:rFonts w:ascii="Verdana" w:hAnsi="Verdana"/>
          <w:bCs/>
          <w:sz w:val="20"/>
        </w:rPr>
        <w:t xml:space="preserve">Para el caso de los Proveedores de Precios que contrate la Administradora para </w:t>
      </w:r>
      <w:proofErr w:type="spellStart"/>
      <w:r w:rsidRPr="00CA63EE">
        <w:rPr>
          <w:rFonts w:ascii="Verdana" w:hAnsi="Verdana"/>
          <w:bCs/>
          <w:sz w:val="20"/>
        </w:rPr>
        <w:t>valuar</w:t>
      </w:r>
      <w:proofErr w:type="spellEnd"/>
      <w:r w:rsidRPr="00CA63EE">
        <w:rPr>
          <w:rFonts w:ascii="Verdana" w:hAnsi="Verdana"/>
          <w:bCs/>
          <w:sz w:val="20"/>
        </w:rPr>
        <w:t xml:space="preserve"> las carteras de inversión administradas por los Mandatarios y en su caso las carteras </w:t>
      </w:r>
      <w:r w:rsidRPr="00CA63EE">
        <w:rPr>
          <w:rFonts w:ascii="Verdana" w:hAnsi="Verdana"/>
          <w:bCs/>
          <w:sz w:val="20"/>
        </w:rPr>
        <w:lastRenderedPageBreak/>
        <w:t>de inversión administradas por ella misma en mercados internacionales, aplicará lo siguiente:</w:t>
      </w:r>
    </w:p>
    <w:p w:rsidR="00CA63EE" w:rsidRPr="00CA63EE" w:rsidRDefault="00CA63EE" w:rsidP="00CA63EE">
      <w:pPr>
        <w:jc w:val="both"/>
        <w:rPr>
          <w:rFonts w:ascii="Verdana" w:hAnsi="Verdana"/>
          <w:bCs/>
          <w:sz w:val="20"/>
        </w:rPr>
      </w:pPr>
      <w:r w:rsidRPr="00CA63EE">
        <w:rPr>
          <w:rFonts w:ascii="Verdana" w:hAnsi="Verdana"/>
          <w:bCs/>
          <w:sz w:val="20"/>
        </w:rPr>
        <w:t>I.           En caso de que el Proveedor de Precios a su vez requiera los servicios de expertos en valuación la Administradora que lo hubiere contratado deberá conocer qué activos le corresponderá valuar a cada experto, y</w:t>
      </w:r>
    </w:p>
    <w:p w:rsidR="00CA63EE" w:rsidRPr="00CA63EE" w:rsidRDefault="00CA63EE" w:rsidP="00CA63EE">
      <w:pPr>
        <w:jc w:val="both"/>
        <w:rPr>
          <w:rFonts w:ascii="Verdana" w:hAnsi="Verdana"/>
          <w:bCs/>
          <w:sz w:val="20"/>
        </w:rPr>
      </w:pPr>
      <w:r w:rsidRPr="00CA63EE">
        <w:rPr>
          <w:rFonts w:ascii="Verdana" w:hAnsi="Verdana"/>
          <w:bCs/>
          <w:sz w:val="20"/>
        </w:rPr>
        <w:t xml:space="preserve">II.          Para el caso de las carteras de inversión que administre la propia Sociedad de Inversión deberá utilizar un Proveedor de Precios único para valuar dichos Activos Objeto de Inversión. No obstante lo anterior, la Administradora podrá contratar un Proveedor de Precios distinto al referido en el presente párrafo para </w:t>
      </w:r>
      <w:proofErr w:type="spellStart"/>
      <w:r w:rsidRPr="00CA63EE">
        <w:rPr>
          <w:rFonts w:ascii="Verdana" w:hAnsi="Verdana"/>
          <w:bCs/>
          <w:sz w:val="20"/>
        </w:rPr>
        <w:t>valuar</w:t>
      </w:r>
      <w:proofErr w:type="spellEnd"/>
      <w:r w:rsidRPr="00CA63EE">
        <w:rPr>
          <w:rFonts w:ascii="Verdana" w:hAnsi="Verdana"/>
          <w:bCs/>
          <w:sz w:val="20"/>
        </w:rPr>
        <w:t xml:space="preserve"> la cartera de inversión de los Activos Administrados por la Sociedad de Inversión que ésta opere en mercados internacionales.</w:t>
      </w:r>
    </w:p>
    <w:p w:rsidR="00CA63EE" w:rsidRPr="00CA63EE" w:rsidRDefault="00CA63EE" w:rsidP="00CA63EE">
      <w:pPr>
        <w:jc w:val="both"/>
        <w:rPr>
          <w:rFonts w:ascii="Verdana" w:hAnsi="Verdana"/>
          <w:bCs/>
          <w:sz w:val="20"/>
        </w:rPr>
      </w:pPr>
      <w:r w:rsidRPr="00CA63EE">
        <w:rPr>
          <w:rFonts w:ascii="Verdana" w:hAnsi="Verdana"/>
          <w:bCs/>
          <w:sz w:val="20"/>
        </w:rPr>
        <w:t xml:space="preserve">La Administradora deberá informar a la Comisión la política que seguirá para </w:t>
      </w:r>
      <w:proofErr w:type="spellStart"/>
      <w:r w:rsidRPr="00CA63EE">
        <w:rPr>
          <w:rFonts w:ascii="Verdana" w:hAnsi="Verdana"/>
          <w:bCs/>
          <w:sz w:val="20"/>
        </w:rPr>
        <w:t>valuar</w:t>
      </w:r>
      <w:proofErr w:type="spellEnd"/>
      <w:r w:rsidRPr="00CA63EE">
        <w:rPr>
          <w:rFonts w:ascii="Verdana" w:hAnsi="Verdana"/>
          <w:bCs/>
          <w:sz w:val="20"/>
        </w:rPr>
        <w:t xml:space="preserve"> las carteras de inversión de las Sociedades de Inversión que opere en mercados internacionales. Dicha política deberá hacerse del conocimiento y ser aprobada por el Comité de Riesgos Financieros e informada a la Comisión a más tardar 20 días hábiles posteriores a la aprobación por dicho Comité.</w:t>
      </w:r>
    </w:p>
    <w:p w:rsidR="00CA63EE" w:rsidRPr="00CA63EE" w:rsidRDefault="00CA63EE" w:rsidP="00CA63EE">
      <w:pPr>
        <w:jc w:val="both"/>
        <w:rPr>
          <w:rFonts w:ascii="Verdana" w:hAnsi="Verdana"/>
          <w:bCs/>
          <w:sz w:val="20"/>
        </w:rPr>
      </w:pPr>
      <w:r w:rsidRPr="00CA63EE">
        <w:rPr>
          <w:rFonts w:ascii="Verdana" w:hAnsi="Verdana"/>
          <w:b/>
          <w:bCs/>
          <w:sz w:val="20"/>
        </w:rPr>
        <w:t>Artículo 89.- </w:t>
      </w:r>
      <w:r w:rsidRPr="00CA63EE">
        <w:rPr>
          <w:rFonts w:ascii="Verdana" w:hAnsi="Verdana"/>
          <w:bCs/>
          <w:sz w:val="20"/>
        </w:rPr>
        <w:t>Para los Activos Objeto de Inversión que formen parte del Activo Administrado por la Sociedad de Inversión, las Administradoras, en el contrato que celebren con el Proveedor de Precios, deberán establecer que éste proporcionará los servicios a que se refiere el artículo 83 de las presentes Disposiciones. En caso de que la Administradora decida contratar los servicios de un Custodio con fines de valuación, éste deberá proveer cuando menos los Precios Actualizados para Valuación de los Activos Objeto de Inversión operados en mercados internacionales, así como los Factores de Riesgo de dichos valores y de las operaciones con Derivados celebradas en mercados extrabursátiles extranjeros.</w:t>
      </w:r>
    </w:p>
    <w:p w:rsidR="00CA63EE" w:rsidRPr="00CA63EE" w:rsidRDefault="00CA63EE" w:rsidP="00CA63EE">
      <w:pPr>
        <w:jc w:val="both"/>
        <w:rPr>
          <w:rFonts w:ascii="Verdana" w:hAnsi="Verdana"/>
          <w:bCs/>
          <w:sz w:val="20"/>
        </w:rPr>
      </w:pPr>
      <w:r w:rsidRPr="00CA63EE">
        <w:rPr>
          <w:rFonts w:ascii="Verdana" w:hAnsi="Verdana"/>
          <w:b/>
          <w:bCs/>
          <w:sz w:val="20"/>
        </w:rPr>
        <w:t>Artículo 90.- </w:t>
      </w:r>
      <w:r w:rsidRPr="00CA63EE">
        <w:rPr>
          <w:rFonts w:ascii="Verdana" w:hAnsi="Verdana"/>
          <w:bCs/>
          <w:sz w:val="20"/>
        </w:rPr>
        <w:t>Las Administradoras deberán establecer en el contrato que celebren con el Proveedor de Precios o el Custodio, que éste deberá contar con los sistemas de intercambio de información necesarios para entregar diariamente a la Comisión, a nombre de la Administradora que opere cada Sociedad de Inversión, los Precios Actualizados para Valuación y los Factores de Riesgo que, en su caso, correspondan, para valuar y determinar el Valor en Riesgo, el Diferencial del Valor en Riesgo Condicional o las medidas de riesgo definidas por la Comisión o bien las que de conformidad con lo previsto en las presentes Disposiciones deban ser propuestas por el Comité de Riesgos Financieros y aprobados por el Órgano de Gobierno de la Sociedad de Inversión, de los Activos Objeto de Inversión para los que haya sido contratado el Proveedor de Precios o el Custodio, con las características establecidas en las Reglas generales que al efecto establezca la Comisión para la entrega de información y en los términos de los artículos 83, 86 y 89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91.- </w:t>
      </w:r>
      <w:r w:rsidRPr="00CA63EE">
        <w:rPr>
          <w:rFonts w:ascii="Verdana" w:hAnsi="Verdana"/>
          <w:bCs/>
          <w:sz w:val="20"/>
        </w:rPr>
        <w:t xml:space="preserve">Las Administradoras deberán informar a la Comisión respecto del Proveedor de Precios y los servicios contratados para los Activos Administrados por la Sociedad de Inversión, así como respecto de los Custodios y del Proveedor de Precios </w:t>
      </w:r>
      <w:r w:rsidRPr="00CA63EE">
        <w:rPr>
          <w:rFonts w:ascii="Verdana" w:hAnsi="Verdana"/>
          <w:bCs/>
          <w:sz w:val="20"/>
        </w:rPr>
        <w:lastRenderedPageBreak/>
        <w:t>que contrate para los Activos Administrados por Mandatarios, dentro de los 10 días hábiles siguientes a la celebración del contrato, y con 20 días hábiles de anticipación al inicio de vigencia del contrato respectivo en caso de cambio de Proveedor de Precios o de algún Custodio.</w:t>
      </w:r>
    </w:p>
    <w:p w:rsidR="00CA63EE" w:rsidRPr="00CA63EE" w:rsidRDefault="00CA63EE" w:rsidP="00CA63EE">
      <w:pPr>
        <w:jc w:val="both"/>
        <w:rPr>
          <w:rFonts w:ascii="Verdana" w:hAnsi="Verdana"/>
          <w:bCs/>
          <w:sz w:val="20"/>
        </w:rPr>
      </w:pPr>
      <w:r w:rsidRPr="00CA63EE">
        <w:rPr>
          <w:rFonts w:ascii="Verdana" w:hAnsi="Verdana"/>
          <w:bCs/>
          <w:sz w:val="20"/>
        </w:rPr>
        <w:t>Para efecto de lo anterior, las Administradoras deberán mantener a disposición de la Comisión, una copia del contrato celebrado entre la Administradora y su Proveedor de Precios o su Custodio, para la cartera de inversión gestionada directamente por la Sociedad de Inversión y, en su caso entre la Administradora y el Proveedor de Precios o los Custodios para el caso de los Activos Administrados por Mandatarios. Asimismo, dentro de los 10 días hábiles siguientes a que el contrato sea ratificado por el Órgano de Gobierno de la Administradora, las Administradoras deberán mantener a disposición de la Comisión una copia del acuerdo correspondiente, certificada por el secretario de dicho Órgano, en el que conste la aprobación de la contratación del Proveedor de Precios o el Custodio de que se trate.</w:t>
      </w:r>
    </w:p>
    <w:p w:rsidR="00CA63EE" w:rsidRPr="00CA63EE" w:rsidRDefault="00CA63EE" w:rsidP="00CA63EE">
      <w:pPr>
        <w:jc w:val="both"/>
        <w:rPr>
          <w:rFonts w:ascii="Verdana" w:hAnsi="Verdana"/>
          <w:bCs/>
          <w:sz w:val="20"/>
        </w:rPr>
      </w:pPr>
      <w:r w:rsidRPr="00CA63EE">
        <w:rPr>
          <w:rFonts w:ascii="Verdana" w:hAnsi="Verdana"/>
          <w:bCs/>
          <w:sz w:val="20"/>
        </w:rPr>
        <w:t>Asimismo, todos los requisitos que aplican a los Activos Administrados por los Mandatarios se deberán señalar, como parte de un anexo, en el contrato que celebre la Administradora y el Proveedor de Precios o el Custodio.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El contrato que celebre la Administradora con el Proveedor de Precios no podrá tener una vigencia menor a un año y deberá ratificarse por el Órgano de Gobierno de la Administradora, en la primera sesión posterior a la celebración de dicho contrato. Asimismo, el contrato que celebre la Administradora con el Custodio para efectos de obtener Precios Actualizados de Valuación deberá establecer una vigencia anual, salvo que la terminación del contrato se hubiere pactado con anterioridad a dicho período de vigencia cuando el contrato con los Mandatarios se hubiere cancelado antes de dicho periodo y se volvieran redundantes los servicios del Custodio.</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DE LA VALUACIÓN DE LOS ACTIVOS OBJETO DE INVERSIÓN</w:t>
      </w:r>
    </w:p>
    <w:p w:rsidR="00CA63EE" w:rsidRPr="00CA63EE" w:rsidRDefault="00CA63EE" w:rsidP="00CA63EE">
      <w:pPr>
        <w:jc w:val="both"/>
        <w:rPr>
          <w:rFonts w:ascii="Verdana" w:hAnsi="Verdana"/>
          <w:bCs/>
          <w:sz w:val="20"/>
        </w:rPr>
      </w:pPr>
      <w:r w:rsidRPr="00CA63EE">
        <w:rPr>
          <w:rFonts w:ascii="Verdana" w:hAnsi="Verdana"/>
          <w:b/>
          <w:bCs/>
          <w:sz w:val="20"/>
        </w:rPr>
        <w:t>Artículo 92.- </w:t>
      </w:r>
      <w:r w:rsidRPr="00CA63EE">
        <w:rPr>
          <w:rFonts w:ascii="Verdana" w:hAnsi="Verdana"/>
          <w:bCs/>
          <w:sz w:val="20"/>
        </w:rPr>
        <w:t>Las Administradoras, en caso de que los Precios Actualizados para Valuación de los Activos Objeto de Inversión del Activo Total de la Sociedad de Inversión no sean proporcionados por la entidad que hayan contratado para tal efecto, deberán avisar de este hecho a la Comisión a más tardar a las 18:00 horas de la Ciudad de México, del día hábil anterior al Día de Valuación.</w:t>
      </w:r>
    </w:p>
    <w:p w:rsidR="00CA63EE" w:rsidRPr="00CA63EE" w:rsidRDefault="00CA63EE" w:rsidP="00CA63EE">
      <w:pPr>
        <w:jc w:val="both"/>
        <w:rPr>
          <w:rFonts w:ascii="Verdana" w:hAnsi="Verdana"/>
          <w:bCs/>
          <w:sz w:val="20"/>
        </w:rPr>
      </w:pPr>
      <w:r w:rsidRPr="00CA63EE">
        <w:rPr>
          <w:rFonts w:ascii="Verdana" w:hAnsi="Verdana"/>
          <w:bCs/>
          <w:sz w:val="20"/>
        </w:rPr>
        <w:t>En este caso, las Administradoras deberán informar si la omisión en la proveeduría de los Precios Actualizados para Valuación de los Activos Objeto de Inversión que formen parte del Activo Total de la Sociedad de Inversión, fue total o parcial. En caso de que la omisión haya sido parcial, las Administradoras deberán indicar cuáles de los Activos Objeto de Inversión fueron omitidos.</w:t>
      </w:r>
    </w:p>
    <w:p w:rsidR="00CA63EE" w:rsidRPr="00CA63EE" w:rsidRDefault="00CA63EE" w:rsidP="00CA63EE">
      <w:pPr>
        <w:jc w:val="both"/>
        <w:rPr>
          <w:rFonts w:ascii="Verdana" w:hAnsi="Verdana"/>
          <w:bCs/>
          <w:sz w:val="20"/>
        </w:rPr>
      </w:pPr>
      <w:r w:rsidRPr="00CA63EE">
        <w:rPr>
          <w:rFonts w:ascii="Verdana" w:hAnsi="Verdana"/>
          <w:b/>
          <w:bCs/>
          <w:sz w:val="20"/>
        </w:rPr>
        <w:t>Sección I</w:t>
      </w:r>
    </w:p>
    <w:p w:rsidR="00CA63EE" w:rsidRPr="00CA63EE" w:rsidRDefault="00CA63EE" w:rsidP="00CA63EE">
      <w:pPr>
        <w:jc w:val="both"/>
        <w:rPr>
          <w:rFonts w:ascii="Verdana" w:hAnsi="Verdana"/>
          <w:bCs/>
          <w:sz w:val="20"/>
        </w:rPr>
      </w:pPr>
      <w:r w:rsidRPr="00CA63EE">
        <w:rPr>
          <w:rFonts w:ascii="Verdana" w:hAnsi="Verdana"/>
          <w:b/>
          <w:bCs/>
          <w:sz w:val="20"/>
        </w:rPr>
        <w:lastRenderedPageBreak/>
        <w:t>De los Procedimientos contingentes de valuación de los Activos Objeto de Inversión que formen parte</w:t>
      </w:r>
      <w:r w:rsidRPr="00CA63EE">
        <w:rPr>
          <w:rFonts w:ascii="Verdana" w:hAnsi="Verdana"/>
          <w:bCs/>
          <w:sz w:val="20"/>
        </w:rPr>
        <w:br/>
      </w:r>
      <w:r w:rsidRPr="00CA63EE">
        <w:rPr>
          <w:rFonts w:ascii="Verdana" w:hAnsi="Verdana"/>
          <w:b/>
          <w:bCs/>
          <w:sz w:val="20"/>
        </w:rPr>
        <w:t>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93.- </w:t>
      </w:r>
      <w:r w:rsidRPr="00CA63EE">
        <w:rPr>
          <w:rFonts w:ascii="Verdana" w:hAnsi="Verdana"/>
          <w:bCs/>
          <w:sz w:val="20"/>
        </w:rPr>
        <w:t>En caso de que el Proveedor de Precios no proporcione los Precios Actualizados para Valuación de los Instrumentos, Valores Extranjeros de Renta Variable y operaciones con Derivados celebradas en mercados estandarizados, las Administradoras, o las Sociedades Valuadoras en su caso, deberán valuar dichos activos financieros en los siguientes términos:</w:t>
      </w:r>
    </w:p>
    <w:p w:rsidR="00CA63EE" w:rsidRPr="00CA63EE" w:rsidRDefault="00CA63EE" w:rsidP="00CA63EE">
      <w:pPr>
        <w:jc w:val="both"/>
        <w:rPr>
          <w:rFonts w:ascii="Verdana" w:hAnsi="Verdana"/>
          <w:bCs/>
          <w:sz w:val="20"/>
        </w:rPr>
      </w:pPr>
      <w:r w:rsidRPr="00CA63EE">
        <w:rPr>
          <w:rFonts w:ascii="Verdana" w:hAnsi="Verdana"/>
          <w:bCs/>
          <w:sz w:val="20"/>
        </w:rPr>
        <w:t>I.           Utilizando los Últimos Precios Actualizados para Valuación Conocidos, mismos que se actualizarán de acuerdo con el plazo del Día de Valuación.</w:t>
      </w:r>
    </w:p>
    <w:p w:rsidR="00CA63EE" w:rsidRPr="00CA63EE" w:rsidRDefault="00CA63EE" w:rsidP="00CA63EE">
      <w:pPr>
        <w:jc w:val="both"/>
        <w:rPr>
          <w:rFonts w:ascii="Verdana" w:hAnsi="Verdana"/>
          <w:bCs/>
          <w:sz w:val="20"/>
        </w:rPr>
      </w:pPr>
      <w:r w:rsidRPr="00CA63EE">
        <w:rPr>
          <w:rFonts w:ascii="Verdana" w:hAnsi="Verdana"/>
          <w:bCs/>
          <w:sz w:val="20"/>
        </w:rPr>
        <w:t xml:space="preserve">             En caso de Activos Objeto de Inversión que, por ser de nueva emisión no hayan sido incluidos en los Últimos Precios Actualizados para Valuación, deberán </w:t>
      </w:r>
      <w:proofErr w:type="spellStart"/>
      <w:r w:rsidRPr="00CA63EE">
        <w:rPr>
          <w:rFonts w:ascii="Verdana" w:hAnsi="Verdana"/>
          <w:bCs/>
          <w:sz w:val="20"/>
        </w:rPr>
        <w:t>valuarse</w:t>
      </w:r>
      <w:proofErr w:type="spellEnd"/>
      <w:r w:rsidRPr="00CA63EE">
        <w:rPr>
          <w:rFonts w:ascii="Verdana" w:hAnsi="Verdana"/>
          <w:bCs/>
          <w:sz w:val="20"/>
        </w:rPr>
        <w:t xml:space="preserve"> tomando como base el costo de adquisición. En el caso de Activos Objeto de Inversión denominados en Unidades de Inversión o su equivalente, o en Divisas, se actualizarán con el valor de la Unidad de Inversión o su equivalente, o con el Tipo de Cambio o con el Tipo de Cambio Cruzado de Valuación vigentes para el Día de Valuación, respectivamente;</w:t>
      </w:r>
    </w:p>
    <w:p w:rsidR="00CA63EE" w:rsidRPr="00CA63EE" w:rsidRDefault="00CA63EE" w:rsidP="00CA63EE">
      <w:pPr>
        <w:jc w:val="both"/>
        <w:rPr>
          <w:rFonts w:ascii="Verdana" w:hAnsi="Verdana"/>
          <w:bCs/>
          <w:sz w:val="20"/>
        </w:rPr>
      </w:pPr>
      <w:r w:rsidRPr="00CA63EE">
        <w:rPr>
          <w:rFonts w:ascii="Verdana" w:hAnsi="Verdana"/>
          <w:bCs/>
          <w:sz w:val="20"/>
        </w:rPr>
        <w:t>II.          Para los títulos que pagan intereses, se tomará el precio sin considerar intereses de los Últimos Precios Actualizados para Valuación Conocidos y se calcularán los intereses devengados por los días transcurridos hasta el Día de Valuación.</w:t>
      </w:r>
    </w:p>
    <w:p w:rsidR="00CA63EE" w:rsidRPr="00CA63EE" w:rsidRDefault="00CA63EE" w:rsidP="00CA63EE">
      <w:pPr>
        <w:jc w:val="both"/>
        <w:rPr>
          <w:rFonts w:ascii="Verdana" w:hAnsi="Verdana"/>
          <w:bCs/>
          <w:sz w:val="20"/>
        </w:rPr>
      </w:pPr>
      <w:r w:rsidRPr="00CA63EE">
        <w:rPr>
          <w:rFonts w:ascii="Verdana" w:hAnsi="Verdana"/>
          <w:bCs/>
          <w:sz w:val="20"/>
        </w:rPr>
        <w:t>             En el caso de Instrumentos denominados en Divisas, Unidades de Inversión o su equivalente, así como Valores Extranjeros de Renta Variable denominados en Divisas, tanto el precio como los intereses se actualizarán con el valor de la Unidad de Inversión o su equivalente o con el Tipo de Cambio o con el Tipo de Cambio Cruzado de Valuación, vigentes para el Día de Valuación, según sea el caso;</w:t>
      </w:r>
    </w:p>
    <w:p w:rsidR="00CA63EE" w:rsidRPr="00CA63EE" w:rsidRDefault="00CA63EE" w:rsidP="00CA63EE">
      <w:pPr>
        <w:jc w:val="both"/>
        <w:rPr>
          <w:rFonts w:ascii="Verdana" w:hAnsi="Verdana"/>
          <w:bCs/>
          <w:sz w:val="20"/>
        </w:rPr>
      </w:pPr>
      <w:r w:rsidRPr="00CA63EE">
        <w:rPr>
          <w:rFonts w:ascii="Verdana" w:hAnsi="Verdana"/>
          <w:bCs/>
          <w:sz w:val="20"/>
        </w:rPr>
        <w:t>III.          Para las operaciones con Derivados que se celebren en mercados estandarizados, se tomarán los Últimos Precios Actualizados para Valuación Conocidos, y</w:t>
      </w:r>
    </w:p>
    <w:p w:rsidR="00CA63EE" w:rsidRPr="00CA63EE" w:rsidRDefault="00CA63EE" w:rsidP="00CA63EE">
      <w:pPr>
        <w:jc w:val="both"/>
        <w:rPr>
          <w:rFonts w:ascii="Verdana" w:hAnsi="Verdana"/>
          <w:bCs/>
          <w:sz w:val="20"/>
        </w:rPr>
      </w:pPr>
      <w:r w:rsidRPr="00CA63EE">
        <w:rPr>
          <w:rFonts w:ascii="Verdana" w:hAnsi="Verdana"/>
          <w:bCs/>
          <w:sz w:val="20"/>
        </w:rPr>
        <w:t>IV.         Para los Valores Extranjeros de Renta Variable, se tomarán los Últimos Precios Actualizados para Valuación Conocidos.</w:t>
      </w:r>
    </w:p>
    <w:p w:rsidR="00CA63EE" w:rsidRPr="00CA63EE" w:rsidRDefault="00CA63EE" w:rsidP="00CA63EE">
      <w:pPr>
        <w:jc w:val="both"/>
        <w:rPr>
          <w:rFonts w:ascii="Verdana" w:hAnsi="Verdana"/>
          <w:bCs/>
          <w:sz w:val="20"/>
        </w:rPr>
      </w:pPr>
      <w:r w:rsidRPr="00CA63EE">
        <w:rPr>
          <w:rFonts w:ascii="Verdana" w:hAnsi="Verdana"/>
          <w:b/>
          <w:bCs/>
          <w:sz w:val="20"/>
        </w:rPr>
        <w:t>Artículo 94.- </w:t>
      </w:r>
      <w:r w:rsidRPr="00CA63EE">
        <w:rPr>
          <w:rFonts w:ascii="Verdana" w:hAnsi="Verdana"/>
          <w:bCs/>
          <w:sz w:val="20"/>
        </w:rPr>
        <w:t>En caso de que el Proveedor de Precios o Custodio, según corresponda, no proporcionen los Precios Actualizados para Valuación de los Valores Extranjeros de Deuda, las Administradoras deberán valuar dichos activos financieros en los siguientes términos:</w:t>
      </w:r>
    </w:p>
    <w:p w:rsidR="00CA63EE" w:rsidRPr="00CA63EE" w:rsidRDefault="00CA63EE" w:rsidP="00CA63EE">
      <w:pPr>
        <w:jc w:val="both"/>
        <w:rPr>
          <w:rFonts w:ascii="Verdana" w:hAnsi="Verdana"/>
          <w:bCs/>
          <w:sz w:val="20"/>
        </w:rPr>
      </w:pPr>
      <w:r w:rsidRPr="00CA63EE">
        <w:rPr>
          <w:rFonts w:ascii="Verdana" w:hAnsi="Verdana"/>
          <w:bCs/>
          <w:sz w:val="20"/>
        </w:rPr>
        <w:t>I.           Utilizando los Últimos Precios Actualizados para Valuación Conocidos que se actualizarán de acuerdo con el plazo del Día de Valuación.</w:t>
      </w:r>
    </w:p>
    <w:p w:rsidR="00CA63EE" w:rsidRPr="00CA63EE" w:rsidRDefault="00CA63EE" w:rsidP="00CA63EE">
      <w:pPr>
        <w:jc w:val="both"/>
        <w:rPr>
          <w:rFonts w:ascii="Verdana" w:hAnsi="Verdana"/>
          <w:bCs/>
          <w:sz w:val="20"/>
        </w:rPr>
      </w:pPr>
      <w:r w:rsidRPr="00CA63EE">
        <w:rPr>
          <w:rFonts w:ascii="Verdana" w:hAnsi="Verdana"/>
          <w:bCs/>
          <w:sz w:val="20"/>
        </w:rPr>
        <w:t xml:space="preserve">             En caso de Valores Extranjeros de Deuda que, por ser de nueva emisión no hayan sido incluidos en los Últimos Precios Actualizados para Valuación Conocidos, deberán </w:t>
      </w:r>
      <w:proofErr w:type="spellStart"/>
      <w:r w:rsidRPr="00CA63EE">
        <w:rPr>
          <w:rFonts w:ascii="Verdana" w:hAnsi="Verdana"/>
          <w:bCs/>
          <w:sz w:val="20"/>
        </w:rPr>
        <w:t>valuarse</w:t>
      </w:r>
      <w:proofErr w:type="spellEnd"/>
      <w:r w:rsidRPr="00CA63EE">
        <w:rPr>
          <w:rFonts w:ascii="Verdana" w:hAnsi="Verdana"/>
          <w:bCs/>
          <w:sz w:val="20"/>
        </w:rPr>
        <w:t xml:space="preserve"> tomando como base el costo de adquisición.</w:t>
      </w:r>
    </w:p>
    <w:p w:rsidR="00CA63EE" w:rsidRPr="00CA63EE" w:rsidRDefault="00CA63EE" w:rsidP="00CA63EE">
      <w:pPr>
        <w:jc w:val="both"/>
        <w:rPr>
          <w:rFonts w:ascii="Verdana" w:hAnsi="Verdana"/>
          <w:bCs/>
          <w:sz w:val="20"/>
        </w:rPr>
      </w:pPr>
      <w:r w:rsidRPr="00CA63EE">
        <w:rPr>
          <w:rFonts w:ascii="Verdana" w:hAnsi="Verdana"/>
          <w:bCs/>
          <w:sz w:val="20"/>
        </w:rPr>
        <w:lastRenderedPageBreak/>
        <w:t>             En el caso de Valores Extranjeros de Deuda denominados en Unidades de Inversión o su equivalente, o en Divisas, se actualizarán con el valor de la Unidad de Inversión o su equivalente, o con el Tipo de Cambio o con el Tipo de Cambio Cruzado de Valuación, vigentes para el Día de Valuación, respectivamente, 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          Para los Títulos que pagan intereses, se tomará el precio sin considerar intereses de los Últimos Precios Actualizados para Valuación Conocidos y se calcularán los intereses por los días transcurridos hasta el Día de Valuación.</w:t>
      </w:r>
    </w:p>
    <w:p w:rsidR="00CA63EE" w:rsidRPr="00CA63EE" w:rsidRDefault="00CA63EE" w:rsidP="00CA63EE">
      <w:pPr>
        <w:jc w:val="both"/>
        <w:rPr>
          <w:rFonts w:ascii="Verdana" w:hAnsi="Verdana"/>
          <w:bCs/>
          <w:sz w:val="20"/>
        </w:rPr>
      </w:pPr>
      <w:r w:rsidRPr="00CA63EE">
        <w:rPr>
          <w:rFonts w:ascii="Verdana" w:hAnsi="Verdana"/>
          <w:bCs/>
          <w:sz w:val="20"/>
        </w:rPr>
        <w:t>             En el caso de Valores Extranjeros de Deuda denominados en Unidades de Inversión o su equivalente, o en Divisas, tanto el precio como los intereses se actualizarán con el valor de la Unidad de Inversión o su equivalente, o con el Tipo de Cambio o con el Tipo de Cambio Cruzado de Valuación, vigentes para el Día de Valuación, respectivamente.</w:t>
      </w:r>
    </w:p>
    <w:p w:rsidR="00CA63EE" w:rsidRPr="00CA63EE" w:rsidRDefault="00CA63EE" w:rsidP="00CA63EE">
      <w:pPr>
        <w:jc w:val="both"/>
        <w:rPr>
          <w:rFonts w:ascii="Verdana" w:hAnsi="Verdana"/>
          <w:bCs/>
          <w:sz w:val="20"/>
        </w:rPr>
      </w:pPr>
      <w:r w:rsidRPr="00CA63EE">
        <w:rPr>
          <w:rFonts w:ascii="Verdana" w:hAnsi="Verdana"/>
          <w:b/>
          <w:bCs/>
          <w:sz w:val="20"/>
        </w:rPr>
        <w:t>Artículo 95.- </w:t>
      </w:r>
      <w:r w:rsidRPr="00CA63EE">
        <w:rPr>
          <w:rFonts w:ascii="Verdana" w:hAnsi="Verdana"/>
          <w:bCs/>
          <w:sz w:val="20"/>
        </w:rPr>
        <w:t xml:space="preserve">Las Administradoras, en caso de que contraten una Sociedad Valuadora para el cálculo del valor razonable de las operaciones de reporto y ésta no proporcione el valor correspondiente, deberán realizar el cálculo del valor razonable de dichas operaciones utilizando los Precios Actualizados para Valuación y se actualizará el premio devengado de acuerdo con el plazo del Día de Valuación. Asimismo, las Administradoras deberán valuar las garantías de las operaciones de reporto en los términos del artículo 81 de las presentes Disposiciones o, en caso de que el Proveedor de Precios no proporcione los Precios Actualizados para Valuación de un Instrumento, deberán valuar las garantías de las operaciones de reporto en términos de </w:t>
      </w:r>
      <w:proofErr w:type="spellStart"/>
      <w:r w:rsidRPr="00CA63EE">
        <w:rPr>
          <w:rFonts w:ascii="Verdana" w:hAnsi="Verdana"/>
          <w:bCs/>
          <w:sz w:val="20"/>
        </w:rPr>
        <w:t>lasfracciones</w:t>
      </w:r>
      <w:proofErr w:type="spellEnd"/>
      <w:r w:rsidRPr="00CA63EE">
        <w:rPr>
          <w:rFonts w:ascii="Verdana" w:hAnsi="Verdana"/>
          <w:bCs/>
          <w:sz w:val="20"/>
        </w:rPr>
        <w:t xml:space="preserve"> I y II del artículo 93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En caso de que no cuenten con los Precios Actualizados para Valuación para el cálculo del valor razonable de las operaciones de reporto, las Administradoras deberán utilizar los Últimos Precios Actualizados para Valuación Conocidos.</w:t>
      </w:r>
    </w:p>
    <w:p w:rsidR="00CA63EE" w:rsidRPr="00CA63EE" w:rsidRDefault="00CA63EE" w:rsidP="00CA63EE">
      <w:pPr>
        <w:jc w:val="both"/>
        <w:rPr>
          <w:rFonts w:ascii="Verdana" w:hAnsi="Verdana"/>
          <w:bCs/>
          <w:sz w:val="20"/>
        </w:rPr>
      </w:pPr>
      <w:r w:rsidRPr="00CA63EE">
        <w:rPr>
          <w:rFonts w:ascii="Verdana" w:hAnsi="Verdana"/>
          <w:bCs/>
          <w:sz w:val="20"/>
        </w:rPr>
        <w:t>Para efecto de lo establecido en el presente artículo, el valor razonable del reporto será igual al valor presente de la suma del valor del efectivo más el premio del reporto. El valor presente, a su vez, se calculará usando la tasa de descuento de los Precios Actualizados para Valuación o, en su caso, la tasa de descuento de los Últimos Precios Actualizados para Valuación, correspondiente al plazo a vencimiento del reporto y de conformidad con la calidad crediticia de la Contraparte.</w:t>
      </w:r>
    </w:p>
    <w:p w:rsidR="00CA63EE" w:rsidRPr="00CA63EE" w:rsidRDefault="00CA63EE" w:rsidP="00CA63EE">
      <w:pPr>
        <w:jc w:val="both"/>
        <w:rPr>
          <w:rFonts w:ascii="Verdana" w:hAnsi="Verdana"/>
          <w:bCs/>
          <w:sz w:val="20"/>
        </w:rPr>
      </w:pPr>
      <w:r w:rsidRPr="00CA63EE">
        <w:rPr>
          <w:rFonts w:ascii="Verdana" w:hAnsi="Verdana"/>
          <w:b/>
          <w:bCs/>
          <w:sz w:val="20"/>
        </w:rPr>
        <w:t>Artículo 96.- </w:t>
      </w:r>
      <w:r w:rsidRPr="00CA63EE">
        <w:rPr>
          <w:rFonts w:ascii="Verdana" w:hAnsi="Verdana"/>
          <w:bCs/>
          <w:sz w:val="20"/>
        </w:rPr>
        <w:t xml:space="preserve">Las Administradoras, en caso de que el Proveedor de Precios o Custodio, según corresponda, no proporcionen los Factores de Riesgo para calcular el Valor en Riesgo, el Diferencial del Valor en Riesgo Condicional o las medidas de riesgo definidas por la Comisión o las que regulatoriamente deban ser propuestas por el Comité de Riesgos Financieros y aprobadas por el Órgano de Gobierno de las Sociedades de Inversión, de uno o varios Activos Objeto de Inversión de las Sociedades de Inversión, deberán utilizar los Factores de Riesgo del día anterior a aquél en que el Proveedor de Precios o Custodio </w:t>
      </w:r>
      <w:proofErr w:type="spellStart"/>
      <w:r w:rsidRPr="00CA63EE">
        <w:rPr>
          <w:rFonts w:ascii="Verdana" w:hAnsi="Verdana"/>
          <w:bCs/>
          <w:sz w:val="20"/>
        </w:rPr>
        <w:t>noproporcione</w:t>
      </w:r>
      <w:proofErr w:type="spellEnd"/>
      <w:r w:rsidRPr="00CA63EE">
        <w:rPr>
          <w:rFonts w:ascii="Verdana" w:hAnsi="Verdana"/>
          <w:bCs/>
          <w:sz w:val="20"/>
        </w:rPr>
        <w:t xml:space="preserve"> dichos factores, que correspondan al Activo Objeto de Inversión cuyo Factor de Riesgo no fue proporcionado. En este último </w:t>
      </w:r>
      <w:r w:rsidRPr="00CA63EE">
        <w:rPr>
          <w:rFonts w:ascii="Verdana" w:hAnsi="Verdana"/>
          <w:bCs/>
          <w:sz w:val="20"/>
        </w:rPr>
        <w:lastRenderedPageBreak/>
        <w:t>caso si los Factores de Riesgo no estuvieran disponibles para algún Activo Objeto de Inversión, la Administradora deberá usar las metodologías que autorice para estos efectos el Comité de Riesgos Financieros, debiendo quedar documentadas y formalizadas. La Administradora deberá informar a esta Comisión sobre dichos procedimientos a más tardar 10 días hábiles posteriores a su aprobación.</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
          <w:bCs/>
          <w:sz w:val="20"/>
        </w:rPr>
        <w:t>De los Procedimientos contingentes de valuación de los Activos Objeto de Inversión que formen parte</w:t>
      </w:r>
      <w:r w:rsidRPr="00CA63EE">
        <w:rPr>
          <w:rFonts w:ascii="Verdana" w:hAnsi="Verdana"/>
          <w:bCs/>
          <w:sz w:val="20"/>
        </w:rPr>
        <w:br/>
      </w:r>
      <w:r w:rsidRPr="00CA63EE">
        <w:rPr>
          <w:rFonts w:ascii="Verdana" w:hAnsi="Verdana"/>
          <w:b/>
          <w:bCs/>
          <w:sz w:val="20"/>
        </w:rPr>
        <w:t>del Activo Administrado por el Mandatario</w:t>
      </w:r>
    </w:p>
    <w:p w:rsidR="00CA63EE" w:rsidRPr="00CA63EE" w:rsidRDefault="00CA63EE" w:rsidP="00CA63EE">
      <w:pPr>
        <w:jc w:val="both"/>
        <w:rPr>
          <w:rFonts w:ascii="Verdana" w:hAnsi="Verdana"/>
          <w:bCs/>
          <w:sz w:val="20"/>
        </w:rPr>
      </w:pPr>
      <w:r w:rsidRPr="00CA63EE">
        <w:rPr>
          <w:rFonts w:ascii="Verdana" w:hAnsi="Verdana"/>
          <w:b/>
          <w:bCs/>
          <w:sz w:val="20"/>
        </w:rPr>
        <w:t>Artículo 97.- </w:t>
      </w:r>
      <w:r w:rsidRPr="00CA63EE">
        <w:rPr>
          <w:rFonts w:ascii="Verdana" w:hAnsi="Verdana"/>
          <w:bCs/>
          <w:sz w:val="20"/>
        </w:rPr>
        <w:t>El Comité de Riesgos Financieros de la Sociedad de Inversión deberá aprobar los procedimientos contingentes definidos por los Proveedores de Precios y las Sociedades Valuadoras que contraten para calcular los Precios Actualizados para Valuación y los Factores de Riesgo de los Activos Objeto de Inversión que formen parte de los Activos Administrados por el Mandatario. Dicha aprobación deberá contar con el visto bueno de la mayoría de los Consejeros Independientes del Comité de Riesgos Financieros.</w:t>
      </w:r>
    </w:p>
    <w:p w:rsidR="00CA63EE" w:rsidRPr="00CA63EE" w:rsidRDefault="00CA63EE" w:rsidP="00CA63EE">
      <w:pPr>
        <w:jc w:val="both"/>
        <w:rPr>
          <w:rFonts w:ascii="Verdana" w:hAnsi="Verdana"/>
          <w:bCs/>
          <w:sz w:val="20"/>
        </w:rPr>
      </w:pPr>
      <w:r w:rsidRPr="00CA63EE">
        <w:rPr>
          <w:rFonts w:ascii="Verdana" w:hAnsi="Verdana"/>
          <w:bCs/>
          <w:sz w:val="20"/>
        </w:rPr>
        <w:t>Asimismo, los procedimientos referidos anteriormente deberán apegarse a las mejores prácticas internacionales observadas en el mercado.</w:t>
      </w:r>
    </w:p>
    <w:p w:rsidR="00CA63EE" w:rsidRPr="00CA63EE" w:rsidRDefault="00CA63EE" w:rsidP="00CA63EE">
      <w:pPr>
        <w:jc w:val="both"/>
        <w:rPr>
          <w:rFonts w:ascii="Verdana" w:hAnsi="Verdana"/>
          <w:bCs/>
          <w:sz w:val="20"/>
        </w:rPr>
      </w:pPr>
      <w:r w:rsidRPr="00CA63EE">
        <w:rPr>
          <w:rFonts w:ascii="Verdana" w:hAnsi="Verdana"/>
          <w:bCs/>
          <w:sz w:val="20"/>
        </w:rPr>
        <w:t>La Administradora deberá informar a esta Comisión sobre dichos procedimientos a más tardar 10 días hábiles posteriores a su aprobación.</w:t>
      </w:r>
    </w:p>
    <w:p w:rsidR="00CA63EE" w:rsidRPr="00CA63EE" w:rsidRDefault="00CA63EE" w:rsidP="00CA63EE">
      <w:pPr>
        <w:jc w:val="both"/>
        <w:rPr>
          <w:rFonts w:ascii="Verdana" w:hAnsi="Verdana"/>
          <w:bCs/>
          <w:sz w:val="20"/>
        </w:rPr>
      </w:pPr>
      <w:r w:rsidRPr="00CA63EE">
        <w:rPr>
          <w:rFonts w:ascii="Verdana" w:hAnsi="Verdana"/>
          <w:b/>
          <w:bCs/>
          <w:sz w:val="20"/>
        </w:rPr>
        <w:t>Sección III</w:t>
      </w:r>
    </w:p>
    <w:p w:rsidR="00CA63EE" w:rsidRPr="00CA63EE" w:rsidRDefault="00CA63EE" w:rsidP="00CA63EE">
      <w:pPr>
        <w:jc w:val="both"/>
        <w:rPr>
          <w:rFonts w:ascii="Verdana" w:hAnsi="Verdana"/>
          <w:bCs/>
          <w:sz w:val="20"/>
        </w:rPr>
      </w:pPr>
      <w:r w:rsidRPr="00CA63EE">
        <w:rPr>
          <w:rFonts w:ascii="Verdana" w:hAnsi="Verdana"/>
          <w:b/>
          <w:bCs/>
          <w:sz w:val="20"/>
        </w:rPr>
        <w:t>De la contratación de las Sociedades Valuadoras</w:t>
      </w:r>
    </w:p>
    <w:p w:rsidR="00CA63EE" w:rsidRPr="00CA63EE" w:rsidRDefault="00CA63EE" w:rsidP="00CA63EE">
      <w:pPr>
        <w:jc w:val="both"/>
        <w:rPr>
          <w:rFonts w:ascii="Verdana" w:hAnsi="Verdana"/>
          <w:bCs/>
          <w:sz w:val="20"/>
        </w:rPr>
      </w:pPr>
      <w:r w:rsidRPr="00CA63EE">
        <w:rPr>
          <w:rFonts w:ascii="Verdana" w:hAnsi="Verdana"/>
          <w:b/>
          <w:bCs/>
          <w:sz w:val="20"/>
        </w:rPr>
        <w:t>Artículo 98.-</w:t>
      </w:r>
      <w:r w:rsidRPr="00CA63EE">
        <w:rPr>
          <w:rFonts w:ascii="Verdana" w:hAnsi="Verdana"/>
          <w:bCs/>
          <w:sz w:val="20"/>
        </w:rPr>
        <w:t> Las Administradoras que contraten una Sociedad Valuadora, deberán establecer en el contrato que la Sociedad Valuadora deberá contar con los sistemas de intercambio de información necesarios para entregar diariamente a la Comisión, a nombre de la Administradora que opere cada Sociedad de Inversión, la información para la que haya sido contratada por las Administradoras, de conformidad con las características establecidas en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El contrato que celebre la Administradora con la Sociedad Valuadora deberá ratificarse por el Órgano de Gobierno de la Administradora, en la primera sesión posterior a la celebración de dicho contrato.</w:t>
      </w:r>
    </w:p>
    <w:p w:rsidR="00CA63EE" w:rsidRPr="00CA63EE" w:rsidRDefault="00CA63EE" w:rsidP="00CA63EE">
      <w:pPr>
        <w:jc w:val="both"/>
        <w:rPr>
          <w:rFonts w:ascii="Verdana" w:hAnsi="Verdana"/>
          <w:bCs/>
          <w:sz w:val="20"/>
        </w:rPr>
      </w:pPr>
      <w:r w:rsidRPr="00CA63EE">
        <w:rPr>
          <w:rFonts w:ascii="Verdana" w:hAnsi="Verdana"/>
          <w:b/>
          <w:bCs/>
          <w:sz w:val="20"/>
        </w:rPr>
        <w:t>Artículo 99.- </w:t>
      </w:r>
      <w:r w:rsidRPr="00CA63EE">
        <w:rPr>
          <w:rFonts w:ascii="Verdana" w:hAnsi="Verdana"/>
          <w:bCs/>
          <w:sz w:val="20"/>
        </w:rPr>
        <w:t>Cuando</w:t>
      </w:r>
      <w:r w:rsidRPr="00CA63EE">
        <w:rPr>
          <w:rFonts w:ascii="Verdana" w:hAnsi="Verdana"/>
          <w:b/>
          <w:bCs/>
          <w:sz w:val="20"/>
        </w:rPr>
        <w:t> </w:t>
      </w:r>
      <w:r w:rsidRPr="00CA63EE">
        <w:rPr>
          <w:rFonts w:ascii="Verdana" w:hAnsi="Verdana"/>
          <w:bCs/>
          <w:sz w:val="20"/>
        </w:rPr>
        <w:t>las Administradoras contraten una Sociedad Valuadora, deberán informar a la Comisión de este hecho, así como de los servicios contratados, dentro de los 10 días hábiles siguientes a la celebración del contrato, y con 20 días hábiles de anticipación al inicio de vigencia del contrato respectivo en caso de cambio de Sociedad Valuadora.</w:t>
      </w:r>
    </w:p>
    <w:p w:rsidR="00CA63EE" w:rsidRPr="00CA63EE" w:rsidRDefault="00CA63EE" w:rsidP="00CA63EE">
      <w:pPr>
        <w:jc w:val="both"/>
        <w:rPr>
          <w:rFonts w:ascii="Verdana" w:hAnsi="Verdana"/>
          <w:bCs/>
          <w:sz w:val="20"/>
        </w:rPr>
      </w:pPr>
      <w:r w:rsidRPr="00CA63EE">
        <w:rPr>
          <w:rFonts w:ascii="Verdana" w:hAnsi="Verdana"/>
          <w:bCs/>
          <w:sz w:val="20"/>
        </w:rPr>
        <w:lastRenderedPageBreak/>
        <w:t>Para efecto de lo anterior, las Administradoras deberán mantener a disposición de la Comisión, una copia del contrato celebrado entre la Administradora y las Sociedades Valuadoras que provean servicios aplicables a los Activos Administrados por la Sociedad de Inversión o bien a los Activos Administrados por los Mandatarios. Asimismo, dentro de los 10 días hábiles siguientes a que el contrato sea ratificado por el Órgano de Gobierno de la Administradora, las Administradoras deberán entregar a la Comisión una copia del acuerdo correspondiente, certificada por el secretario de dicho Órgano, en el que conste la aprobación de la contratación de la Sociedad Valuadora.</w:t>
      </w:r>
    </w:p>
    <w:p w:rsidR="00CA63EE" w:rsidRPr="00CA63EE" w:rsidRDefault="00CA63EE" w:rsidP="00CA63EE">
      <w:pPr>
        <w:jc w:val="both"/>
        <w:rPr>
          <w:rFonts w:ascii="Verdana" w:hAnsi="Verdana"/>
          <w:bCs/>
          <w:sz w:val="20"/>
        </w:rPr>
      </w:pPr>
      <w:r w:rsidRPr="00CA63EE">
        <w:rPr>
          <w:rFonts w:ascii="Verdana" w:hAnsi="Verdana"/>
          <w:bCs/>
          <w:sz w:val="20"/>
        </w:rPr>
        <w:t>Para efecto de realizar las actividades de valuación de la cartera de inversión del Activo Administrado por Mandatarios, las Sociedades Valuadoras podrán proveer servicios administrativos para fondos conocidos en la práctica y en el idioma inglés como "</w:t>
      </w:r>
      <w:proofErr w:type="spellStart"/>
      <w:r w:rsidRPr="00CA63EE">
        <w:rPr>
          <w:rFonts w:ascii="Verdana" w:hAnsi="Verdana"/>
          <w:bCs/>
          <w:sz w:val="20"/>
        </w:rPr>
        <w:t>fund</w:t>
      </w:r>
      <w:proofErr w:type="spellEnd"/>
      <w:r w:rsidRPr="00CA63EE">
        <w:rPr>
          <w:rFonts w:ascii="Verdana" w:hAnsi="Verdana"/>
          <w:bCs/>
          <w:sz w:val="20"/>
        </w:rPr>
        <w:t xml:space="preserve"> </w:t>
      </w:r>
      <w:proofErr w:type="spellStart"/>
      <w:r w:rsidRPr="00CA63EE">
        <w:rPr>
          <w:rFonts w:ascii="Verdana" w:hAnsi="Verdana"/>
          <w:bCs/>
          <w:sz w:val="20"/>
        </w:rPr>
        <w:t>services</w:t>
      </w:r>
      <w:proofErr w:type="spellEnd"/>
      <w:r w:rsidRPr="00CA63EE">
        <w:rPr>
          <w:rFonts w:ascii="Verdana" w:hAnsi="Verdana"/>
          <w:bCs/>
          <w:sz w:val="20"/>
        </w:rPr>
        <w:t>" para los que se encuentren autorizados por las autoridades que los regulan y supervisan. Los requisitos que aplican a los Activos Administrados por los Mandatarios se deberán señalar, como parte de un anexo, en el contrato que celebre la Administradora y la Sociedad Valuadora.</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
          <w:bCs/>
          <w:sz w:val="20"/>
        </w:rPr>
        <w:t>De la Valuación de las acciones representativas del capital pagado de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Artículo 100.-</w:t>
      </w:r>
      <w:r w:rsidRPr="00CA63EE">
        <w:rPr>
          <w:rFonts w:ascii="Verdana" w:hAnsi="Verdana"/>
          <w:bCs/>
          <w:sz w:val="20"/>
        </w:rPr>
        <w:t xml:space="preserve"> El Comité de Valuación, a que se refiere el artículo 46 de la Ley, podrá definir criterios sobre los insumos que se emplearán para </w:t>
      </w:r>
      <w:proofErr w:type="spellStart"/>
      <w:r w:rsidRPr="00CA63EE">
        <w:rPr>
          <w:rFonts w:ascii="Verdana" w:hAnsi="Verdana"/>
          <w:bCs/>
          <w:sz w:val="20"/>
        </w:rPr>
        <w:t>valuar</w:t>
      </w:r>
      <w:proofErr w:type="spellEnd"/>
      <w:r w:rsidRPr="00CA63EE">
        <w:rPr>
          <w:rFonts w:ascii="Verdana" w:hAnsi="Verdana"/>
          <w:bCs/>
          <w:sz w:val="20"/>
        </w:rPr>
        <w:t xml:space="preserve"> las posiciones en los Países Elegibles para Inversiones que se mantengan con el Activo Total de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101.- </w:t>
      </w:r>
      <w:r w:rsidRPr="00CA63EE">
        <w:rPr>
          <w:rFonts w:ascii="Verdana" w:hAnsi="Verdana"/>
          <w:bCs/>
          <w:sz w:val="20"/>
        </w:rPr>
        <w:t>Las Administradoras, o en su caso las Sociedades Valuadoras que contraten para tal efecto, deberán valuar en moneda nacional las acciones representativas del capital pagado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El valor de las acciones representativas del capital pagado de las Sociedades de Inversión se debe efectuar dividiendo el capital contable entre el número de acciones en circulación.</w:t>
      </w:r>
    </w:p>
    <w:p w:rsidR="00CA63EE" w:rsidRPr="00CA63EE" w:rsidRDefault="00CA63EE" w:rsidP="00CA63EE">
      <w:pPr>
        <w:jc w:val="both"/>
        <w:rPr>
          <w:rFonts w:ascii="Verdana" w:hAnsi="Verdana"/>
          <w:bCs/>
          <w:sz w:val="20"/>
        </w:rPr>
      </w:pPr>
      <w:r w:rsidRPr="00CA63EE">
        <w:rPr>
          <w:rFonts w:ascii="Verdana" w:hAnsi="Verdana"/>
          <w:b/>
          <w:bCs/>
          <w:sz w:val="20"/>
        </w:rPr>
        <w:t>Artículo 102.- </w:t>
      </w:r>
      <w:r w:rsidRPr="00CA63EE">
        <w:rPr>
          <w:rFonts w:ascii="Verdana" w:hAnsi="Verdana"/>
          <w:bCs/>
          <w:sz w:val="20"/>
        </w:rPr>
        <w:t>Las Administradoras deberán ser responsables de verificar que se registren correcta y diariamente, a través de un tercero independiente o bien de algún otro mecanismo alternativo previsto en la Ley del Mercado de Valores, el valor de la acción en la bolsa de valores, redondeado a millonésimas, siendo dicho valor, el precio de valuación vigente para ese día.</w:t>
      </w:r>
    </w:p>
    <w:p w:rsidR="00CA63EE" w:rsidRPr="00CA63EE" w:rsidRDefault="00CA63EE" w:rsidP="00CA63EE">
      <w:pPr>
        <w:jc w:val="both"/>
        <w:rPr>
          <w:rFonts w:ascii="Verdana" w:hAnsi="Verdana"/>
          <w:bCs/>
          <w:sz w:val="20"/>
        </w:rPr>
      </w:pPr>
      <w:r w:rsidRPr="00CA63EE">
        <w:rPr>
          <w:rFonts w:ascii="Verdana" w:hAnsi="Verdana"/>
          <w:b/>
          <w:bCs/>
          <w:sz w:val="20"/>
        </w:rPr>
        <w:t>Artículo 103.- </w:t>
      </w:r>
      <w:r w:rsidRPr="00CA63EE">
        <w:rPr>
          <w:rFonts w:ascii="Verdana" w:hAnsi="Verdana"/>
          <w:bCs/>
          <w:sz w:val="20"/>
        </w:rPr>
        <w:t>La venta o adquisición que realicen las Sociedades de Inversión respecto de las acciones representativas de su capital social, se hará al precio de valuación vigente del día de la realización de la operación de que se trate.</w:t>
      </w:r>
    </w:p>
    <w:p w:rsidR="00CA63EE" w:rsidRPr="00CA63EE" w:rsidRDefault="00CA63EE" w:rsidP="00CA63EE">
      <w:pPr>
        <w:jc w:val="both"/>
        <w:rPr>
          <w:rFonts w:ascii="Verdana" w:hAnsi="Verdana"/>
          <w:bCs/>
          <w:sz w:val="20"/>
        </w:rPr>
      </w:pPr>
      <w:r w:rsidRPr="00CA63EE">
        <w:rPr>
          <w:rFonts w:ascii="Verdana" w:hAnsi="Verdana"/>
          <w:b/>
          <w:bCs/>
          <w:sz w:val="20"/>
        </w:rPr>
        <w:t>TÍTULO VI</w:t>
      </w:r>
    </w:p>
    <w:p w:rsidR="00CA63EE" w:rsidRPr="00CA63EE" w:rsidRDefault="00CA63EE" w:rsidP="00CA63EE">
      <w:pPr>
        <w:jc w:val="both"/>
        <w:rPr>
          <w:rFonts w:ascii="Verdana" w:hAnsi="Verdana"/>
          <w:bCs/>
          <w:sz w:val="20"/>
        </w:rPr>
      </w:pPr>
      <w:r w:rsidRPr="00CA63EE">
        <w:rPr>
          <w:rFonts w:ascii="Verdana" w:hAnsi="Verdana"/>
          <w:b/>
          <w:bCs/>
          <w:sz w:val="20"/>
        </w:rPr>
        <w:t>DEL ACCESO A LOS MERCADOS INTERNACIONALES</w:t>
      </w:r>
    </w:p>
    <w:p w:rsidR="00CA63EE" w:rsidRPr="00CA63EE" w:rsidRDefault="00CA63EE" w:rsidP="00CA63EE">
      <w:pPr>
        <w:jc w:val="both"/>
        <w:rPr>
          <w:rFonts w:ascii="Verdana" w:hAnsi="Verdana"/>
          <w:bCs/>
          <w:sz w:val="20"/>
        </w:rPr>
      </w:pPr>
      <w:r w:rsidRPr="00CA63EE">
        <w:rPr>
          <w:rFonts w:ascii="Verdana" w:hAnsi="Verdana"/>
          <w:b/>
          <w:bCs/>
          <w:sz w:val="20"/>
        </w:rPr>
        <w:lastRenderedPageBreak/>
        <w:t>CAPÍTULO I</w:t>
      </w:r>
    </w:p>
    <w:p w:rsidR="00CA63EE" w:rsidRPr="00CA63EE" w:rsidRDefault="00CA63EE" w:rsidP="00CA63EE">
      <w:pPr>
        <w:jc w:val="both"/>
        <w:rPr>
          <w:rFonts w:ascii="Verdana" w:hAnsi="Verdana"/>
          <w:bCs/>
          <w:sz w:val="20"/>
        </w:rPr>
      </w:pPr>
      <w:r w:rsidRPr="00CA63EE">
        <w:rPr>
          <w:rFonts w:ascii="Verdana" w:hAnsi="Verdana"/>
          <w:b/>
          <w:bCs/>
          <w:sz w:val="20"/>
        </w:rPr>
        <w:t>DE LOS MECANISMOS DE ACCESO A LOS MERCADOS INTERNACIONALES</w:t>
      </w:r>
    </w:p>
    <w:p w:rsidR="00CA63EE" w:rsidRPr="00CA63EE" w:rsidRDefault="00CA63EE" w:rsidP="00CA63EE">
      <w:pPr>
        <w:jc w:val="both"/>
        <w:rPr>
          <w:rFonts w:ascii="Verdana" w:hAnsi="Verdana"/>
          <w:bCs/>
          <w:sz w:val="20"/>
        </w:rPr>
      </w:pPr>
      <w:r w:rsidRPr="00CA63EE">
        <w:rPr>
          <w:rFonts w:ascii="Verdana" w:hAnsi="Verdana"/>
          <w:b/>
          <w:bCs/>
          <w:sz w:val="20"/>
        </w:rPr>
        <w:t>Artículo 104.- </w:t>
      </w:r>
      <w:r w:rsidRPr="00CA63EE">
        <w:rPr>
          <w:rFonts w:ascii="Verdana" w:hAnsi="Verdana"/>
          <w:bCs/>
          <w:sz w:val="20"/>
        </w:rPr>
        <w:t>Tratándose de mercados internacionales, el Activo Total de las Sociedades de Inversión únicamente deberá ser operado con Intermediarios Financieros, o en su caso a través de Vehículos de Inversión Inmobiliaria, Vehículos, incluyendo los Fondos Mutuos entre otros, o bien a través de Prestadores de Servicios Financieros, incluyendo a los Mandatarios.</w:t>
      </w:r>
    </w:p>
    <w:p w:rsidR="00CA63EE" w:rsidRPr="00CA63EE" w:rsidRDefault="00CA63EE" w:rsidP="00CA63EE">
      <w:pPr>
        <w:jc w:val="both"/>
        <w:rPr>
          <w:rFonts w:ascii="Verdana" w:hAnsi="Verdana"/>
          <w:bCs/>
          <w:sz w:val="20"/>
        </w:rPr>
      </w:pPr>
      <w:r w:rsidRPr="00CA63EE">
        <w:rPr>
          <w:rFonts w:ascii="Verdana" w:hAnsi="Verdana"/>
          <w:b/>
          <w:bCs/>
          <w:sz w:val="20"/>
        </w:rPr>
        <w:t>Artículo 105.- </w:t>
      </w:r>
      <w:r w:rsidRPr="00CA63EE">
        <w:rPr>
          <w:rFonts w:ascii="Verdana" w:hAnsi="Verdana"/>
          <w:bCs/>
          <w:sz w:val="20"/>
        </w:rPr>
        <w:t>Las Sociedades de Inversión sólo podrán celebrar contratos con Prestadores de Servicios Financieros y en su caso Mandatarios que gocen de solvencia moral y reconocido prestigio en los mercados financieros.</w:t>
      </w:r>
    </w:p>
    <w:p w:rsidR="00CA63EE" w:rsidRPr="00CA63EE" w:rsidRDefault="00CA63EE" w:rsidP="00CA63EE">
      <w:pPr>
        <w:jc w:val="both"/>
        <w:rPr>
          <w:rFonts w:ascii="Verdana" w:hAnsi="Verdana"/>
          <w:bCs/>
          <w:sz w:val="20"/>
        </w:rPr>
      </w:pPr>
      <w:r w:rsidRPr="00CA63EE">
        <w:rPr>
          <w:rFonts w:ascii="Verdana" w:hAnsi="Verdana"/>
          <w:bCs/>
          <w:sz w:val="20"/>
        </w:rPr>
        <w:t>Cuando las Sociedades de Inversión operen en los mercados internacionales a través de Prestadores de Servicios Financieros y en su caso Mandatarios, deberán suscribir previamente con éstos, el o los contratos que se requieran para que los Prestadores de Servicios Financieros y en su caso Mandatarios actúen por cuenta y orden de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los contratos que celebren las Sociedades de Inversión con los Prestadores de Servicios Financieros y en su caso Mandatarios para realizar operaciones en los mercados internacionales, se deberá pactar que los Prestadores de Servicios Financieros y en su caso Mandatarios mantendrán en cuentas separadas, las inversiones que realicen por cuenta de la Sociedad de Inversión, de las inversiones que realicen por cuenta propia o de cualquier otro tercero.</w:t>
      </w:r>
    </w:p>
    <w:p w:rsidR="00CA63EE" w:rsidRPr="00CA63EE" w:rsidRDefault="00CA63EE" w:rsidP="00CA63EE">
      <w:pPr>
        <w:jc w:val="both"/>
        <w:rPr>
          <w:rFonts w:ascii="Verdana" w:hAnsi="Verdana"/>
          <w:bCs/>
          <w:sz w:val="20"/>
        </w:rPr>
      </w:pPr>
      <w:r w:rsidRPr="00CA63EE">
        <w:rPr>
          <w:rFonts w:ascii="Verdana" w:hAnsi="Verdana"/>
          <w:bCs/>
          <w:sz w:val="20"/>
        </w:rPr>
        <w:t>Asimismo, en los contratos a que se refiere el presente Título se deberán incluir las prohibiciones que se establecen en el Título IV, Capítulo III de las presentes Disposiciones y en el caso de Mandatarios, se deberá prever que se apeguen además a los lineamientos aprobados por los Órganos de Gobierno de la Comisión incluyendo a los criterios definidos por el Comité de Análisis de Riesgos e indicar en el mismo que en caso de no observarlas se dará por terminado el contrato.</w:t>
      </w:r>
    </w:p>
    <w:p w:rsidR="00CA63EE" w:rsidRPr="00CA63EE" w:rsidRDefault="00CA63EE" w:rsidP="00CA63EE">
      <w:pPr>
        <w:jc w:val="both"/>
        <w:rPr>
          <w:rFonts w:ascii="Verdana" w:hAnsi="Verdana"/>
          <w:bCs/>
          <w:sz w:val="20"/>
        </w:rPr>
      </w:pPr>
      <w:r w:rsidRPr="00CA63EE">
        <w:rPr>
          <w:rFonts w:ascii="Verdana" w:hAnsi="Verdana"/>
          <w:b/>
          <w:bCs/>
          <w:sz w:val="20"/>
        </w:rPr>
        <w:t>Artículo 106.- </w:t>
      </w:r>
      <w:r w:rsidRPr="00CA63EE">
        <w:rPr>
          <w:rFonts w:ascii="Verdana" w:hAnsi="Verdana"/>
          <w:bCs/>
          <w:sz w:val="20"/>
        </w:rPr>
        <w:t>Los contratos que se celebren con Prestadores de Servicios Financieros, incluyendo los Mandatarios, para realizar operaciones en los mercados internacionales deberán, como mínimo, reunir los siguientes requisitos:</w:t>
      </w:r>
    </w:p>
    <w:p w:rsidR="00CA63EE" w:rsidRPr="00CA63EE" w:rsidRDefault="00CA63EE" w:rsidP="00CA63EE">
      <w:pPr>
        <w:jc w:val="both"/>
        <w:rPr>
          <w:rFonts w:ascii="Verdana" w:hAnsi="Verdana"/>
          <w:bCs/>
          <w:sz w:val="20"/>
        </w:rPr>
      </w:pPr>
      <w:r w:rsidRPr="00CA63EE">
        <w:rPr>
          <w:rFonts w:ascii="Verdana" w:hAnsi="Verdana"/>
          <w:bCs/>
          <w:sz w:val="20"/>
        </w:rPr>
        <w:t>I.           Ser aprobados en sesión por el Comité de Inversión, contando con el voto favorable de la mayoría de los Consejeros Independientes que participe en el mismo, y</w:t>
      </w:r>
    </w:p>
    <w:p w:rsidR="00CA63EE" w:rsidRPr="00CA63EE" w:rsidRDefault="00CA63EE" w:rsidP="00CA63EE">
      <w:pPr>
        <w:jc w:val="both"/>
        <w:rPr>
          <w:rFonts w:ascii="Verdana" w:hAnsi="Verdana"/>
          <w:bCs/>
          <w:sz w:val="20"/>
        </w:rPr>
      </w:pPr>
      <w:r w:rsidRPr="00CA63EE">
        <w:rPr>
          <w:rFonts w:ascii="Verdana" w:hAnsi="Verdana"/>
          <w:bCs/>
          <w:sz w:val="20"/>
        </w:rPr>
        <w:t>II.          Ser previamente dictaminados por un abogado de reconocido prestigio en materia financiera que cuente con experiencia profesional de cuando menos cinco años en dicha materia, en cuyo dictamen deberá mencionarse de manera expresa que el referido contrato cumple con lo dispuesto en la normatividad de los Sistemas de Ahorro para el Retiro.</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107.-</w:t>
      </w:r>
      <w:r w:rsidRPr="00CA63EE">
        <w:rPr>
          <w:rFonts w:ascii="Verdana" w:hAnsi="Verdana"/>
          <w:bCs/>
          <w:sz w:val="20"/>
        </w:rPr>
        <w:t> Para la celebración de contratos con Mandatarios, la Administradora deberá proveer evidencia a la Comisión de que se satisfacen los siguientes requisitos:</w:t>
      </w:r>
    </w:p>
    <w:p w:rsidR="00CA63EE" w:rsidRPr="00CA63EE" w:rsidRDefault="00CA63EE" w:rsidP="00CA63EE">
      <w:pPr>
        <w:jc w:val="both"/>
        <w:rPr>
          <w:rFonts w:ascii="Verdana" w:hAnsi="Verdana"/>
          <w:bCs/>
          <w:sz w:val="20"/>
        </w:rPr>
      </w:pPr>
      <w:r w:rsidRPr="00CA63EE">
        <w:rPr>
          <w:rFonts w:ascii="Verdana" w:hAnsi="Verdana"/>
          <w:bCs/>
          <w:sz w:val="20"/>
        </w:rPr>
        <w:t>I.           Contar con un Proceso de Observación del Contralor Normativo, en términos de las Disposiciones de carácter general aplicables a los Contralores Normativos;</w:t>
      </w:r>
    </w:p>
    <w:p w:rsidR="00CA63EE" w:rsidRPr="00CA63EE" w:rsidRDefault="00CA63EE" w:rsidP="00CA63EE">
      <w:pPr>
        <w:jc w:val="both"/>
        <w:rPr>
          <w:rFonts w:ascii="Verdana" w:hAnsi="Verdana"/>
          <w:bCs/>
          <w:sz w:val="20"/>
        </w:rPr>
      </w:pPr>
      <w:r w:rsidRPr="00CA63EE">
        <w:rPr>
          <w:rFonts w:ascii="Verdana" w:hAnsi="Verdana"/>
          <w:bCs/>
          <w:sz w:val="20"/>
        </w:rPr>
        <w:t xml:space="preserve">II.          Contar con la </w:t>
      </w:r>
      <w:proofErr w:type="spellStart"/>
      <w:r w:rsidRPr="00CA63EE">
        <w:rPr>
          <w:rFonts w:ascii="Verdana" w:hAnsi="Verdana"/>
          <w:bCs/>
          <w:sz w:val="20"/>
        </w:rPr>
        <w:t>dictaminación</w:t>
      </w:r>
      <w:proofErr w:type="spellEnd"/>
      <w:r w:rsidRPr="00CA63EE">
        <w:rPr>
          <w:rFonts w:ascii="Verdana" w:hAnsi="Verdana"/>
          <w:bCs/>
          <w:sz w:val="20"/>
        </w:rPr>
        <w:t xml:space="preserve"> de un abogado de reconocido prestigio en materia financiera a que se refiere el artículo 106, fracción II anterior, en la que conste que el Mandatario no tiene investigaciones pendientes por fraude en la jurisdicción donde se suscriba el contrato;</w:t>
      </w:r>
    </w:p>
    <w:p w:rsidR="00CA63EE" w:rsidRPr="00CA63EE" w:rsidRDefault="00CA63EE" w:rsidP="00CA63EE">
      <w:pPr>
        <w:jc w:val="both"/>
        <w:rPr>
          <w:rFonts w:ascii="Verdana" w:hAnsi="Verdana"/>
          <w:bCs/>
          <w:sz w:val="20"/>
        </w:rPr>
      </w:pPr>
      <w:r w:rsidRPr="00CA63EE">
        <w:rPr>
          <w:rFonts w:ascii="Verdana" w:hAnsi="Verdana"/>
          <w:bCs/>
          <w:sz w:val="20"/>
        </w:rPr>
        <w:t>III.          Informar al Órgano de Gobierno de la Administradora;</w:t>
      </w:r>
    </w:p>
    <w:p w:rsidR="00CA63EE" w:rsidRPr="00CA63EE" w:rsidRDefault="00CA63EE" w:rsidP="00CA63EE">
      <w:pPr>
        <w:jc w:val="both"/>
        <w:rPr>
          <w:rFonts w:ascii="Verdana" w:hAnsi="Verdana"/>
          <w:bCs/>
          <w:sz w:val="20"/>
        </w:rPr>
      </w:pPr>
      <w:r w:rsidRPr="00CA63EE">
        <w:rPr>
          <w:rFonts w:ascii="Verdana" w:hAnsi="Verdana"/>
          <w:bCs/>
          <w:sz w:val="20"/>
        </w:rPr>
        <w:t>IV.         Ser el resultado de un proceso de selección denominado solicitud de propuesta conocida en la práctica como "</w:t>
      </w:r>
      <w:proofErr w:type="spellStart"/>
      <w:r w:rsidRPr="00CA63EE">
        <w:rPr>
          <w:rFonts w:ascii="Verdana" w:hAnsi="Verdana"/>
          <w:bCs/>
          <w:sz w:val="20"/>
        </w:rPr>
        <w:t>Request</w:t>
      </w:r>
      <w:proofErr w:type="spellEnd"/>
      <w:r w:rsidRPr="00CA63EE">
        <w:rPr>
          <w:rFonts w:ascii="Verdana" w:hAnsi="Verdana"/>
          <w:bCs/>
          <w:sz w:val="20"/>
        </w:rPr>
        <w:t xml:space="preserve"> </w:t>
      </w:r>
      <w:proofErr w:type="spellStart"/>
      <w:r w:rsidRPr="00CA63EE">
        <w:rPr>
          <w:rFonts w:ascii="Verdana" w:hAnsi="Verdana"/>
          <w:bCs/>
          <w:sz w:val="20"/>
        </w:rPr>
        <w:t>for</w:t>
      </w:r>
      <w:proofErr w:type="spellEnd"/>
      <w:r w:rsidRPr="00CA63EE">
        <w:rPr>
          <w:rFonts w:ascii="Verdana" w:hAnsi="Verdana"/>
          <w:bCs/>
          <w:sz w:val="20"/>
        </w:rPr>
        <w:t xml:space="preserve"> </w:t>
      </w:r>
      <w:proofErr w:type="spellStart"/>
      <w:r w:rsidRPr="00CA63EE">
        <w:rPr>
          <w:rFonts w:ascii="Verdana" w:hAnsi="Verdana"/>
          <w:bCs/>
          <w:sz w:val="20"/>
        </w:rPr>
        <w:t>Proposal</w:t>
      </w:r>
      <w:proofErr w:type="spellEnd"/>
      <w:r w:rsidRPr="00CA63EE">
        <w:rPr>
          <w:rFonts w:ascii="Verdana" w:hAnsi="Verdana"/>
          <w:bCs/>
          <w:sz w:val="20"/>
        </w:rPr>
        <w:t xml:space="preserve">", </w:t>
      </w:r>
      <w:proofErr w:type="spellStart"/>
      <w:r w:rsidRPr="00CA63EE">
        <w:rPr>
          <w:rFonts w:ascii="Verdana" w:hAnsi="Verdana"/>
          <w:bCs/>
          <w:sz w:val="20"/>
        </w:rPr>
        <w:t>RFPs</w:t>
      </w:r>
      <w:proofErr w:type="spellEnd"/>
      <w:r w:rsidRPr="00CA63EE">
        <w:rPr>
          <w:rFonts w:ascii="Verdana" w:hAnsi="Verdana"/>
          <w:bCs/>
          <w:sz w:val="20"/>
        </w:rPr>
        <w:t>, por su acrónimo en el idioma inglés, aprobada previamente por el Comité de Inversión, con el voto favorable de la mayoría de los Consejeros Independientes;</w:t>
      </w:r>
    </w:p>
    <w:p w:rsidR="00CA63EE" w:rsidRPr="00CA63EE" w:rsidRDefault="00CA63EE" w:rsidP="00CA63EE">
      <w:pPr>
        <w:jc w:val="both"/>
        <w:rPr>
          <w:rFonts w:ascii="Verdana" w:hAnsi="Verdana"/>
          <w:bCs/>
          <w:sz w:val="20"/>
        </w:rPr>
      </w:pPr>
      <w:r w:rsidRPr="00CA63EE">
        <w:rPr>
          <w:rFonts w:ascii="Verdana" w:hAnsi="Verdana"/>
          <w:bCs/>
          <w:sz w:val="20"/>
        </w:rPr>
        <w:t>V.          El costo del mandato de inversión;</w:t>
      </w:r>
    </w:p>
    <w:p w:rsidR="00CA63EE" w:rsidRPr="00CA63EE" w:rsidRDefault="00CA63EE" w:rsidP="00CA63EE">
      <w:pPr>
        <w:jc w:val="both"/>
        <w:rPr>
          <w:rFonts w:ascii="Verdana" w:hAnsi="Verdana"/>
          <w:bCs/>
          <w:sz w:val="20"/>
        </w:rPr>
      </w:pPr>
      <w:r w:rsidRPr="00CA63EE">
        <w:rPr>
          <w:rFonts w:ascii="Verdana" w:hAnsi="Verdana"/>
          <w:bCs/>
          <w:sz w:val="20"/>
        </w:rPr>
        <w:t>VI.         El porcentaje máximo de la cartera de inversión de la Sociedad de Inversión que será gestionada por el Mandatario;</w:t>
      </w:r>
    </w:p>
    <w:p w:rsidR="00CA63EE" w:rsidRPr="00CA63EE" w:rsidRDefault="00CA63EE" w:rsidP="00CA63EE">
      <w:pPr>
        <w:jc w:val="both"/>
        <w:rPr>
          <w:rFonts w:ascii="Verdana" w:hAnsi="Verdana"/>
          <w:bCs/>
          <w:sz w:val="20"/>
        </w:rPr>
      </w:pPr>
      <w:r w:rsidRPr="00CA63EE">
        <w:rPr>
          <w:rFonts w:ascii="Verdana" w:hAnsi="Verdana"/>
          <w:bCs/>
          <w:sz w:val="20"/>
        </w:rPr>
        <w:t>VII.        Las Clases de activo en que se invertirá el Activo Administrado por el Mandatario;</w:t>
      </w:r>
    </w:p>
    <w:p w:rsidR="00CA63EE" w:rsidRPr="00CA63EE" w:rsidRDefault="00CA63EE" w:rsidP="00CA63EE">
      <w:pPr>
        <w:jc w:val="both"/>
        <w:rPr>
          <w:rFonts w:ascii="Verdana" w:hAnsi="Verdana"/>
          <w:bCs/>
          <w:sz w:val="20"/>
        </w:rPr>
      </w:pPr>
      <w:r w:rsidRPr="00CA63EE">
        <w:rPr>
          <w:rFonts w:ascii="Verdana" w:hAnsi="Verdana"/>
          <w:bCs/>
          <w:sz w:val="20"/>
        </w:rPr>
        <w:t>VIII.        Un portafolio de referencia para evaluar al Mandatario, así como límites y medidas de riesgo de la cartera de inversión del Activo Administrado por el Mandatario relativos a dicho portafolio;</w:t>
      </w:r>
    </w:p>
    <w:p w:rsidR="00CA63EE" w:rsidRPr="00CA63EE" w:rsidRDefault="00CA63EE" w:rsidP="00CA63EE">
      <w:pPr>
        <w:jc w:val="both"/>
        <w:rPr>
          <w:rFonts w:ascii="Verdana" w:hAnsi="Verdana"/>
          <w:bCs/>
          <w:sz w:val="20"/>
        </w:rPr>
      </w:pPr>
      <w:r w:rsidRPr="00CA63EE">
        <w:rPr>
          <w:rFonts w:ascii="Verdana" w:hAnsi="Verdana"/>
          <w:bCs/>
          <w:sz w:val="20"/>
        </w:rPr>
        <w:t>IX.         Que en el contrato se prevea la obligación de calcular la atribución al riesgo y rendimiento de la cartera de inversión del Activo Administrado por el Mandatario, aplicando alguna metodología aprobada por el Comité de Riesgos Financieros. La periodicidad del cálculo así como el horizonte se deberán definir por el Comité de Inversión;</w:t>
      </w:r>
    </w:p>
    <w:p w:rsidR="00CA63EE" w:rsidRPr="00CA63EE" w:rsidRDefault="00CA63EE" w:rsidP="00CA63EE">
      <w:pPr>
        <w:jc w:val="both"/>
        <w:rPr>
          <w:rFonts w:ascii="Verdana" w:hAnsi="Verdana"/>
          <w:bCs/>
          <w:sz w:val="20"/>
        </w:rPr>
      </w:pPr>
      <w:r w:rsidRPr="00CA63EE">
        <w:rPr>
          <w:rFonts w:ascii="Verdana" w:hAnsi="Verdana"/>
          <w:bCs/>
          <w:sz w:val="20"/>
        </w:rPr>
        <w:t>X.          La estrategia de inversión que seguirá el Mandatario, incluyendo, sin ser limitativo, el horizonte de inversión, la región geográfica y las Clases de Activos que invertirá;</w:t>
      </w:r>
    </w:p>
    <w:p w:rsidR="00CA63EE" w:rsidRPr="00CA63EE" w:rsidRDefault="00CA63EE" w:rsidP="00CA63EE">
      <w:pPr>
        <w:jc w:val="both"/>
        <w:rPr>
          <w:rFonts w:ascii="Verdana" w:hAnsi="Verdana"/>
          <w:bCs/>
          <w:sz w:val="20"/>
        </w:rPr>
      </w:pPr>
      <w:r w:rsidRPr="00CA63EE">
        <w:rPr>
          <w:rFonts w:ascii="Verdana" w:hAnsi="Verdana"/>
          <w:bCs/>
          <w:sz w:val="20"/>
        </w:rPr>
        <w:t>XI.         Que en el contrato se prevea la obligación de contar con una relación de Contrapartes seleccionadas con base en criterios de elegibilidad para seleccionarlas determinados por el Comité de Inversión de la Sociedad de Inversión, y</w:t>
      </w:r>
    </w:p>
    <w:p w:rsidR="00CA63EE" w:rsidRPr="00CA63EE" w:rsidRDefault="00CA63EE" w:rsidP="00CA63EE">
      <w:pPr>
        <w:jc w:val="both"/>
        <w:rPr>
          <w:rFonts w:ascii="Verdana" w:hAnsi="Verdana"/>
          <w:bCs/>
          <w:sz w:val="20"/>
        </w:rPr>
      </w:pPr>
      <w:r w:rsidRPr="00CA63EE">
        <w:rPr>
          <w:rFonts w:ascii="Verdana" w:hAnsi="Verdana"/>
          <w:bCs/>
          <w:sz w:val="20"/>
        </w:rPr>
        <w:t>XII.        El señalamiento del Mandatario acerca de su conocimiento de las prohibiciones establecidas en el del Título IV, Capítulo III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El contrato de intermediación debe cumplir, además, con los criterios aprobados por el Comité de Análisis de Riesgos y las Disposiciones de carácter general que establece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108.- </w:t>
      </w:r>
      <w:r w:rsidRPr="00CA63EE">
        <w:rPr>
          <w:rFonts w:ascii="Verdana" w:hAnsi="Verdana"/>
          <w:bCs/>
          <w:sz w:val="20"/>
        </w:rPr>
        <w:t>Los contratos que celebren las Sociedades de Inversión con Prestadores de Servicios Financieros y en su caso con Mandatarios, así como los dictámenes a que se refiere el artículo anterior, deberán estar a disposición de la Comisión en todo momento. En caso de que el contrato esté escrito en un idioma diferente al español, se deberá contar con una traducción al idioma español efectuada por un perito traductor autorizado por el Consejo de la Judicatura Federal.</w:t>
      </w:r>
    </w:p>
    <w:p w:rsidR="00CA63EE" w:rsidRPr="00CA63EE" w:rsidRDefault="00CA63EE" w:rsidP="00CA63EE">
      <w:pPr>
        <w:jc w:val="both"/>
        <w:rPr>
          <w:rFonts w:ascii="Verdana" w:hAnsi="Verdana"/>
          <w:bCs/>
          <w:sz w:val="20"/>
        </w:rPr>
      </w:pPr>
      <w:r w:rsidRPr="00CA63EE">
        <w:rPr>
          <w:rFonts w:ascii="Verdana" w:hAnsi="Verdana"/>
          <w:bCs/>
          <w:sz w:val="20"/>
        </w:rPr>
        <w:t>Asimismo, las Sociedades de Inversión deberán estipular en los contratos que celebren con Prestadores de Servicios Financieros y en su caso con Mandatarios, cláusulas que prevean como causa de terminación de dichos contratos el incumplimiento a la normatividad de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Las Administradoras podrán contratar administradores temporales conocidos en la práctica y en el idioma inglés como "</w:t>
      </w:r>
      <w:proofErr w:type="spellStart"/>
      <w:r w:rsidRPr="00CA63EE">
        <w:rPr>
          <w:rFonts w:ascii="Verdana" w:hAnsi="Verdana"/>
          <w:bCs/>
          <w:sz w:val="20"/>
        </w:rPr>
        <w:t>transition</w:t>
      </w:r>
      <w:proofErr w:type="spellEnd"/>
      <w:r w:rsidRPr="00CA63EE">
        <w:rPr>
          <w:rFonts w:ascii="Verdana" w:hAnsi="Verdana"/>
          <w:bCs/>
          <w:sz w:val="20"/>
        </w:rPr>
        <w:t xml:space="preserve"> managers" para iniciar o finiquitar contratos con Mandatarios. En caso de terminación del contrato, las operaciones ya pactadas, pero pendientes de ejecutarse, seguirán siendo operadas hasta su conclusión.</w:t>
      </w:r>
    </w:p>
    <w:p w:rsidR="00CA63EE" w:rsidRPr="00CA63EE" w:rsidRDefault="00CA63EE" w:rsidP="00CA63EE">
      <w:pPr>
        <w:jc w:val="both"/>
        <w:rPr>
          <w:rFonts w:ascii="Verdana" w:hAnsi="Verdana"/>
          <w:bCs/>
          <w:sz w:val="20"/>
        </w:rPr>
      </w:pPr>
      <w:r w:rsidRPr="00CA63EE">
        <w:rPr>
          <w:rFonts w:ascii="Verdana" w:hAnsi="Verdana"/>
          <w:b/>
          <w:bCs/>
          <w:sz w:val="20"/>
        </w:rPr>
        <w:t>Artículo 109.- </w:t>
      </w:r>
      <w:r w:rsidRPr="00CA63EE">
        <w:rPr>
          <w:rFonts w:ascii="Verdana" w:hAnsi="Verdana"/>
          <w:bCs/>
          <w:sz w:val="20"/>
        </w:rPr>
        <w:t xml:space="preserve">Las Sociedades de Inversión y en su caso los Mandatarios podrán operar con los Instrumentos y Valores Extranjeros permitidos por el Régimen de Inversión Autorizado, y con apego a las Disposiciones de carácter general que establecen el régimen de inversión al que deberán sujetarse las Sociedades de Inversión, las presentes Disposiciones y lo aprobado por el Comité de Análisis de Riesgos, para lo cual, cuando adquieran un Vehículo o Vehículo de Inversión Inmobiliaria, deberán cerciorarse que los derechos que confiera a otro tipo de activos financieros, son de los permitidos por el régimen de inversión. Para cumplir con lo anterior, las Sociedades de Inversión deberán apegarse a Reglas generales que al </w:t>
      </w:r>
      <w:proofErr w:type="spellStart"/>
      <w:r w:rsidRPr="00CA63EE">
        <w:rPr>
          <w:rFonts w:ascii="Verdana" w:hAnsi="Verdana"/>
          <w:bCs/>
          <w:sz w:val="20"/>
        </w:rPr>
        <w:t>efectoestablezca</w:t>
      </w:r>
      <w:proofErr w:type="spellEnd"/>
      <w:r w:rsidRPr="00CA63EE">
        <w:rPr>
          <w:rFonts w:ascii="Verdana" w:hAnsi="Verdana"/>
          <w:bCs/>
          <w:sz w:val="20"/>
        </w:rPr>
        <w:t xml:space="preserve">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La Administradora no podrá contratar Prestadores de Servicios Financieros, ni Mandatarios, para que estos realicen depósitos bancarios por cuenta de la Administradora.</w:t>
      </w:r>
    </w:p>
    <w:p w:rsidR="00CA63EE" w:rsidRPr="00CA63EE" w:rsidRDefault="00CA63EE" w:rsidP="00CA63EE">
      <w:pPr>
        <w:jc w:val="both"/>
        <w:rPr>
          <w:rFonts w:ascii="Verdana" w:hAnsi="Verdana"/>
          <w:bCs/>
          <w:sz w:val="20"/>
        </w:rPr>
      </w:pPr>
      <w:r w:rsidRPr="00CA63EE">
        <w:rPr>
          <w:rFonts w:ascii="Verdana" w:hAnsi="Verdana"/>
          <w:bCs/>
          <w:sz w:val="20"/>
        </w:rPr>
        <w:t>Los contratos de Mandatarios podrán prever la contratación o ejecución del mandato de inversión con empresas filiales o subsidiarias del Mandatario, siempre que el capital social de dichas filiales o subsidiarias pertenezca en su totalidad al Mandatario o a su sociedad controladora, está última conocida en la práctica y en el idioma inglés como "holding".</w:t>
      </w:r>
    </w:p>
    <w:p w:rsidR="00CA63EE" w:rsidRPr="00CA63EE" w:rsidRDefault="00CA63EE" w:rsidP="00CA63EE">
      <w:pPr>
        <w:jc w:val="both"/>
        <w:rPr>
          <w:rFonts w:ascii="Verdana" w:hAnsi="Verdana"/>
          <w:bCs/>
          <w:sz w:val="20"/>
        </w:rPr>
      </w:pPr>
      <w:r w:rsidRPr="00CA63EE">
        <w:rPr>
          <w:rFonts w:ascii="Verdana" w:hAnsi="Verdana"/>
          <w:bCs/>
          <w:sz w:val="20"/>
        </w:rPr>
        <w:t xml:space="preserve">Los Mandatarios que contrate la Administradora por cuenta de la Sociedad de Inversión deberán informar a la Comisión, a través del Custodio contratado por la Administradora para la guarda de los Activos Administrados por los Mandatarios, la </w:t>
      </w:r>
      <w:r w:rsidRPr="00CA63EE">
        <w:rPr>
          <w:rFonts w:ascii="Verdana" w:hAnsi="Verdana"/>
          <w:bCs/>
          <w:sz w:val="20"/>
        </w:rPr>
        <w:lastRenderedPageBreak/>
        <w:t>composición de los activos subyacentes objeto del contrato entre el Mandatario y la Sociedad de Inversión de conformidad con lo dispuesto por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En caso de que las Sociedades de Inversión adquieran Vehículos o Vehículos de Inversión Inmobiliaria que en términos del prospecto de colocación correspondiente, se establezca de forma expresa que replican activos subyacentes permitidos por el Régimen de Inversión Autorizado, la obligación de informar a la Comisión sobre la composición de los activos subyacentes del Vehículo o Vehículo de Inversión Inmobiliaria no será aplicable, siempre y cuando las Sociedades de Inversión de que se trate informen a la Comisión la fuente de información en que conste el requisito antes referido. Asimismo, en este caso las Sociedades de Inversión deberán mantener a disposición de la Comisión, el prospecto de colocación del Vehículo o Vehículo de Inversión Inmobiliaria de que se trate.</w:t>
      </w:r>
    </w:p>
    <w:p w:rsidR="00CA63EE" w:rsidRPr="00CA63EE" w:rsidRDefault="00CA63EE" w:rsidP="00CA63EE">
      <w:pPr>
        <w:jc w:val="both"/>
        <w:rPr>
          <w:rFonts w:ascii="Verdana" w:hAnsi="Verdana"/>
          <w:bCs/>
          <w:sz w:val="20"/>
        </w:rPr>
      </w:pPr>
      <w:r w:rsidRPr="00CA63EE">
        <w:rPr>
          <w:rFonts w:ascii="Verdana" w:hAnsi="Verdana"/>
          <w:b/>
          <w:bCs/>
          <w:sz w:val="20"/>
        </w:rPr>
        <w:t>Artículo 110.- </w:t>
      </w:r>
      <w:r w:rsidRPr="00CA63EE">
        <w:rPr>
          <w:rFonts w:ascii="Verdana" w:hAnsi="Verdana"/>
          <w:bCs/>
          <w:sz w:val="20"/>
        </w:rPr>
        <w:t>Las Administradoras deberán cubrir los costos que con motivo de asesoría, administración, gestión, manejo, mantenimiento o cualquier otro análogo sin importar la denominación que se le dé, cobren los Prestadores de Servicios Financieros o los Prestadores de Servicios Independientes, o que se deriven de la adquisición de Vehículos, Vehículos de Inversión Inmobiliaria o de la adquisición o estructuración de Estructuras Vinculadas a Subyacentes por parte de las Sociedades de Inversión distintos de los Costos de Corretaje. Los Costos de Corretaje deberán ser absorbidos por las Sociedades de Inversión.</w:t>
      </w:r>
    </w:p>
    <w:p w:rsidR="00CA63EE" w:rsidRPr="00CA63EE" w:rsidRDefault="00CA63EE" w:rsidP="00CA63EE">
      <w:pPr>
        <w:jc w:val="both"/>
        <w:rPr>
          <w:rFonts w:ascii="Verdana" w:hAnsi="Verdana"/>
          <w:bCs/>
          <w:sz w:val="20"/>
        </w:rPr>
      </w:pPr>
      <w:r w:rsidRPr="00CA63EE">
        <w:rPr>
          <w:rFonts w:ascii="Verdana" w:hAnsi="Verdana"/>
          <w:bCs/>
          <w:sz w:val="20"/>
        </w:rPr>
        <w:t>Los costos que cobren los Prestadores de Servicios Financieros o los Prestadores de Servicios Independientes, así como los costos de los Vehículos, Vehículos de Inversión Inmobiliaria o Estructuras Vinculadas a Subyacentes, deberán ser conocidos y pactados con anterioridad a la prestación del servicio, la adquisición del Vehículo, del Vehículo de Inversión Inmobiliaria, Estructura Vinculada a Subyacentes o cuando se descuenten directamente de los citados Instrumentos.</w:t>
      </w:r>
    </w:p>
    <w:p w:rsidR="00CA63EE" w:rsidRPr="00CA63EE" w:rsidRDefault="00CA63EE" w:rsidP="00CA63EE">
      <w:pPr>
        <w:jc w:val="both"/>
        <w:rPr>
          <w:rFonts w:ascii="Verdana" w:hAnsi="Verdana"/>
          <w:bCs/>
          <w:sz w:val="20"/>
        </w:rPr>
      </w:pPr>
      <w:r w:rsidRPr="00CA63EE">
        <w:rPr>
          <w:rFonts w:ascii="Verdana" w:hAnsi="Verdana"/>
          <w:bCs/>
          <w:sz w:val="20"/>
        </w:rPr>
        <w:t>Tratándose de los Costos por Asesoría, dichos costos deberán ser reembolsados por la Administradora a la Sociedad de Inversión que los haya adquirido.</w:t>
      </w:r>
    </w:p>
    <w:p w:rsidR="00CA63EE" w:rsidRPr="00CA63EE" w:rsidRDefault="00CA63EE" w:rsidP="00CA63EE">
      <w:pPr>
        <w:jc w:val="both"/>
        <w:rPr>
          <w:rFonts w:ascii="Verdana" w:hAnsi="Verdana"/>
          <w:bCs/>
          <w:sz w:val="20"/>
        </w:rPr>
      </w:pPr>
      <w:r w:rsidRPr="00CA63EE">
        <w:rPr>
          <w:rFonts w:ascii="Verdana" w:hAnsi="Verdana"/>
          <w:bCs/>
          <w:sz w:val="20"/>
        </w:rPr>
        <w:t>Para el caso de los Mandatarios, los Vehículos y los Vehículos de Inversión Inmobiliaria, las Administradoras deberán cubrir el excedente de los costos sobre los máximos aprobados por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111.- </w:t>
      </w:r>
      <w:r w:rsidRPr="00CA63EE">
        <w:rPr>
          <w:rFonts w:ascii="Verdana" w:hAnsi="Verdana"/>
          <w:bCs/>
          <w:sz w:val="20"/>
        </w:rPr>
        <w:t>La Administradora, respecto de las comisiones que cobre, deberá compensar diariamente el importe correspondiente a la cuenta por cobrar por este concepto, contra los Costos por Asesoría incurridos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Para efecto del presente artículo, la Administradora o la Sociedad de Inversión, el primer día hábil de cada mes, deberá liquidar la diferencia que se presente con motivo de la compensación diaria entre la cuenta por cobrar por comisiones sobre saldo y la cuenta por pagar por Costos por Asesoría del mes anterior.</w:t>
      </w:r>
    </w:p>
    <w:p w:rsidR="00CA63EE" w:rsidRPr="00CA63EE" w:rsidRDefault="00CA63EE" w:rsidP="00CA63EE">
      <w:pPr>
        <w:jc w:val="both"/>
        <w:rPr>
          <w:rFonts w:ascii="Verdana" w:hAnsi="Verdana"/>
          <w:bCs/>
          <w:sz w:val="20"/>
        </w:rPr>
      </w:pPr>
      <w:r w:rsidRPr="00CA63EE">
        <w:rPr>
          <w:rFonts w:ascii="Verdana" w:hAnsi="Verdana"/>
          <w:b/>
          <w:bCs/>
          <w:sz w:val="20"/>
        </w:rPr>
        <w:lastRenderedPageBreak/>
        <w:t>CAPÍTULO II</w:t>
      </w:r>
    </w:p>
    <w:p w:rsidR="00CA63EE" w:rsidRPr="00CA63EE" w:rsidRDefault="00CA63EE" w:rsidP="00CA63EE">
      <w:pPr>
        <w:jc w:val="both"/>
        <w:rPr>
          <w:rFonts w:ascii="Verdana" w:hAnsi="Verdana"/>
          <w:bCs/>
          <w:sz w:val="20"/>
        </w:rPr>
      </w:pPr>
      <w:r w:rsidRPr="00CA63EE">
        <w:rPr>
          <w:rFonts w:ascii="Verdana" w:hAnsi="Verdana"/>
          <w:b/>
          <w:bCs/>
          <w:sz w:val="20"/>
        </w:rPr>
        <w:t>DE LOS VEHÍCULOS</w:t>
      </w:r>
    </w:p>
    <w:p w:rsidR="00CA63EE" w:rsidRPr="00CA63EE" w:rsidRDefault="00CA63EE" w:rsidP="00CA63EE">
      <w:pPr>
        <w:jc w:val="both"/>
        <w:rPr>
          <w:rFonts w:ascii="Verdana" w:hAnsi="Verdana"/>
          <w:bCs/>
          <w:sz w:val="20"/>
        </w:rPr>
      </w:pPr>
      <w:r w:rsidRPr="00CA63EE">
        <w:rPr>
          <w:rFonts w:ascii="Verdana" w:hAnsi="Verdana"/>
          <w:b/>
          <w:bCs/>
          <w:sz w:val="20"/>
        </w:rPr>
        <w:t>Artículo 112.-</w:t>
      </w:r>
      <w:r w:rsidRPr="00CA63EE">
        <w:rPr>
          <w:rFonts w:ascii="Verdana" w:hAnsi="Verdana"/>
          <w:bCs/>
          <w:sz w:val="20"/>
        </w:rPr>
        <w:t> El costo de los Vehículos o Vehículos de Inversión Inmobiliaria que confieran, directa o indirectamente, derechos sobre los Activos Objeto de Inversión, con motivo de asesoría, gestión, manejo de inversiones, mantenimiento o cualquier otro análogo, cualquiera que sea la denominación que se le dé, deberá ser cubierto por las Administradoras. Los costos mencionados deberán ser conocidos y pactados con anterioridad a la adquisición de los referidos Vehículos y, cuando se descuenten directamente de los citados Vehículos, deberán ser reembolsados en su totalidad en forma diaria por la Administradora a la Sociedad de Inversión que los haya adquirido.</w:t>
      </w:r>
    </w:p>
    <w:p w:rsidR="00CA63EE" w:rsidRPr="00CA63EE" w:rsidRDefault="00CA63EE" w:rsidP="00CA63EE">
      <w:pPr>
        <w:jc w:val="both"/>
        <w:rPr>
          <w:rFonts w:ascii="Verdana" w:hAnsi="Verdana"/>
          <w:bCs/>
          <w:sz w:val="20"/>
        </w:rPr>
      </w:pPr>
      <w:r w:rsidRPr="00CA63EE">
        <w:rPr>
          <w:rFonts w:ascii="Verdana" w:hAnsi="Verdana"/>
          <w:bCs/>
          <w:sz w:val="20"/>
        </w:rPr>
        <w:t xml:space="preserve">Tratándose de los Vehículos, o Vehículos de Inversión Inmobiliaria que sean objeto de oferta pública, listados y negociados </w:t>
      </w:r>
      <w:proofErr w:type="spellStart"/>
      <w:r w:rsidRPr="00CA63EE">
        <w:rPr>
          <w:rFonts w:ascii="Verdana" w:hAnsi="Verdana"/>
          <w:bCs/>
          <w:sz w:val="20"/>
        </w:rPr>
        <w:t>intradía</w:t>
      </w:r>
      <w:proofErr w:type="spellEnd"/>
      <w:r w:rsidRPr="00CA63EE">
        <w:rPr>
          <w:rFonts w:ascii="Verdana" w:hAnsi="Verdana"/>
          <w:bCs/>
          <w:sz w:val="20"/>
        </w:rPr>
        <w:t xml:space="preserve"> en bolsas de valores de los Países Elegibles para Inversiones, los Fondos Mutuos, así como los contratos de intermediación celebrados con Mandatarios, los costos serán asimilables a la Sociedad de Inversión que hubiere invertido en ellos. Los mecanismos de inversión previstos en el presente párrafo deberán cumplir con los criterios que determine el Comité de Análisis de Riesgos.</w:t>
      </w:r>
    </w:p>
    <w:p w:rsidR="00CA63EE" w:rsidRPr="00CA63EE" w:rsidRDefault="00CA63EE" w:rsidP="00CA63EE">
      <w:pPr>
        <w:jc w:val="both"/>
        <w:rPr>
          <w:rFonts w:ascii="Verdana" w:hAnsi="Verdana"/>
          <w:bCs/>
          <w:sz w:val="20"/>
        </w:rPr>
      </w:pPr>
      <w:r w:rsidRPr="00CA63EE">
        <w:rPr>
          <w:rFonts w:ascii="Verdana" w:hAnsi="Verdana"/>
          <w:b/>
          <w:bCs/>
          <w:sz w:val="20"/>
        </w:rPr>
        <w:t>TÍTULO VII</w:t>
      </w:r>
    </w:p>
    <w:p w:rsidR="00CA63EE" w:rsidRPr="00CA63EE" w:rsidRDefault="00CA63EE" w:rsidP="00CA63EE">
      <w:pPr>
        <w:jc w:val="both"/>
        <w:rPr>
          <w:rFonts w:ascii="Verdana" w:hAnsi="Verdana"/>
          <w:bCs/>
          <w:sz w:val="20"/>
        </w:rPr>
      </w:pPr>
      <w:r w:rsidRPr="00CA63EE">
        <w:rPr>
          <w:rFonts w:ascii="Verdana" w:hAnsi="Verdana"/>
          <w:b/>
          <w:bCs/>
          <w:sz w:val="20"/>
        </w:rPr>
        <w:t>DEL CUSTODIO</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DE LA CONTRATACIÓN DEL CUSTODIO</w:t>
      </w:r>
    </w:p>
    <w:p w:rsidR="00CA63EE" w:rsidRPr="00CA63EE" w:rsidRDefault="00CA63EE" w:rsidP="00CA63EE">
      <w:pPr>
        <w:jc w:val="both"/>
        <w:rPr>
          <w:rFonts w:ascii="Verdana" w:hAnsi="Verdana"/>
          <w:bCs/>
          <w:sz w:val="20"/>
        </w:rPr>
      </w:pPr>
      <w:r w:rsidRPr="00CA63EE">
        <w:rPr>
          <w:rFonts w:ascii="Verdana" w:hAnsi="Verdana"/>
          <w:b/>
          <w:bCs/>
          <w:sz w:val="20"/>
        </w:rPr>
        <w:t>Artículo 113.- </w:t>
      </w:r>
      <w:r w:rsidRPr="00CA63EE">
        <w:rPr>
          <w:rFonts w:ascii="Verdana" w:hAnsi="Verdana"/>
          <w:bCs/>
          <w:sz w:val="20"/>
        </w:rPr>
        <w:t>Las Administradoras, así como las Sociedades de Inversión deberán contar con sólo un Custodio para sus operaciones celebradas en mercados internacionales con Activos Administrados por la Sociedad de Inversión, el cual podrá ser el mismo o uno distinto del que tengan contratado para sus operaciones en territorio nacional, para lo cual, se deberá verificar el cumplimiento de los contenidos de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Las Administradoras deberán contar con uno o más Custodios para las operaciones celebradas en mercados internacionales los cuales se enfocarán en los Activos Administrados por los Mandatarios y podrán ser distintos a los referidos en el párrafo anterior; para efectos de lo establecido en el presente párrafo, se deberá verificar el cumplimiento de los contenidos de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
          <w:bCs/>
          <w:sz w:val="20"/>
        </w:rPr>
        <w:t>Artículo 114.- </w:t>
      </w:r>
      <w:r w:rsidRPr="00CA63EE">
        <w:rPr>
          <w:rFonts w:ascii="Verdana" w:hAnsi="Verdana"/>
          <w:bCs/>
          <w:sz w:val="20"/>
        </w:rPr>
        <w:t>Las Administradoras sólo podrán celebrar contratos con Custodios nacionales y Custodios internacionales. Dichos Custodios deberán cumplir con lo siguiente:</w:t>
      </w:r>
    </w:p>
    <w:p w:rsidR="00CA63EE" w:rsidRPr="00CA63EE" w:rsidRDefault="00CA63EE" w:rsidP="00CA63EE">
      <w:pPr>
        <w:jc w:val="both"/>
        <w:rPr>
          <w:rFonts w:ascii="Verdana" w:hAnsi="Verdana"/>
          <w:bCs/>
          <w:sz w:val="20"/>
        </w:rPr>
      </w:pPr>
      <w:r w:rsidRPr="00CA63EE">
        <w:rPr>
          <w:rFonts w:ascii="Verdana" w:hAnsi="Verdana"/>
          <w:bCs/>
          <w:sz w:val="20"/>
        </w:rPr>
        <w:lastRenderedPageBreak/>
        <w:t>I.           Realizar y vigilar la transferencia y liquidación de Instrumentos y Valores Extranjeros, el pago de amortizaciones, Cupones, principal y demás accesorios de los Instrumentos y Valores Extranjeros que formen parte de la cartera de inversión de las Sociedades de Inversión que opere la Administradora y en su caso de los Mandatarios;</w:t>
      </w:r>
    </w:p>
    <w:p w:rsidR="00CA63EE" w:rsidRPr="00CA63EE" w:rsidRDefault="00CA63EE" w:rsidP="00CA63EE">
      <w:pPr>
        <w:jc w:val="both"/>
        <w:rPr>
          <w:rFonts w:ascii="Verdana" w:hAnsi="Verdana"/>
          <w:bCs/>
          <w:sz w:val="20"/>
        </w:rPr>
      </w:pPr>
      <w:r w:rsidRPr="00CA63EE">
        <w:rPr>
          <w:rFonts w:ascii="Verdana" w:hAnsi="Verdana"/>
          <w:bCs/>
          <w:sz w:val="20"/>
        </w:rPr>
        <w:t>II.          Realizar la compensación de Instrumentos y Valores Extranjeros cuando las cuentas de cargo y abono sean operadas por el mismo Custodio;</w:t>
      </w:r>
    </w:p>
    <w:p w:rsidR="00CA63EE" w:rsidRPr="00CA63EE" w:rsidRDefault="00CA63EE" w:rsidP="00CA63EE">
      <w:pPr>
        <w:jc w:val="both"/>
        <w:rPr>
          <w:rFonts w:ascii="Verdana" w:hAnsi="Verdana"/>
          <w:bCs/>
          <w:sz w:val="20"/>
        </w:rPr>
      </w:pPr>
      <w:r w:rsidRPr="00CA63EE">
        <w:rPr>
          <w:rFonts w:ascii="Verdana" w:hAnsi="Verdana"/>
          <w:bCs/>
          <w:sz w:val="20"/>
        </w:rPr>
        <w:t>III.          Tener una separación absoluta entre su patrimonio y los recursos de cada una de las Sociedades de Inversión que opere la Administradora y en su caso los recursos de las Sociedades de Inversión gestionados por cada uno de los Mandatarios. Para efectos de lo anterior, las instituciones para el depósito de valores deberán mantener registros que permitan corroborar lo previsto en la presente fracción;</w:t>
      </w:r>
    </w:p>
    <w:p w:rsidR="00CA63EE" w:rsidRPr="00CA63EE" w:rsidRDefault="00CA63EE" w:rsidP="00CA63EE">
      <w:pPr>
        <w:jc w:val="both"/>
        <w:rPr>
          <w:rFonts w:ascii="Verdana" w:hAnsi="Verdana"/>
          <w:bCs/>
          <w:sz w:val="20"/>
        </w:rPr>
      </w:pPr>
      <w:r w:rsidRPr="00CA63EE">
        <w:rPr>
          <w:rFonts w:ascii="Verdana" w:hAnsi="Verdana"/>
          <w:bCs/>
          <w:sz w:val="20"/>
        </w:rPr>
        <w:t>IV.         Reunir los requisitos que establezca el Comité de Análisis de Riesgos para la selección de Custodios;</w:t>
      </w:r>
    </w:p>
    <w:p w:rsidR="00CA63EE" w:rsidRPr="00CA63EE" w:rsidRDefault="00CA63EE" w:rsidP="00CA63EE">
      <w:pPr>
        <w:jc w:val="both"/>
        <w:rPr>
          <w:rFonts w:ascii="Verdana" w:hAnsi="Verdana"/>
          <w:bCs/>
          <w:sz w:val="20"/>
        </w:rPr>
      </w:pPr>
      <w:r w:rsidRPr="00CA63EE">
        <w:rPr>
          <w:rFonts w:ascii="Verdana" w:hAnsi="Verdana"/>
          <w:bCs/>
          <w:sz w:val="20"/>
        </w:rPr>
        <w:t>V.          Llevar un registro por cada Sociedad de Inversión operada por la Administradora de que se trate y en su caso uno por cada Sociedad de Inversión a nombre de la cual opere cada Mandatario;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VI.         Estar supervisados y regulados por autoridades pertenecientes a los Países Elegibles para Inversiones, y</w:t>
      </w:r>
    </w:p>
    <w:p w:rsidR="00CA63EE" w:rsidRPr="00CA63EE" w:rsidRDefault="00CA63EE" w:rsidP="00CA63EE">
      <w:pPr>
        <w:jc w:val="both"/>
        <w:rPr>
          <w:rFonts w:ascii="Verdana" w:hAnsi="Verdana"/>
          <w:bCs/>
          <w:sz w:val="20"/>
        </w:rPr>
      </w:pPr>
      <w:r w:rsidRPr="00CA63EE">
        <w:rPr>
          <w:rFonts w:ascii="Verdana" w:hAnsi="Verdana"/>
          <w:bCs/>
          <w:sz w:val="20"/>
        </w:rPr>
        <w:t>VII.         Realizar operaciones con Divisas en los Países Elegibles para Inversiones y con Contrapartes de conformidad con la regulación de cada país. Para tales efectos, deberán acreditar que las operaciones se realizan a precios de mercado y con apego a las instrucciones giradas por la Administradora o en su caso el Mandatario.</w:t>
      </w:r>
    </w:p>
    <w:p w:rsidR="00CA63EE" w:rsidRPr="00CA63EE" w:rsidRDefault="00CA63EE" w:rsidP="00CA63EE">
      <w:pPr>
        <w:jc w:val="both"/>
        <w:rPr>
          <w:rFonts w:ascii="Verdana" w:hAnsi="Verdana"/>
          <w:bCs/>
          <w:sz w:val="20"/>
        </w:rPr>
      </w:pPr>
      <w:r w:rsidRPr="00CA63EE">
        <w:rPr>
          <w:rFonts w:ascii="Verdana" w:hAnsi="Verdana"/>
          <w:bCs/>
          <w:sz w:val="20"/>
        </w:rPr>
        <w:t>Para que las Administradoras operen como Custodios, deberán solicitar la no objeción de la Comisión; para obtener la no objeción deberán acreditar el cumplimiento de lo previsto en el presente artículo. La no objeción, será por un plazo de tres años y podrá ser renovada por un periodo igual, siempre que la Administradora acredite que mantiene la satisfacción de lo previsto en el presente artículo y solicite la renovación seis meses antes de que concluya su vigencia.</w:t>
      </w:r>
    </w:p>
    <w:p w:rsidR="00CA63EE" w:rsidRPr="00CA63EE" w:rsidRDefault="00CA63EE" w:rsidP="00CA63EE">
      <w:pPr>
        <w:jc w:val="both"/>
        <w:rPr>
          <w:rFonts w:ascii="Verdana" w:hAnsi="Verdana"/>
          <w:bCs/>
          <w:sz w:val="20"/>
        </w:rPr>
      </w:pPr>
      <w:r w:rsidRPr="00CA63EE">
        <w:rPr>
          <w:rFonts w:ascii="Verdana" w:hAnsi="Verdana"/>
          <w:bCs/>
          <w:sz w:val="20"/>
        </w:rPr>
        <w:t>Sin menoscabo de lo anterior, cuando algún Custodio nacional o internacional, fungiendo como Institución de Crédito o entidad financiera extranjera autorizada para dicho fin, reciba depósitos bancarios de dinero a la vista de alguna Sociedad de Inversión, este adquiere el carácter de Contraparte en dichas operaciones.</w:t>
      </w:r>
    </w:p>
    <w:p w:rsidR="00CA63EE" w:rsidRPr="00CA63EE" w:rsidRDefault="00CA63EE" w:rsidP="00CA63EE">
      <w:pPr>
        <w:jc w:val="both"/>
        <w:rPr>
          <w:rFonts w:ascii="Verdana" w:hAnsi="Verdana"/>
          <w:bCs/>
          <w:sz w:val="20"/>
        </w:rPr>
      </w:pPr>
      <w:r w:rsidRPr="00CA63EE">
        <w:rPr>
          <w:rFonts w:ascii="Verdana" w:hAnsi="Verdana"/>
          <w:b/>
          <w:bCs/>
          <w:sz w:val="20"/>
        </w:rPr>
        <w:t>Artículo 115.- </w:t>
      </w:r>
      <w:r w:rsidRPr="00CA63EE">
        <w:rPr>
          <w:rFonts w:ascii="Verdana" w:hAnsi="Verdana"/>
          <w:bCs/>
          <w:sz w:val="20"/>
        </w:rPr>
        <w:t>Las Administradoras deberán realizar directamente a los Custodios el pago por los servicios que les presten. En ningún caso podrán ser pagados directa o indirectamente por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Artículo 116.-</w:t>
      </w:r>
      <w:r w:rsidRPr="00CA63EE">
        <w:rPr>
          <w:rFonts w:ascii="Verdana" w:hAnsi="Verdana"/>
          <w:bCs/>
          <w:sz w:val="20"/>
        </w:rPr>
        <w:t xml:space="preserve"> Las Administradoras deberán verificar y comprobar, con respecto de las Sociedades de Inversión que operan, que como resultado de las operaciones de </w:t>
      </w:r>
      <w:r w:rsidRPr="00CA63EE">
        <w:rPr>
          <w:rFonts w:ascii="Verdana" w:hAnsi="Verdana"/>
          <w:bCs/>
          <w:sz w:val="20"/>
        </w:rPr>
        <w:lastRenderedPageBreak/>
        <w:t xml:space="preserve">compra y venta realizadas durante el día con las acciones representativas del capital social de las Sociedades de Inversión, así como de las efectuadas con títulos y valores integrantes de la cartera de inversión de dichas Sociedades, cuando la liquidación se materialice sean depositados los citados valores, títulos y acciones el mismo día en una institución para el depósito de valores, de conformidad con lo establecido por el Reglamento. Asimismo, la </w:t>
      </w:r>
      <w:proofErr w:type="spellStart"/>
      <w:r w:rsidRPr="00CA63EE">
        <w:rPr>
          <w:rFonts w:ascii="Verdana" w:hAnsi="Verdana"/>
          <w:bCs/>
          <w:sz w:val="20"/>
        </w:rPr>
        <w:t>Administradoradeberá</w:t>
      </w:r>
      <w:proofErr w:type="spellEnd"/>
      <w:r w:rsidRPr="00CA63EE">
        <w:rPr>
          <w:rFonts w:ascii="Verdana" w:hAnsi="Verdana"/>
          <w:bCs/>
          <w:sz w:val="20"/>
        </w:rPr>
        <w:t xml:space="preserve"> prever que en su caso los Mandatarios lleven a cabo una verificación si los valores que operan han sido depositados efectivamente en una institución para el depósito de valores autorizada por la normatividad aplicable, considerando las operaciones realizadas con Activos Administrados por los Mandatarios.</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DE LOS REQUISITOS DEL CONTRATO</w:t>
      </w:r>
    </w:p>
    <w:p w:rsidR="00CA63EE" w:rsidRPr="00CA63EE" w:rsidRDefault="00CA63EE" w:rsidP="00CA63EE">
      <w:pPr>
        <w:jc w:val="both"/>
        <w:rPr>
          <w:rFonts w:ascii="Verdana" w:hAnsi="Verdana"/>
          <w:bCs/>
          <w:sz w:val="20"/>
        </w:rPr>
      </w:pPr>
      <w:r w:rsidRPr="00CA63EE">
        <w:rPr>
          <w:rFonts w:ascii="Verdana" w:hAnsi="Verdana"/>
          <w:b/>
          <w:bCs/>
          <w:sz w:val="20"/>
        </w:rPr>
        <w:t>Artículo 117.- </w:t>
      </w:r>
      <w:r w:rsidRPr="00CA63EE">
        <w:rPr>
          <w:rFonts w:ascii="Verdana" w:hAnsi="Verdana"/>
          <w:bCs/>
          <w:sz w:val="20"/>
        </w:rPr>
        <w:t>En los contratos que celebren las Administradoras por cuenta de las Sociedades de Inversión con los Custodios nacionales y Custodios internacionales se deberá pactar lo siguiente:</w:t>
      </w:r>
    </w:p>
    <w:p w:rsidR="00CA63EE" w:rsidRPr="00CA63EE" w:rsidRDefault="00CA63EE" w:rsidP="00CA63EE">
      <w:pPr>
        <w:jc w:val="both"/>
        <w:rPr>
          <w:rFonts w:ascii="Verdana" w:hAnsi="Verdana"/>
          <w:bCs/>
          <w:sz w:val="20"/>
        </w:rPr>
      </w:pPr>
      <w:r w:rsidRPr="00CA63EE">
        <w:rPr>
          <w:rFonts w:ascii="Verdana" w:hAnsi="Verdana"/>
          <w:bCs/>
          <w:sz w:val="20"/>
        </w:rPr>
        <w:t>I.           Que el pago de los servicios de custodia sea realizado directamente por la Administradora;</w:t>
      </w:r>
    </w:p>
    <w:p w:rsidR="00CA63EE" w:rsidRPr="00CA63EE" w:rsidRDefault="00CA63EE" w:rsidP="00CA63EE">
      <w:pPr>
        <w:jc w:val="both"/>
        <w:rPr>
          <w:rFonts w:ascii="Verdana" w:hAnsi="Verdana"/>
          <w:bCs/>
          <w:sz w:val="20"/>
        </w:rPr>
      </w:pPr>
      <w:r w:rsidRPr="00CA63EE">
        <w:rPr>
          <w:rFonts w:ascii="Verdana" w:hAnsi="Verdana"/>
          <w:bCs/>
          <w:sz w:val="20"/>
        </w:rPr>
        <w:t>II.          Que la liquidación de las operaciones sea realizada bajo la modalidad conocida en la práctica como "entrega contra pago", en los mercados financieros en que dicha modalidad exista;</w:t>
      </w:r>
    </w:p>
    <w:p w:rsidR="00CA63EE" w:rsidRPr="00CA63EE" w:rsidRDefault="00CA63EE" w:rsidP="00CA63EE">
      <w:pPr>
        <w:jc w:val="both"/>
        <w:rPr>
          <w:rFonts w:ascii="Verdana" w:hAnsi="Verdana"/>
          <w:bCs/>
          <w:sz w:val="20"/>
        </w:rPr>
      </w:pPr>
      <w:r w:rsidRPr="00CA63EE">
        <w:rPr>
          <w:rFonts w:ascii="Verdana" w:hAnsi="Verdana"/>
          <w:bCs/>
          <w:sz w:val="20"/>
        </w:rPr>
        <w:t>III.          Que las Administradoras deberán recibir del Custodio contratado para resguardar la cartera de inversión de los Activos Administrados por los Mandatarios información de las operaciones que dicho Custodio realice, así como la posición de las mismas al cierre.</w:t>
      </w:r>
    </w:p>
    <w:p w:rsidR="00CA63EE" w:rsidRPr="00CA63EE" w:rsidRDefault="00CA63EE" w:rsidP="00CA63EE">
      <w:pPr>
        <w:jc w:val="both"/>
        <w:rPr>
          <w:rFonts w:ascii="Verdana" w:hAnsi="Verdana"/>
          <w:bCs/>
          <w:sz w:val="20"/>
        </w:rPr>
      </w:pPr>
      <w:r w:rsidRPr="00CA63EE">
        <w:rPr>
          <w:rFonts w:ascii="Verdana" w:hAnsi="Verdana"/>
          <w:bCs/>
          <w:sz w:val="20"/>
        </w:rPr>
        <w:t>             La información que reciban las Administradoras en términos de la presente fracción, deberá apegarse a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Cs/>
          <w:sz w:val="20"/>
        </w:rPr>
        <w:t>IV.         La autorización expresa de la Administradora y la obligación expresa del Custodio para que este último envíe a la Comisión, conforme a la periodicidad que esta última defina, la información que reciban en términos de las fracciones III y VII del presente artículo;</w:t>
      </w:r>
    </w:p>
    <w:p w:rsidR="00CA63EE" w:rsidRPr="00CA63EE" w:rsidRDefault="00CA63EE" w:rsidP="00CA63EE">
      <w:pPr>
        <w:jc w:val="both"/>
        <w:rPr>
          <w:rFonts w:ascii="Verdana" w:hAnsi="Verdana"/>
          <w:bCs/>
          <w:sz w:val="20"/>
        </w:rPr>
      </w:pPr>
      <w:r w:rsidRPr="00CA63EE">
        <w:rPr>
          <w:rFonts w:ascii="Verdana" w:hAnsi="Verdana"/>
          <w:bCs/>
          <w:sz w:val="20"/>
        </w:rPr>
        <w:t>V.          El procedimiento que emplearán las Administradoras para instruir al Custodio, así como para que éste confirme la recepción de las instrucciones que le dicte la Administradora;</w:t>
      </w:r>
    </w:p>
    <w:p w:rsidR="00CA63EE" w:rsidRPr="00CA63EE" w:rsidRDefault="00CA63EE" w:rsidP="00CA63EE">
      <w:pPr>
        <w:jc w:val="both"/>
        <w:rPr>
          <w:rFonts w:ascii="Verdana" w:hAnsi="Verdana"/>
          <w:bCs/>
          <w:sz w:val="20"/>
        </w:rPr>
      </w:pPr>
      <w:r w:rsidRPr="00CA63EE">
        <w:rPr>
          <w:rFonts w:ascii="Verdana" w:hAnsi="Verdana"/>
          <w:bCs/>
          <w:sz w:val="20"/>
        </w:rPr>
        <w:t xml:space="preserve">VI.         Que los servicios de custodia para resguardo de la cartera de inversión de los Activos Administrados por los Mandatarios que hubiere contratado la Administradora, se deberán prestar en todos los países en los que efectúen inversiones los Mandatarios. Asimismo, los servicios de custodia internacional para el resguardo de la cartera de inversión de los Activos Administrados por la Sociedad de Inversión se </w:t>
      </w:r>
      <w:r w:rsidRPr="00CA63EE">
        <w:rPr>
          <w:rFonts w:ascii="Verdana" w:hAnsi="Verdana"/>
          <w:bCs/>
          <w:sz w:val="20"/>
        </w:rPr>
        <w:lastRenderedPageBreak/>
        <w:t xml:space="preserve">deberán prestar en todos los países en los que efectúen inversiones las Sociedades de Inversión que opere la Administradora contratante. Sin menoscabo de lo anterior, los Custodios podrán utilizar </w:t>
      </w:r>
      <w:proofErr w:type="spellStart"/>
      <w:r w:rsidRPr="00CA63EE">
        <w:rPr>
          <w:rFonts w:ascii="Verdana" w:hAnsi="Verdana"/>
          <w:bCs/>
          <w:sz w:val="20"/>
        </w:rPr>
        <w:t>subcustodios</w:t>
      </w:r>
      <w:proofErr w:type="spellEnd"/>
      <w:r w:rsidRPr="00CA63EE">
        <w:rPr>
          <w:rFonts w:ascii="Verdana" w:hAnsi="Verdana"/>
          <w:bCs/>
          <w:sz w:val="20"/>
        </w:rPr>
        <w:t xml:space="preserve"> que cumplan con la normatividad aplicable a Custodios prevista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VII.        Los servicios que prestará directamente el Custodio y los servicios que sean prestados a través de terceros.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En caso de que el Custodio utilice el servicio de terceros, la asunción de responsabilidad plena de parte de éste de lo ejecutado por terceros;</w:t>
      </w:r>
    </w:p>
    <w:p w:rsidR="00CA63EE" w:rsidRPr="00CA63EE" w:rsidRDefault="00CA63EE" w:rsidP="00CA63EE">
      <w:pPr>
        <w:jc w:val="both"/>
        <w:rPr>
          <w:rFonts w:ascii="Verdana" w:hAnsi="Verdana"/>
          <w:bCs/>
          <w:sz w:val="20"/>
        </w:rPr>
      </w:pPr>
      <w:r w:rsidRPr="00CA63EE">
        <w:rPr>
          <w:rFonts w:ascii="Verdana" w:hAnsi="Verdana"/>
          <w:bCs/>
          <w:sz w:val="20"/>
        </w:rPr>
        <w:t>VIII.        En su caso, que el Custodio proveerá los precios para la valuación de los Activos Administrados por la Sociedad de Inversión en mercados internacionales y los Factores de Riesgo correspondientes a dichos valores. Asimismo, el Custodio que la Administradora hubiere contratado para el resguardo de la cartera de inversión de los Activos Administrados por los Mandatarios, en su caso proveerá los precios para la valuación de dichos activos, así como los correspondientes Factores de riesgo;</w:t>
      </w:r>
    </w:p>
    <w:p w:rsidR="00CA63EE" w:rsidRPr="00CA63EE" w:rsidRDefault="00CA63EE" w:rsidP="00CA63EE">
      <w:pPr>
        <w:jc w:val="both"/>
        <w:rPr>
          <w:rFonts w:ascii="Verdana" w:hAnsi="Verdana"/>
          <w:bCs/>
          <w:sz w:val="20"/>
        </w:rPr>
      </w:pPr>
      <w:r w:rsidRPr="00CA63EE">
        <w:rPr>
          <w:rFonts w:ascii="Verdana" w:hAnsi="Verdana"/>
          <w:bCs/>
          <w:sz w:val="20"/>
        </w:rPr>
        <w:t>IX.         Todos los requisitos que aplican a los Activos Administrados por los Mandatarios se deberán señalar, como parte de un anexo, en el contrato que celebre la Administradora y el Custodio, y</w:t>
      </w:r>
    </w:p>
    <w:p w:rsidR="00CA63EE" w:rsidRPr="00CA63EE" w:rsidRDefault="00CA63EE" w:rsidP="00CA63EE">
      <w:pPr>
        <w:jc w:val="both"/>
        <w:rPr>
          <w:rFonts w:ascii="Verdana" w:hAnsi="Verdana"/>
          <w:bCs/>
          <w:sz w:val="20"/>
        </w:rPr>
      </w:pPr>
      <w:r w:rsidRPr="00CA63EE">
        <w:rPr>
          <w:rFonts w:ascii="Verdana" w:hAnsi="Verdana"/>
          <w:bCs/>
          <w:sz w:val="20"/>
        </w:rPr>
        <w:t>X.          Los medios y la forma en que la información requerida por la Comisión será entregada por parte del Custodio. Se deberá indicar que la Administradora será responsable respecto de la entrega de información a la Comisión.</w:t>
      </w:r>
    </w:p>
    <w:p w:rsidR="00CA63EE" w:rsidRPr="00CA63EE" w:rsidRDefault="00CA63EE" w:rsidP="00CA63EE">
      <w:pPr>
        <w:jc w:val="both"/>
        <w:rPr>
          <w:rFonts w:ascii="Verdana" w:hAnsi="Verdana"/>
          <w:bCs/>
          <w:sz w:val="20"/>
        </w:rPr>
      </w:pPr>
      <w:r w:rsidRPr="00CA63EE">
        <w:rPr>
          <w:rFonts w:ascii="Verdana" w:hAnsi="Verdana"/>
          <w:bCs/>
          <w:sz w:val="20"/>
        </w:rPr>
        <w:t>La Administradora será responsable de verificar que el Custodio cumpla lo dispuesto por el presente artículo.</w:t>
      </w:r>
    </w:p>
    <w:p w:rsidR="00CA63EE" w:rsidRPr="00CA63EE" w:rsidRDefault="00CA63EE" w:rsidP="00CA63EE">
      <w:pPr>
        <w:jc w:val="both"/>
        <w:rPr>
          <w:rFonts w:ascii="Verdana" w:hAnsi="Verdana"/>
          <w:bCs/>
          <w:sz w:val="20"/>
        </w:rPr>
      </w:pPr>
      <w:r w:rsidRPr="00CA63EE">
        <w:rPr>
          <w:rFonts w:ascii="Verdana" w:hAnsi="Verdana"/>
          <w:b/>
          <w:bCs/>
          <w:sz w:val="20"/>
        </w:rPr>
        <w:t>Artículo 118.- </w:t>
      </w:r>
      <w:r w:rsidRPr="00CA63EE">
        <w:rPr>
          <w:rFonts w:ascii="Verdana" w:hAnsi="Verdana"/>
          <w:bCs/>
          <w:sz w:val="20"/>
        </w:rPr>
        <w:t>Los contratos que se celebren con los Custodios nacionales e internacionales deberán:</w:t>
      </w:r>
    </w:p>
    <w:p w:rsidR="00CA63EE" w:rsidRPr="00CA63EE" w:rsidRDefault="00CA63EE" w:rsidP="00CA63EE">
      <w:pPr>
        <w:jc w:val="both"/>
        <w:rPr>
          <w:rFonts w:ascii="Verdana" w:hAnsi="Verdana"/>
          <w:bCs/>
          <w:sz w:val="20"/>
        </w:rPr>
      </w:pPr>
      <w:r w:rsidRPr="00CA63EE">
        <w:rPr>
          <w:rFonts w:ascii="Verdana" w:hAnsi="Verdana"/>
          <w:bCs/>
          <w:sz w:val="20"/>
        </w:rPr>
        <w:t>I.           Ser aprobados por el Comité de Inversión de cada una de las Sociedades de Inversión a las que vaya a prestar servicios contando con el voto favorable de la mayoría de los Consejeros Independientes que participe en el mismo, y</w:t>
      </w:r>
    </w:p>
    <w:p w:rsidR="00CA63EE" w:rsidRPr="00CA63EE" w:rsidRDefault="00CA63EE" w:rsidP="00CA63EE">
      <w:pPr>
        <w:jc w:val="both"/>
        <w:rPr>
          <w:rFonts w:ascii="Verdana" w:hAnsi="Verdana"/>
          <w:bCs/>
          <w:sz w:val="20"/>
        </w:rPr>
      </w:pPr>
      <w:r w:rsidRPr="00CA63EE">
        <w:rPr>
          <w:rFonts w:ascii="Verdana" w:hAnsi="Verdana"/>
          <w:bCs/>
          <w:sz w:val="20"/>
        </w:rPr>
        <w:t>II.          Ser previamente dictaminados por un abogado de reconocido prestigio en materia financiera con experiencia profesional de cuando menos cinco años en dicha materia, en cuyo dictamen deberá mencionarse de manera expresa que el referido contrato cumple con lo dispuesto en la normatividad de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Las Administradoras sólo podrán contratar a Custodios que cumplan con lo establecido en la fracción IV del artículo 114 anterior.</w:t>
      </w:r>
    </w:p>
    <w:p w:rsidR="00CA63EE" w:rsidRPr="00CA63EE" w:rsidRDefault="00CA63EE" w:rsidP="00CA63EE">
      <w:pPr>
        <w:jc w:val="both"/>
        <w:rPr>
          <w:rFonts w:ascii="Verdana" w:hAnsi="Verdana"/>
          <w:bCs/>
          <w:sz w:val="20"/>
        </w:rPr>
      </w:pPr>
      <w:r w:rsidRPr="00CA63EE">
        <w:rPr>
          <w:rFonts w:ascii="Verdana" w:hAnsi="Verdana"/>
          <w:b/>
          <w:bCs/>
          <w:sz w:val="20"/>
        </w:rPr>
        <w:t>Artículo 119.- </w:t>
      </w:r>
      <w:r w:rsidRPr="00CA63EE">
        <w:rPr>
          <w:rFonts w:ascii="Verdana" w:hAnsi="Verdana"/>
          <w:bCs/>
          <w:sz w:val="20"/>
        </w:rPr>
        <w:t xml:space="preserve">Los contratos que se celebren con Custodios, así como los dictámenes a que se refiere el artículo anterior, deberán mantenerse a disposición de la Comisión en todo momento. En caso de que el contrato esté escrito en un idioma diferente al </w:t>
      </w:r>
      <w:r w:rsidRPr="00CA63EE">
        <w:rPr>
          <w:rFonts w:ascii="Verdana" w:hAnsi="Verdana"/>
          <w:bCs/>
          <w:sz w:val="20"/>
        </w:rPr>
        <w:lastRenderedPageBreak/>
        <w:t>español, se deberá contar con una traducción al idioma español realizada por perito traductor autorizado por el Consejo de la Judicatura Federal.</w:t>
      </w:r>
    </w:p>
    <w:p w:rsidR="00CA63EE" w:rsidRPr="00CA63EE" w:rsidRDefault="00CA63EE" w:rsidP="00CA63EE">
      <w:pPr>
        <w:jc w:val="both"/>
        <w:rPr>
          <w:rFonts w:ascii="Verdana" w:hAnsi="Verdana"/>
          <w:bCs/>
          <w:sz w:val="20"/>
        </w:rPr>
      </w:pPr>
      <w:r w:rsidRPr="00CA63EE">
        <w:rPr>
          <w:rFonts w:ascii="Verdana" w:hAnsi="Verdana"/>
          <w:bCs/>
          <w:sz w:val="20"/>
        </w:rPr>
        <w:t xml:space="preserve">Las Sociedades de Inversión no podrán celebrar operaciones en el mercado nacional o internacional con algún Custodio que incumpla lo previsto en las Disposiciones de carácter general que establecen el régimen de inversión al que deberán sujetarse las Sociedades de Inversión emitidas por la Comisión, en las Reglas Prudenciales en materia de administración de riesgos, las presentes Disposiciones, los criterios definidos por el Comité de Análisis de Riesgos y la normatividad que para tales efectos emita la Comisión Nacional Bancaria y de Valores o tenga alguna violación o investigación pendiente con la autoridad </w:t>
      </w:r>
      <w:proofErr w:type="spellStart"/>
      <w:r w:rsidRPr="00CA63EE">
        <w:rPr>
          <w:rFonts w:ascii="Verdana" w:hAnsi="Verdana"/>
          <w:bCs/>
          <w:sz w:val="20"/>
        </w:rPr>
        <w:t>supervisoracorrespondiente</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Para efecto de lo establecido en el presente artículo, las Administradoras a nombre de las Sociedades de Inversión deberán estipular en los contratos que celebren con Prestadores de Servicios Financieros o con los Mandatarios, cláusulas que prevean como causa de terminación de dichos contratos el incumplimiento a la normatividad de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En caso de terminación del contrato, las operaciones ya pactadas pero pendientes de ejecutarse seguirán siendo operadas hasta su conclusión.</w:t>
      </w:r>
    </w:p>
    <w:p w:rsidR="00CA63EE" w:rsidRPr="00CA63EE" w:rsidRDefault="00CA63EE" w:rsidP="00CA63EE">
      <w:pPr>
        <w:jc w:val="both"/>
        <w:rPr>
          <w:rFonts w:ascii="Verdana" w:hAnsi="Verdana"/>
          <w:bCs/>
          <w:sz w:val="20"/>
        </w:rPr>
      </w:pPr>
      <w:r w:rsidRPr="00CA63EE">
        <w:rPr>
          <w:rFonts w:ascii="Verdana" w:hAnsi="Verdana"/>
          <w:b/>
          <w:bCs/>
          <w:sz w:val="20"/>
        </w:rPr>
        <w:t>Artículo 120.- </w:t>
      </w:r>
      <w:r w:rsidRPr="00CA63EE">
        <w:rPr>
          <w:rFonts w:ascii="Verdana" w:hAnsi="Verdana"/>
          <w:bCs/>
          <w:sz w:val="20"/>
        </w:rPr>
        <w:t>Las Administradoras deberán notificar a la Comisión, dentro de los tres días hábiles siguientes a la firma del contrato con el Custodio:</w:t>
      </w:r>
    </w:p>
    <w:p w:rsidR="00CA63EE" w:rsidRPr="00CA63EE" w:rsidRDefault="00CA63EE" w:rsidP="00CA63EE">
      <w:pPr>
        <w:jc w:val="both"/>
        <w:rPr>
          <w:rFonts w:ascii="Verdana" w:hAnsi="Verdana"/>
          <w:bCs/>
          <w:sz w:val="20"/>
        </w:rPr>
      </w:pPr>
      <w:r w:rsidRPr="00CA63EE">
        <w:rPr>
          <w:rFonts w:ascii="Verdana" w:hAnsi="Verdana"/>
          <w:bCs/>
          <w:sz w:val="20"/>
        </w:rPr>
        <w:t>I.           La denominación o razón social de éste;</w:t>
      </w:r>
    </w:p>
    <w:p w:rsidR="00CA63EE" w:rsidRPr="00CA63EE" w:rsidRDefault="00CA63EE" w:rsidP="00CA63EE">
      <w:pPr>
        <w:jc w:val="both"/>
        <w:rPr>
          <w:rFonts w:ascii="Verdana" w:hAnsi="Verdana"/>
          <w:bCs/>
          <w:sz w:val="20"/>
        </w:rPr>
      </w:pPr>
      <w:r w:rsidRPr="00CA63EE">
        <w:rPr>
          <w:rFonts w:ascii="Verdana" w:hAnsi="Verdana"/>
          <w:bCs/>
          <w:sz w:val="20"/>
        </w:rPr>
        <w:t>II.          Domicilio, teléfono y correo electrónico;</w:t>
      </w:r>
    </w:p>
    <w:p w:rsidR="00CA63EE" w:rsidRPr="00CA63EE" w:rsidRDefault="00CA63EE" w:rsidP="00CA63EE">
      <w:pPr>
        <w:jc w:val="both"/>
        <w:rPr>
          <w:rFonts w:ascii="Verdana" w:hAnsi="Verdana"/>
          <w:bCs/>
          <w:sz w:val="20"/>
        </w:rPr>
      </w:pPr>
      <w:r w:rsidRPr="00CA63EE">
        <w:rPr>
          <w:rFonts w:ascii="Verdana" w:hAnsi="Verdana"/>
          <w:bCs/>
          <w:sz w:val="20"/>
        </w:rPr>
        <w:t>III.          Fecha de inicio del contrato, y</w:t>
      </w:r>
    </w:p>
    <w:p w:rsidR="00CA63EE" w:rsidRPr="00CA63EE" w:rsidRDefault="00CA63EE" w:rsidP="00CA63EE">
      <w:pPr>
        <w:jc w:val="both"/>
        <w:rPr>
          <w:rFonts w:ascii="Verdana" w:hAnsi="Verdana"/>
          <w:bCs/>
          <w:sz w:val="20"/>
        </w:rPr>
      </w:pPr>
      <w:r w:rsidRPr="00CA63EE">
        <w:rPr>
          <w:rFonts w:ascii="Verdana" w:hAnsi="Verdana"/>
          <w:bCs/>
          <w:sz w:val="20"/>
        </w:rPr>
        <w:t>IV.         Responsable técnico del Custodio que enviará la información.</w:t>
      </w:r>
    </w:p>
    <w:p w:rsidR="00CA63EE" w:rsidRPr="00CA63EE" w:rsidRDefault="00CA63EE" w:rsidP="00CA63EE">
      <w:pPr>
        <w:jc w:val="both"/>
        <w:rPr>
          <w:rFonts w:ascii="Verdana" w:hAnsi="Verdana"/>
          <w:bCs/>
          <w:sz w:val="20"/>
        </w:rPr>
      </w:pPr>
      <w:r w:rsidRPr="00CA63EE">
        <w:rPr>
          <w:rFonts w:ascii="Verdana" w:hAnsi="Verdana"/>
          <w:b/>
          <w:bCs/>
          <w:sz w:val="20"/>
        </w:rPr>
        <w:t>Artículo 121.- </w:t>
      </w:r>
      <w:r w:rsidRPr="00CA63EE">
        <w:rPr>
          <w:rFonts w:ascii="Verdana" w:hAnsi="Verdana"/>
          <w:bCs/>
          <w:sz w:val="20"/>
        </w:rPr>
        <w:t>Las Sociedades de Inversión no podrán realizar operaciones en mercados nacionales o internacionales hasta en tanto la Comisión notifique a la Administradora que las opere, que su Custodio internacional o las instituciones para el depósito de valores, estén conectados a los sistemas de la Comisión para que ésta reciba la información diaria del mismo, y se hayan hecho las pruebas correspondientes.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TÍTULO VIII</w:t>
      </w:r>
    </w:p>
    <w:p w:rsidR="00CA63EE" w:rsidRPr="00CA63EE" w:rsidRDefault="00CA63EE" w:rsidP="00CA63EE">
      <w:pPr>
        <w:jc w:val="both"/>
        <w:rPr>
          <w:rFonts w:ascii="Verdana" w:hAnsi="Verdana"/>
          <w:bCs/>
          <w:sz w:val="20"/>
        </w:rPr>
      </w:pPr>
      <w:r w:rsidRPr="00CA63EE">
        <w:rPr>
          <w:rFonts w:ascii="Verdana" w:hAnsi="Verdana"/>
          <w:b/>
          <w:bCs/>
          <w:sz w:val="20"/>
        </w:rPr>
        <w:t>DE LAS OPERACIONES CON DERIVADOS</w:t>
      </w:r>
    </w:p>
    <w:p w:rsidR="00CA63EE" w:rsidRPr="00CA63EE" w:rsidRDefault="00CA63EE" w:rsidP="00CA63EE">
      <w:pPr>
        <w:jc w:val="both"/>
        <w:rPr>
          <w:rFonts w:ascii="Verdana" w:hAnsi="Verdana"/>
          <w:bCs/>
          <w:sz w:val="20"/>
        </w:rPr>
      </w:pPr>
      <w:r w:rsidRPr="00CA63EE">
        <w:rPr>
          <w:rFonts w:ascii="Verdana" w:hAnsi="Verdana"/>
          <w:b/>
          <w:bCs/>
          <w:sz w:val="20"/>
        </w:rPr>
        <w:t>Artículo 122.- </w:t>
      </w:r>
      <w:r w:rsidRPr="00CA63EE">
        <w:rPr>
          <w:rFonts w:ascii="Verdana" w:hAnsi="Verdana"/>
          <w:bCs/>
          <w:sz w:val="20"/>
        </w:rPr>
        <w:t>Las Administradoras que pretendan que sus Sociedades de Inversión, ya sea de forma directa o a través de Mandatarios, inicien operaciones con Derivados que autorice el Banco de México en términos del artículo 48 fracción IX de la Ley, o bien con los Derivados y subyacentes a los que se refiere el Anexo M de las presentes Disposiciones, deberán previamente cumplir con los siguientes requisitos:</w:t>
      </w:r>
    </w:p>
    <w:p w:rsidR="00CA63EE" w:rsidRPr="00CA63EE" w:rsidRDefault="00CA63EE" w:rsidP="00CA63EE">
      <w:pPr>
        <w:jc w:val="both"/>
        <w:rPr>
          <w:rFonts w:ascii="Verdana" w:hAnsi="Verdana"/>
          <w:bCs/>
          <w:sz w:val="20"/>
        </w:rPr>
      </w:pPr>
      <w:r w:rsidRPr="00CA63EE">
        <w:rPr>
          <w:rFonts w:ascii="Verdana" w:hAnsi="Verdana"/>
          <w:bCs/>
          <w:sz w:val="20"/>
        </w:rPr>
        <w:lastRenderedPageBreak/>
        <w:t>I.           No haber obtenido por parte de la Comisión ninguna observación sin solventar acerca de la instrumentación de su proyecto de administración integral de riesgos en los términos de las Reglas Prudenciales en materia de administración de riesgos que emita la Comisión, a las que deberán sujetarse las Administradoras con respecto a las Sociedades de Inversión que operen;</w:t>
      </w:r>
    </w:p>
    <w:p w:rsidR="00CA63EE" w:rsidRPr="00CA63EE" w:rsidRDefault="00CA63EE" w:rsidP="00CA63EE">
      <w:pPr>
        <w:jc w:val="both"/>
        <w:rPr>
          <w:rFonts w:ascii="Verdana" w:hAnsi="Verdana"/>
          <w:bCs/>
          <w:sz w:val="20"/>
        </w:rPr>
      </w:pPr>
      <w:r w:rsidRPr="00CA63EE">
        <w:rPr>
          <w:rFonts w:ascii="Verdana" w:hAnsi="Verdana"/>
          <w:bCs/>
          <w:sz w:val="20"/>
        </w:rPr>
        <w:t>II.          Al menos un Operador y el Responsable del Área de Inversiones, así como un Funcionario y el Responsable del Área de Riesgos, deberán estar certificados por alguno de los terceros independientes que al efecto designe la Comisión para la operación con Derivados.</w:t>
      </w:r>
    </w:p>
    <w:p w:rsidR="00CA63EE" w:rsidRPr="00CA63EE" w:rsidRDefault="00CA63EE" w:rsidP="00CA63EE">
      <w:pPr>
        <w:jc w:val="both"/>
        <w:rPr>
          <w:rFonts w:ascii="Verdana" w:hAnsi="Verdana"/>
          <w:bCs/>
          <w:sz w:val="20"/>
        </w:rPr>
      </w:pPr>
      <w:r w:rsidRPr="00CA63EE">
        <w:rPr>
          <w:rFonts w:ascii="Verdana" w:hAnsi="Verdana"/>
          <w:bCs/>
          <w:sz w:val="20"/>
        </w:rPr>
        <w:t>             Para cada una de las áreas de, contraloría normativa, confirmación, liquidación, registro contable y generación de estados financieros de las Sociedades de Inversión, se deberá contar como mínimo con un Funcionario certificado por alguno de los terceros independientes que al efecto designe la Comisión para la operación con Derivados. Las certificaciones referidas en la presente fracción, tendrán la vigencia establecida en el Anexo J de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III.          Contar con un Sistema Integral Automatizado que les permitan medir y evaluar diariamente los riesgos provenientes de las operaciones con Derivados, sus cuentas de margen y garantías, así como registrar contablemente estas operaciones e informar al Operador en caso de que el nivel de riesgo llegue a los límites que al efecto se prevean en el régimen de inversión o a los Límites Prudenciales definidos por el Comité de Riesgos Financieros. Estos sistemas deberán permitir el acceso a su información a la UAIR en todo momento, así como presentar la posición consolidada de valores y de las operaciones con Derivados.</w:t>
      </w:r>
    </w:p>
    <w:p w:rsidR="00CA63EE" w:rsidRPr="00CA63EE" w:rsidRDefault="00CA63EE" w:rsidP="00CA63EE">
      <w:pPr>
        <w:jc w:val="both"/>
        <w:rPr>
          <w:rFonts w:ascii="Verdana" w:hAnsi="Verdana"/>
          <w:bCs/>
          <w:sz w:val="20"/>
        </w:rPr>
      </w:pPr>
      <w:r w:rsidRPr="00CA63EE">
        <w:rPr>
          <w:rFonts w:ascii="Verdana" w:hAnsi="Verdana"/>
          <w:bCs/>
          <w:sz w:val="20"/>
        </w:rPr>
        <w:t>             Las Sociedades de Inversión únicamente podrán realizar las operaciones con Derivados de forma directa para las que cuente con la no objeción de la Comisión, o bien a través de Mandatarios para las que estos últimos tengan autorización de las correspondientes autoridades en los Países Elegibles para Inversiones.</w:t>
      </w:r>
    </w:p>
    <w:p w:rsidR="00CA63EE" w:rsidRPr="00CA63EE" w:rsidRDefault="00CA63EE" w:rsidP="00CA63EE">
      <w:pPr>
        <w:jc w:val="both"/>
        <w:rPr>
          <w:rFonts w:ascii="Verdana" w:hAnsi="Verdana"/>
          <w:bCs/>
          <w:sz w:val="20"/>
        </w:rPr>
      </w:pPr>
      <w:r w:rsidRPr="00CA63EE">
        <w:rPr>
          <w:rFonts w:ascii="Verdana" w:hAnsi="Verdana"/>
          <w:b/>
          <w:bCs/>
          <w:sz w:val="20"/>
        </w:rPr>
        <w:t>Artículo 123.- </w:t>
      </w:r>
      <w:r w:rsidRPr="00CA63EE">
        <w:rPr>
          <w:rFonts w:ascii="Verdana" w:hAnsi="Verdana"/>
          <w:bCs/>
          <w:sz w:val="20"/>
        </w:rPr>
        <w:t>En el evento de que la Administradora que opera una Sociedad de Inversión no cuente con las certificaciones referidas en la fracción II del artículo 122 anterior, se deberá suspender la celebración de operaciones con Derivados y la Administradora deberá presentar para no objeción de la Comisión un programa de administración y seguimiento de la cartera de inversión a más tardar el día hábil posterior a que suceda este hecho, en el que se prevea la designación de un nuevo Operador certificado o de un encargado del control y registro de las operaciones con Derivados certificado.</w:t>
      </w:r>
    </w:p>
    <w:p w:rsidR="00CA63EE" w:rsidRPr="00CA63EE" w:rsidRDefault="00CA63EE" w:rsidP="00CA63EE">
      <w:pPr>
        <w:jc w:val="both"/>
        <w:rPr>
          <w:rFonts w:ascii="Verdana" w:hAnsi="Verdana"/>
          <w:bCs/>
          <w:sz w:val="20"/>
        </w:rPr>
      </w:pPr>
      <w:r w:rsidRPr="00CA63EE">
        <w:rPr>
          <w:rFonts w:ascii="Verdana" w:hAnsi="Verdana"/>
          <w:bCs/>
          <w:sz w:val="20"/>
        </w:rPr>
        <w:t>En caso de aprobarse el programa de administración y seguimiento de la cartera de inversión por la Comisión, se podrán reanudar las operaciones con Derivados en los términos que señale dicho programa.</w:t>
      </w:r>
    </w:p>
    <w:p w:rsidR="00CA63EE" w:rsidRPr="00CA63EE" w:rsidRDefault="00CA63EE" w:rsidP="00CA63EE">
      <w:pPr>
        <w:jc w:val="both"/>
        <w:rPr>
          <w:rFonts w:ascii="Verdana" w:hAnsi="Verdana"/>
          <w:bCs/>
          <w:sz w:val="20"/>
        </w:rPr>
      </w:pPr>
      <w:r w:rsidRPr="00CA63EE">
        <w:rPr>
          <w:rFonts w:ascii="Verdana" w:hAnsi="Verdana"/>
          <w:b/>
          <w:bCs/>
          <w:sz w:val="20"/>
        </w:rPr>
        <w:t>Artículo 124.- </w:t>
      </w:r>
      <w:r w:rsidRPr="00CA63EE">
        <w:rPr>
          <w:rFonts w:ascii="Verdana" w:hAnsi="Verdana"/>
          <w:bCs/>
          <w:sz w:val="20"/>
        </w:rPr>
        <w:t>Las Sociedades de Inversión y en su caso los Mandatarios podrán celebrar operaciones con Derivados con las siguientes personas:</w:t>
      </w:r>
    </w:p>
    <w:p w:rsidR="00CA63EE" w:rsidRPr="00CA63EE" w:rsidRDefault="00CA63EE" w:rsidP="00CA63EE">
      <w:pPr>
        <w:jc w:val="both"/>
        <w:rPr>
          <w:rFonts w:ascii="Verdana" w:hAnsi="Verdana"/>
          <w:bCs/>
          <w:sz w:val="20"/>
        </w:rPr>
      </w:pPr>
      <w:r w:rsidRPr="00CA63EE">
        <w:rPr>
          <w:rFonts w:ascii="Verdana" w:hAnsi="Verdana"/>
          <w:bCs/>
          <w:sz w:val="20"/>
        </w:rPr>
        <w:lastRenderedPageBreak/>
        <w:t>I.           Los Intermediarios Financieros autorizados en las Bolsas de Derivados a que se refiere el artículo 126 de las presentes Disposiciones, o</w:t>
      </w:r>
    </w:p>
    <w:p w:rsidR="00CA63EE" w:rsidRPr="00CA63EE" w:rsidRDefault="00CA63EE" w:rsidP="00CA63EE">
      <w:pPr>
        <w:jc w:val="both"/>
        <w:rPr>
          <w:rFonts w:ascii="Verdana" w:hAnsi="Verdana"/>
          <w:bCs/>
          <w:sz w:val="20"/>
        </w:rPr>
      </w:pPr>
      <w:r w:rsidRPr="00CA63EE">
        <w:rPr>
          <w:rFonts w:ascii="Verdana" w:hAnsi="Verdana"/>
          <w:bCs/>
          <w:sz w:val="20"/>
        </w:rPr>
        <w:t>II.          Intermediarios Financieros de los Países Elegibles para Inversiones, que celebren operaciones fuera de una Bolsa de Derivados, que ostenten las calificaciones crediticias que determine al efecto la Comisión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Artículo 125.- </w:t>
      </w:r>
      <w:r w:rsidRPr="00CA63EE">
        <w:rPr>
          <w:rFonts w:ascii="Verdana" w:hAnsi="Verdana"/>
          <w:bCs/>
          <w:sz w:val="20"/>
        </w:rPr>
        <w:t xml:space="preserve">Las Sociedades de Inversión no podrán realizar operaciones de Derivados sobre Mercancías individuales. Sin menoscabo de lo anterior, las Sociedades de Inversión podrán adquirir exposición con Derivados sobre índices de Mercancías utilizando los mecanismos autorizados. Las Administradoras, a través de Mandatarios podrán realizar operaciones de Derivados sobre Mercancías individuales o bien sobre índices de Mercancías autorizados. Las operaciones previstas en el presente </w:t>
      </w:r>
      <w:proofErr w:type="spellStart"/>
      <w:r w:rsidRPr="00CA63EE">
        <w:rPr>
          <w:rFonts w:ascii="Verdana" w:hAnsi="Verdana"/>
          <w:bCs/>
          <w:sz w:val="20"/>
        </w:rPr>
        <w:t>artículodeberán</w:t>
      </w:r>
      <w:proofErr w:type="spellEnd"/>
      <w:r w:rsidRPr="00CA63EE">
        <w:rPr>
          <w:rFonts w:ascii="Verdana" w:hAnsi="Verdana"/>
          <w:bCs/>
          <w:sz w:val="20"/>
        </w:rPr>
        <w:t xml:space="preserve"> sujetarse a los criterios de apalancamiento con Derivados a través de Mandatarios que defina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126.- </w:t>
      </w:r>
      <w:r w:rsidRPr="00CA63EE">
        <w:rPr>
          <w:rFonts w:ascii="Verdana" w:hAnsi="Verdana"/>
          <w:bCs/>
          <w:sz w:val="20"/>
        </w:rPr>
        <w:t>Sólo podrán realizarse operaciones con Derivados en Bolsas de Derivados supervisadas y reguladas por autoridades de los Países Elegibles para Inversiones.</w:t>
      </w:r>
    </w:p>
    <w:p w:rsidR="00CA63EE" w:rsidRPr="00CA63EE" w:rsidRDefault="00CA63EE" w:rsidP="00CA63EE">
      <w:pPr>
        <w:jc w:val="both"/>
        <w:rPr>
          <w:rFonts w:ascii="Verdana" w:hAnsi="Verdana"/>
          <w:bCs/>
          <w:sz w:val="20"/>
        </w:rPr>
      </w:pPr>
      <w:r w:rsidRPr="00CA63EE">
        <w:rPr>
          <w:rFonts w:ascii="Verdana" w:hAnsi="Verdana"/>
          <w:b/>
          <w:bCs/>
          <w:sz w:val="20"/>
        </w:rPr>
        <w:t>Artículo 127.- </w:t>
      </w:r>
      <w:r w:rsidRPr="00CA63EE">
        <w:rPr>
          <w:rFonts w:ascii="Verdana" w:hAnsi="Verdana"/>
          <w:bCs/>
          <w:sz w:val="20"/>
        </w:rPr>
        <w:t xml:space="preserve">Las operaciones con Derivados que no se realicen en las Bolsas de Derivados mencionadas en el artículo anterior, deberán formalizarse utilizando contratos marco aprobados por la "International Swaps and </w:t>
      </w:r>
      <w:proofErr w:type="spellStart"/>
      <w:r w:rsidRPr="00CA63EE">
        <w:rPr>
          <w:rFonts w:ascii="Verdana" w:hAnsi="Verdana"/>
          <w:bCs/>
          <w:sz w:val="20"/>
        </w:rPr>
        <w:t>Derivatives</w:t>
      </w:r>
      <w:proofErr w:type="spellEnd"/>
      <w:r w:rsidRPr="00CA63EE">
        <w:rPr>
          <w:rFonts w:ascii="Verdana" w:hAnsi="Verdana"/>
          <w:bCs/>
          <w:sz w:val="20"/>
        </w:rPr>
        <w:t xml:space="preserve"> </w:t>
      </w:r>
      <w:proofErr w:type="spellStart"/>
      <w:r w:rsidRPr="00CA63EE">
        <w:rPr>
          <w:rFonts w:ascii="Verdana" w:hAnsi="Verdana"/>
          <w:bCs/>
          <w:sz w:val="20"/>
        </w:rPr>
        <w:t>Association</w:t>
      </w:r>
      <w:proofErr w:type="spellEnd"/>
      <w:r w:rsidRPr="00CA63EE">
        <w:rPr>
          <w:rFonts w:ascii="Verdana" w:hAnsi="Verdana"/>
          <w:bCs/>
          <w:sz w:val="20"/>
        </w:rPr>
        <w:t xml:space="preserve">, Inc.", ISDA, por su acrónimo en el idioma inglés y traducida en el idioma español como la Asociación Internacional de Agentes de Swaps, la "International </w:t>
      </w:r>
      <w:proofErr w:type="spellStart"/>
      <w:r w:rsidRPr="00CA63EE">
        <w:rPr>
          <w:rFonts w:ascii="Verdana" w:hAnsi="Verdana"/>
          <w:bCs/>
          <w:sz w:val="20"/>
        </w:rPr>
        <w:t>Securities</w:t>
      </w:r>
      <w:proofErr w:type="spellEnd"/>
      <w:r w:rsidRPr="00CA63EE">
        <w:rPr>
          <w:rFonts w:ascii="Verdana" w:hAnsi="Verdana"/>
          <w:bCs/>
          <w:sz w:val="20"/>
        </w:rPr>
        <w:t> </w:t>
      </w:r>
      <w:proofErr w:type="spellStart"/>
      <w:r w:rsidRPr="00CA63EE">
        <w:rPr>
          <w:rFonts w:ascii="Verdana" w:hAnsi="Verdana"/>
          <w:bCs/>
          <w:sz w:val="20"/>
        </w:rPr>
        <w:t>Market</w:t>
      </w:r>
      <w:proofErr w:type="spellEnd"/>
      <w:r w:rsidRPr="00CA63EE">
        <w:rPr>
          <w:rFonts w:ascii="Verdana" w:hAnsi="Verdana"/>
          <w:bCs/>
          <w:sz w:val="20"/>
        </w:rPr>
        <w:t xml:space="preserve"> </w:t>
      </w:r>
      <w:proofErr w:type="spellStart"/>
      <w:r w:rsidRPr="00CA63EE">
        <w:rPr>
          <w:rFonts w:ascii="Verdana" w:hAnsi="Verdana"/>
          <w:bCs/>
          <w:sz w:val="20"/>
        </w:rPr>
        <w:t>Association</w:t>
      </w:r>
      <w:proofErr w:type="spellEnd"/>
      <w:r w:rsidRPr="00CA63EE">
        <w:rPr>
          <w:rFonts w:ascii="Verdana" w:hAnsi="Verdana"/>
          <w:bCs/>
          <w:sz w:val="20"/>
        </w:rPr>
        <w:t xml:space="preserve">", ISMA, por su acrónimo en el idioma inglés y traducida en el idioma español como la Asociación Internacional de Mercados de Valores, o por otras organizaciones nacionales o internacionales </w:t>
      </w:r>
      <w:proofErr w:type="spellStart"/>
      <w:r w:rsidRPr="00CA63EE">
        <w:rPr>
          <w:rFonts w:ascii="Verdana" w:hAnsi="Verdana"/>
          <w:bCs/>
          <w:sz w:val="20"/>
        </w:rPr>
        <w:t>dereconocido</w:t>
      </w:r>
      <w:proofErr w:type="spellEnd"/>
      <w:r w:rsidRPr="00CA63EE">
        <w:rPr>
          <w:rFonts w:ascii="Verdana" w:hAnsi="Verdana"/>
          <w:bCs/>
          <w:sz w:val="20"/>
        </w:rPr>
        <w:t xml:space="preserve"> prestigio en la materia que la Comisión dé a conocer a través su página de Internet. Asimismo, dichos contratos marco deberán considerar un apartado o suplemento respecto de los funcionarios autorizados para realizar las operaciones señaladas y mantenerlos actualizados o bien informar a las Contrapartes sobre los funcionarios autorizados para celebrar operaciones con Derivados a través de la política que el Comité de Inversión haya definido para tales fines. Las Administradoras deberán solicitar a las Contrapartes que mantengan actualizado el apartado o suplemento de los funcionarios autorizados para las operaciones referidas anteriormente.</w:t>
      </w:r>
    </w:p>
    <w:p w:rsidR="00CA63EE" w:rsidRPr="00CA63EE" w:rsidRDefault="00CA63EE" w:rsidP="00CA63EE">
      <w:pPr>
        <w:jc w:val="both"/>
        <w:rPr>
          <w:rFonts w:ascii="Verdana" w:hAnsi="Verdana"/>
          <w:bCs/>
          <w:sz w:val="20"/>
        </w:rPr>
      </w:pPr>
      <w:r w:rsidRPr="00CA63EE">
        <w:rPr>
          <w:rFonts w:ascii="Verdana" w:hAnsi="Verdana"/>
          <w:b/>
          <w:bCs/>
          <w:sz w:val="20"/>
        </w:rPr>
        <w:t>Artículo 128.- </w:t>
      </w:r>
      <w:r w:rsidRPr="00CA63EE">
        <w:rPr>
          <w:rFonts w:ascii="Verdana" w:hAnsi="Verdana"/>
          <w:bCs/>
          <w:sz w:val="20"/>
        </w:rPr>
        <w:t xml:space="preserve">Las operaciones con Derivados que se realicen tanto en mercados extrabursátiles como en Bolsas de Derivados deberán estar documentadas, y se deberá contar con medios de confirmación, aplicados a más tardar al cierre del día, para cada operación, ya sea en forma individual o agregando las operaciones concertadas en el día por Contraparte. Dichos medios y políticas de confirmación deberán ser definidos por el Comité de Inversión, deberán estar descritos </w:t>
      </w:r>
      <w:r w:rsidRPr="00CA63EE">
        <w:rPr>
          <w:rFonts w:ascii="Verdana" w:hAnsi="Verdana"/>
          <w:bCs/>
          <w:sz w:val="20"/>
        </w:rPr>
        <w:lastRenderedPageBreak/>
        <w:t>en el Manual de Inversión y mantenerse a disposición de la Comisión en todo momento.</w:t>
      </w:r>
    </w:p>
    <w:p w:rsidR="00CA63EE" w:rsidRPr="00CA63EE" w:rsidRDefault="00CA63EE" w:rsidP="00CA63EE">
      <w:pPr>
        <w:jc w:val="both"/>
        <w:rPr>
          <w:rFonts w:ascii="Verdana" w:hAnsi="Verdana"/>
          <w:bCs/>
          <w:sz w:val="20"/>
        </w:rPr>
      </w:pPr>
      <w:r w:rsidRPr="00CA63EE">
        <w:rPr>
          <w:rFonts w:ascii="Verdana" w:hAnsi="Verdana"/>
          <w:b/>
          <w:bCs/>
          <w:sz w:val="20"/>
        </w:rPr>
        <w:t>Artículo 129.-</w:t>
      </w:r>
      <w:r w:rsidRPr="00CA63EE">
        <w:rPr>
          <w:rFonts w:ascii="Verdana" w:hAnsi="Verdana"/>
          <w:bCs/>
          <w:sz w:val="20"/>
        </w:rPr>
        <w:t> Para las operaciones de Derivados realizadas tanto en mercados extrabursátiles como en Bolsas de Derivados, el área de confirmación deberá recibir la confirmación de la Contraparte, revisarla contra los registros de la Administradora y en caso de coincidir, las personas autorizadas deberán ratificarla a la Contraparte. En caso de no coincidir, con el fin de mantener la independencia del proceso, se revisará la operación con el área de confirmación de la Contraparte y contra el registro en el medio magnético así como electrónico de la operación.</w:t>
      </w:r>
    </w:p>
    <w:p w:rsidR="00CA63EE" w:rsidRPr="00CA63EE" w:rsidRDefault="00CA63EE" w:rsidP="00CA63EE">
      <w:pPr>
        <w:jc w:val="both"/>
        <w:rPr>
          <w:rFonts w:ascii="Verdana" w:hAnsi="Verdana"/>
          <w:bCs/>
          <w:sz w:val="20"/>
        </w:rPr>
      </w:pPr>
      <w:r w:rsidRPr="00CA63EE">
        <w:rPr>
          <w:rFonts w:ascii="Verdana" w:hAnsi="Verdana"/>
          <w:bCs/>
          <w:sz w:val="20"/>
        </w:rPr>
        <w:t>Se deberá garantizar que todas las operaciones concertadas sean capturadas y reflejadas en la contabilidad de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130.- </w:t>
      </w:r>
      <w:r w:rsidRPr="00CA63EE">
        <w:rPr>
          <w:rFonts w:ascii="Verdana" w:hAnsi="Verdana"/>
          <w:bCs/>
          <w:sz w:val="20"/>
        </w:rPr>
        <w:t>Las operaciones con Derivados a que se refieren las presentes Disposiciones, no podrán tener como activo subyacente a algún activo no previsto en las Disposiciones de carácter general que establecen el régimen de inversión al que deberán sujetarse las Sociedades de Inversión o a otro Derivado, salvo aquellos activos o Derivados que autorice el Banco de México para tales fines.</w:t>
      </w:r>
    </w:p>
    <w:p w:rsidR="00CA63EE" w:rsidRPr="00CA63EE" w:rsidRDefault="00CA63EE" w:rsidP="00CA63EE">
      <w:pPr>
        <w:jc w:val="both"/>
        <w:rPr>
          <w:rFonts w:ascii="Verdana" w:hAnsi="Verdana"/>
          <w:bCs/>
          <w:sz w:val="20"/>
        </w:rPr>
      </w:pPr>
      <w:r w:rsidRPr="00CA63EE">
        <w:rPr>
          <w:rFonts w:ascii="Verdana" w:hAnsi="Verdana"/>
          <w:b/>
          <w:bCs/>
          <w:sz w:val="20"/>
        </w:rPr>
        <w:t>Artículo 131.- </w:t>
      </w:r>
      <w:r w:rsidRPr="00CA63EE">
        <w:rPr>
          <w:rFonts w:ascii="Verdana" w:hAnsi="Verdana"/>
          <w:bCs/>
          <w:sz w:val="20"/>
        </w:rPr>
        <w:t>Las Administradoras que operen Sociedades de Inversión que pretendan celebrar las operaciones con Derivados previstas en la Circular 6/2013 que contiene las "Reglas a las que deberán sujetarse las Sociedades de Inversión Especializadas de Fondos para el Retiro en la realización de operaciones derivadas" expedidas por el Banco de México en términos del artículo 48 fracción IX de la Ley, deberán acreditar previamente ante la Comisión el cumplimiento de los requisitos previstos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 Comisión, previa evaluación que al efecto lleve a cabo y una vez que tenga por acreditado dicho cumplimiento, manifestará su no objeción para que se celebren las operaciones con Derivados que se prevean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La no objeción para celebrar operaciones con Derivados que emita la Comisión se mantendrá vigente por un periodo de tres años, y en tanto la Administradora continúe cumpliendo, durante la vigencia de la certificación, con los requisitos y procedimientos establecidos en el artículo 122, fracción III de las presentes Disposiciones y en lo relativo a la logística para operar con Derivados prevista en el artículo 16, fracción XIII de las presentes Disposiciones. Para efectos de la renovación de la no objeción prevista en el presente artículo, las Administradoras deberán enviar a la Comisión la solicitud de renovación seis meses antes de </w:t>
      </w:r>
      <w:proofErr w:type="spellStart"/>
      <w:r w:rsidRPr="00CA63EE">
        <w:rPr>
          <w:rFonts w:ascii="Verdana" w:hAnsi="Verdana"/>
          <w:bCs/>
          <w:sz w:val="20"/>
        </w:rPr>
        <w:t>queconcluya</w:t>
      </w:r>
      <w:proofErr w:type="spellEnd"/>
      <w:r w:rsidRPr="00CA63EE">
        <w:rPr>
          <w:rFonts w:ascii="Verdana" w:hAnsi="Verdana"/>
          <w:bCs/>
          <w:sz w:val="20"/>
        </w:rPr>
        <w:t xml:space="preserve"> el periodo de vigencia de la no objeción.</w:t>
      </w:r>
    </w:p>
    <w:p w:rsidR="00CA63EE" w:rsidRPr="00CA63EE" w:rsidRDefault="00CA63EE" w:rsidP="00CA63EE">
      <w:pPr>
        <w:jc w:val="both"/>
        <w:rPr>
          <w:rFonts w:ascii="Verdana" w:hAnsi="Verdana"/>
          <w:bCs/>
          <w:sz w:val="20"/>
        </w:rPr>
      </w:pPr>
      <w:r w:rsidRPr="00CA63EE">
        <w:rPr>
          <w:rFonts w:ascii="Verdana" w:hAnsi="Verdana"/>
          <w:bCs/>
          <w:sz w:val="20"/>
        </w:rPr>
        <w:t xml:space="preserve">En caso que la Comisión detecte en ejercicio de sus facultades de supervisión que la Administradora ha dejado de cumplir con alguno de los citados requisitos y procedimientos, deberá notificárselo, a efecto de que la Administradora de que se trate </w:t>
      </w:r>
      <w:r w:rsidRPr="00CA63EE">
        <w:rPr>
          <w:rFonts w:ascii="Verdana" w:hAnsi="Verdana"/>
          <w:bCs/>
          <w:sz w:val="20"/>
        </w:rPr>
        <w:lastRenderedPageBreak/>
        <w:t>y en su caso los Mandatarios suspendan todas las operaciones con Derivados de sus Sociedades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caso de que se determine la suspensión referida en el párrafo anterior, la Sociedad de Inversión y en su caso los Mandatarios no podrán celebrar nuevas operaciones con Derivados, a excepción de las operaciones necesarias para recomponer la cartera y respecto de las operaciones que hubiere celebrado con anterioridad, deberán sujetarse a lo establecido en las presentes Disposiciones relativo a la recomposición de cartera por incumplir los límites establecidos en el Régimen de Inversión Autorizado por adquisición o venta de Activos Objeto de Inversión, y por la violación a los límites de inversión establecidos para los Activos Objeto de Inversión por causas imputables a la Administradora, sin entenderse la suspensión de las operaciones con Derivados como una violación al Régimen de Inversión.</w:t>
      </w:r>
    </w:p>
    <w:p w:rsidR="00CA63EE" w:rsidRPr="00CA63EE" w:rsidRDefault="00CA63EE" w:rsidP="00CA63EE">
      <w:pPr>
        <w:jc w:val="both"/>
        <w:rPr>
          <w:rFonts w:ascii="Verdana" w:hAnsi="Verdana"/>
          <w:bCs/>
          <w:sz w:val="20"/>
        </w:rPr>
      </w:pPr>
      <w:r w:rsidRPr="00CA63EE">
        <w:rPr>
          <w:rFonts w:ascii="Verdana" w:hAnsi="Verdana"/>
          <w:bCs/>
          <w:sz w:val="20"/>
        </w:rPr>
        <w:t>Los Mandatarios podrán operar con Derivados autorizados y con subyacentes autorizados siempre y cuando la Administradora que los contrate cuente con la no objeción de la Comisión para que las Sociedades de Inversión que administren, celebren operaciones con dichos Derivados. Para la evaluación que realice la Comisión para los efectos previstos en el presente párrafo, deberá considerar la reducción en los riesgos operativos de la Administradora al emplear un Mandatario elegible.</w:t>
      </w:r>
    </w:p>
    <w:p w:rsidR="00CA63EE" w:rsidRPr="00CA63EE" w:rsidRDefault="00CA63EE" w:rsidP="00CA63EE">
      <w:pPr>
        <w:jc w:val="both"/>
        <w:rPr>
          <w:rFonts w:ascii="Verdana" w:hAnsi="Verdana"/>
          <w:bCs/>
          <w:sz w:val="20"/>
        </w:rPr>
      </w:pPr>
      <w:r w:rsidRPr="00CA63EE">
        <w:rPr>
          <w:rFonts w:ascii="Verdana" w:hAnsi="Verdana"/>
          <w:b/>
          <w:bCs/>
          <w:sz w:val="20"/>
        </w:rPr>
        <w:t>TÍTULO IX</w:t>
      </w:r>
    </w:p>
    <w:p w:rsidR="00CA63EE" w:rsidRPr="00CA63EE" w:rsidRDefault="00CA63EE" w:rsidP="00CA63EE">
      <w:pPr>
        <w:jc w:val="both"/>
        <w:rPr>
          <w:rFonts w:ascii="Verdana" w:hAnsi="Verdana"/>
          <w:bCs/>
          <w:sz w:val="20"/>
        </w:rPr>
      </w:pPr>
      <w:r w:rsidRPr="00CA63EE">
        <w:rPr>
          <w:rFonts w:ascii="Verdana" w:hAnsi="Verdana"/>
          <w:b/>
          <w:bCs/>
          <w:sz w:val="20"/>
        </w:rPr>
        <w:t>DE LA OPERACIÓN CON ESTRUCTURAS VINCULADAS A SUBYACENTES</w:t>
      </w:r>
    </w:p>
    <w:p w:rsidR="00CA63EE" w:rsidRPr="00CA63EE" w:rsidRDefault="00CA63EE" w:rsidP="00CA63EE">
      <w:pPr>
        <w:jc w:val="both"/>
        <w:rPr>
          <w:rFonts w:ascii="Verdana" w:hAnsi="Verdana"/>
          <w:bCs/>
          <w:sz w:val="20"/>
        </w:rPr>
      </w:pPr>
      <w:r w:rsidRPr="00CA63EE">
        <w:rPr>
          <w:rFonts w:ascii="Verdana" w:hAnsi="Verdana"/>
          <w:b/>
          <w:bCs/>
          <w:sz w:val="20"/>
        </w:rPr>
        <w:t>Artículo 132.- </w:t>
      </w:r>
      <w:r w:rsidRPr="00CA63EE">
        <w:rPr>
          <w:rFonts w:ascii="Verdana" w:hAnsi="Verdana"/>
          <w:bCs/>
          <w:sz w:val="20"/>
        </w:rPr>
        <w:t>Las Sociedades de Inversión podrán adquirir, así como crear Estructuras Vinculadas a Subyacentes referidas a variables subyacentes autorizadas.</w:t>
      </w:r>
    </w:p>
    <w:p w:rsidR="00CA63EE" w:rsidRPr="00CA63EE" w:rsidRDefault="00CA63EE" w:rsidP="00CA63EE">
      <w:pPr>
        <w:jc w:val="both"/>
        <w:rPr>
          <w:rFonts w:ascii="Verdana" w:hAnsi="Verdana"/>
          <w:bCs/>
          <w:sz w:val="20"/>
        </w:rPr>
      </w:pPr>
      <w:r w:rsidRPr="00CA63EE">
        <w:rPr>
          <w:rFonts w:ascii="Verdana" w:hAnsi="Verdana"/>
          <w:bCs/>
          <w:sz w:val="20"/>
        </w:rPr>
        <w:t>Sólo podrán crear y operar con Estructuras Vinculadas a Subyacentes en las cuales la exposición al subyacente se adquiera a través de un Derivado, aquellas Administradoras que cuenten con la no objeción de la Comisión para que las Sociedades de Inversión que administren y operen, celebren operaciones con Derivados.</w:t>
      </w:r>
    </w:p>
    <w:p w:rsidR="00CA63EE" w:rsidRPr="00CA63EE" w:rsidRDefault="00CA63EE" w:rsidP="00CA63EE">
      <w:pPr>
        <w:jc w:val="both"/>
        <w:rPr>
          <w:rFonts w:ascii="Verdana" w:hAnsi="Verdana"/>
          <w:bCs/>
          <w:sz w:val="20"/>
        </w:rPr>
      </w:pPr>
      <w:r w:rsidRPr="00CA63EE">
        <w:rPr>
          <w:rFonts w:ascii="Verdana" w:hAnsi="Verdana"/>
          <w:b/>
          <w:bCs/>
          <w:sz w:val="20"/>
        </w:rPr>
        <w:t>Artículo 133.- </w:t>
      </w:r>
      <w:r w:rsidRPr="00CA63EE">
        <w:rPr>
          <w:rFonts w:ascii="Verdana" w:hAnsi="Verdana"/>
          <w:bCs/>
          <w:sz w:val="20"/>
        </w:rPr>
        <w:t>A efectos de</w:t>
      </w:r>
      <w:r w:rsidRPr="00CA63EE">
        <w:rPr>
          <w:rFonts w:ascii="Verdana" w:hAnsi="Verdana"/>
          <w:b/>
          <w:bCs/>
          <w:sz w:val="20"/>
        </w:rPr>
        <w:t> </w:t>
      </w:r>
      <w:r w:rsidRPr="00CA63EE">
        <w:rPr>
          <w:rFonts w:ascii="Verdana" w:hAnsi="Verdana"/>
          <w:bCs/>
          <w:sz w:val="20"/>
        </w:rPr>
        <w:t>documentar las Estructuras Vinculadas a Subyacentes, las Administradoras se sujetarán a las Reglas generales que al efecto establezca la Comisión para la entrega de información.</w:t>
      </w:r>
    </w:p>
    <w:p w:rsidR="00CA63EE" w:rsidRPr="00CA63EE" w:rsidRDefault="00CA63EE" w:rsidP="00CA63EE">
      <w:pPr>
        <w:jc w:val="both"/>
        <w:rPr>
          <w:rFonts w:ascii="Verdana" w:hAnsi="Verdana"/>
          <w:bCs/>
          <w:sz w:val="20"/>
        </w:rPr>
      </w:pPr>
      <w:r w:rsidRPr="00CA63EE">
        <w:rPr>
          <w:rFonts w:ascii="Verdana" w:hAnsi="Verdana"/>
          <w:b/>
          <w:bCs/>
          <w:sz w:val="20"/>
        </w:rPr>
        <w:t>Artículo 134.- </w:t>
      </w:r>
      <w:r w:rsidRPr="00CA63EE">
        <w:rPr>
          <w:rFonts w:ascii="Verdana" w:hAnsi="Verdana"/>
          <w:bCs/>
          <w:sz w:val="20"/>
        </w:rPr>
        <w:t>Las Sociedades de Inversión deberán ajustar los ponderadores de los Valores Extranjeros de Renta Variable de las Estructuras Vinculadas a Subyacentes con Valores Extranjeros de Renta Variable adquiridos directamente, cuando como consecuencia del Ejercicio de Derechos Patrimoniales asociados a las acciones que integran Valores Extranjeros de Renta Variable, se presente una desviación dentro de la ponderación inicial del mismo que exceda la Desviación Permitida.</w:t>
      </w:r>
    </w:p>
    <w:p w:rsidR="00CA63EE" w:rsidRPr="00CA63EE" w:rsidRDefault="00CA63EE" w:rsidP="00CA63EE">
      <w:pPr>
        <w:jc w:val="both"/>
        <w:rPr>
          <w:rFonts w:ascii="Verdana" w:hAnsi="Verdana"/>
          <w:bCs/>
          <w:sz w:val="20"/>
        </w:rPr>
      </w:pPr>
      <w:r w:rsidRPr="00CA63EE">
        <w:rPr>
          <w:rFonts w:ascii="Verdana" w:hAnsi="Verdana"/>
          <w:bCs/>
          <w:sz w:val="20"/>
        </w:rPr>
        <w:lastRenderedPageBreak/>
        <w:t>Para tal efecto, las Sociedades de Inversión podrán vender o comprar la o las acciones necesarias para ajustarse a la ponderación vigente de las acciones que integren el índice o Canasta de Índices que repliquen Valores Extranjeros de Renta Variable.</w:t>
      </w:r>
    </w:p>
    <w:p w:rsidR="00CA63EE" w:rsidRPr="00CA63EE" w:rsidRDefault="00CA63EE" w:rsidP="00CA63EE">
      <w:pPr>
        <w:jc w:val="both"/>
        <w:rPr>
          <w:rFonts w:ascii="Verdana" w:hAnsi="Verdana"/>
          <w:bCs/>
          <w:sz w:val="20"/>
        </w:rPr>
      </w:pPr>
      <w:r w:rsidRPr="00CA63EE">
        <w:rPr>
          <w:rFonts w:ascii="Verdana" w:hAnsi="Verdana"/>
          <w:b/>
          <w:bCs/>
          <w:sz w:val="20"/>
        </w:rPr>
        <w:t>Artículo 135.- </w:t>
      </w:r>
      <w:r w:rsidRPr="00CA63EE">
        <w:rPr>
          <w:rFonts w:ascii="Verdana" w:hAnsi="Verdana"/>
          <w:bCs/>
          <w:sz w:val="20"/>
        </w:rPr>
        <w:t>Las Sociedades de Inversión, en caso de que procedan a ajustar los ponderadores de Valores Extranjeros de Renta Variable de las Estructuras Vinculadas a Subyacentes que conforman la cartera de inversión o bien de los Valores Extranjeros de Renta Variable adquiridos directamente, deberán acordar dicho acto dentro del día hábil siguiente a aquél en que se modifique la ponderación del índice o Canasta de Índices como consecuencia del Ejercicio de Derechos Patrimoniales, o en su caso, del día hábil siguiente a aquél en que se dé a conocer públicamente el Ejercicio de Derechos Patrimoniales y como consecuencia, se presente una desviación dentro de la ponderación inicial de los Valores Extranjeros de Renta Variable.</w:t>
      </w:r>
    </w:p>
    <w:p w:rsidR="00CA63EE" w:rsidRPr="00CA63EE" w:rsidRDefault="00CA63EE" w:rsidP="00CA63EE">
      <w:pPr>
        <w:jc w:val="both"/>
        <w:rPr>
          <w:rFonts w:ascii="Verdana" w:hAnsi="Verdana"/>
          <w:bCs/>
          <w:sz w:val="20"/>
        </w:rPr>
      </w:pPr>
      <w:r w:rsidRPr="00CA63EE">
        <w:rPr>
          <w:rFonts w:ascii="Verdana" w:hAnsi="Verdana"/>
          <w:bCs/>
          <w:sz w:val="20"/>
        </w:rPr>
        <w:t>Para tal efecto, las Sociedades de Inversión deberán ordenar la compra o venta de las acciones necesarias para que los ponderadores que integren los Valores Extranjeros de Renta Variable no excedan la Desviación Permitida, en un plazo máximo de cuatro días hábiles contado a partir de la fecha en que se modifique la ponderación del índice o Canasta de Índices como consecuencia del Ejercicio de Derechos Patrimoniales.</w:t>
      </w:r>
    </w:p>
    <w:p w:rsidR="00CA63EE" w:rsidRPr="00CA63EE" w:rsidRDefault="00CA63EE" w:rsidP="00CA63EE">
      <w:pPr>
        <w:jc w:val="both"/>
        <w:rPr>
          <w:rFonts w:ascii="Verdana" w:hAnsi="Verdana"/>
          <w:bCs/>
          <w:sz w:val="20"/>
        </w:rPr>
      </w:pPr>
      <w:r w:rsidRPr="00CA63EE">
        <w:rPr>
          <w:rFonts w:ascii="Verdana" w:hAnsi="Verdana"/>
          <w:b/>
          <w:bCs/>
          <w:sz w:val="20"/>
        </w:rPr>
        <w:t>Artículo 136.- </w:t>
      </w:r>
      <w:r w:rsidRPr="00CA63EE">
        <w:rPr>
          <w:rFonts w:ascii="Verdana" w:hAnsi="Verdana"/>
          <w:bCs/>
          <w:sz w:val="20"/>
        </w:rPr>
        <w:t>Las Sociedades de Inversión, en caso de que procedan a ajustar los ponderadores de los Valores Extranjeros de Renta Variable que conformen una Estructura Vinculada a Subyacente deberán apegarse a lo señalado en el artículo 67 anterior.</w:t>
      </w:r>
    </w:p>
    <w:p w:rsidR="00CA63EE" w:rsidRPr="00CA63EE" w:rsidRDefault="00CA63EE" w:rsidP="00CA63EE">
      <w:pPr>
        <w:jc w:val="both"/>
        <w:rPr>
          <w:rFonts w:ascii="Verdana" w:hAnsi="Verdana"/>
          <w:bCs/>
          <w:sz w:val="20"/>
        </w:rPr>
      </w:pPr>
      <w:r w:rsidRPr="00CA63EE">
        <w:rPr>
          <w:rFonts w:ascii="Verdana" w:hAnsi="Verdana"/>
          <w:b/>
          <w:bCs/>
          <w:sz w:val="20"/>
        </w:rPr>
        <w:t>Artículo 137.- </w:t>
      </w:r>
      <w:r w:rsidRPr="00CA63EE">
        <w:rPr>
          <w:rFonts w:ascii="Verdana" w:hAnsi="Verdana"/>
          <w:bCs/>
          <w:sz w:val="20"/>
        </w:rPr>
        <w:t>Las Sociedades de Inversión y en su caso los Mandatarios tendrán prohibido directamente o indirectamente o a través de Prestadores de Servicios Financieros, lo siguiente:</w:t>
      </w:r>
    </w:p>
    <w:p w:rsidR="00CA63EE" w:rsidRPr="00CA63EE" w:rsidRDefault="00CA63EE" w:rsidP="00CA63EE">
      <w:pPr>
        <w:jc w:val="both"/>
        <w:rPr>
          <w:rFonts w:ascii="Verdana" w:hAnsi="Verdana"/>
          <w:bCs/>
          <w:sz w:val="20"/>
        </w:rPr>
      </w:pPr>
      <w:r w:rsidRPr="00CA63EE">
        <w:rPr>
          <w:rFonts w:ascii="Verdana" w:hAnsi="Verdana"/>
          <w:bCs/>
          <w:sz w:val="20"/>
        </w:rPr>
        <w:t>I.           Adquirir Activos Objeto de Inversión, Vehículos o Vehículos de Inversión Inmobiliaria emitidos por Entidades Financieras con los que la Administradora que opere las Sociedades de Inversión tengan Nexos Patrimoniales, y</w:t>
      </w:r>
    </w:p>
    <w:p w:rsidR="00CA63EE" w:rsidRPr="00CA63EE" w:rsidRDefault="00CA63EE" w:rsidP="00CA63EE">
      <w:pPr>
        <w:jc w:val="both"/>
        <w:rPr>
          <w:rFonts w:ascii="Verdana" w:hAnsi="Verdana"/>
          <w:bCs/>
          <w:sz w:val="20"/>
        </w:rPr>
      </w:pPr>
      <w:r w:rsidRPr="00CA63EE">
        <w:rPr>
          <w:rFonts w:ascii="Verdana" w:hAnsi="Verdana"/>
          <w:bCs/>
          <w:sz w:val="20"/>
        </w:rPr>
        <w:t>II.          Adquirir Activos Objeto de Inversión, Vehículos o Vehículos de Inversión inmobiliaria a Intermediarios Financieros con los que la Administradora que opere las Sociedades de Inversión tengan Nexos Patrimoniales.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Las prohibiciones a las que debe sujetarse la Sociedad de Inversión, descritas en las fracciones anteriores, serán aplicables incluso cuando la inversión se haga a través de Mandatarios.</w:t>
      </w:r>
    </w:p>
    <w:p w:rsidR="00CA63EE" w:rsidRPr="00CA63EE" w:rsidRDefault="00CA63EE" w:rsidP="00CA63EE">
      <w:pPr>
        <w:jc w:val="both"/>
        <w:rPr>
          <w:rFonts w:ascii="Verdana" w:hAnsi="Verdana"/>
          <w:bCs/>
          <w:sz w:val="20"/>
        </w:rPr>
      </w:pPr>
      <w:r w:rsidRPr="00CA63EE">
        <w:rPr>
          <w:rFonts w:ascii="Verdana" w:hAnsi="Verdana"/>
          <w:b/>
          <w:bCs/>
          <w:sz w:val="20"/>
        </w:rPr>
        <w:t>Artículo 138.- </w:t>
      </w:r>
      <w:r w:rsidRPr="00CA63EE">
        <w:rPr>
          <w:rFonts w:ascii="Verdana" w:hAnsi="Verdana"/>
          <w:bCs/>
          <w:sz w:val="20"/>
        </w:rPr>
        <w:t xml:space="preserve">Las Sociedades de Inversión y en su caso los Mandatarios podrán adquirir directamente o a través de Prestadores de Servicios Financieros Activos Objeto de Inversión, emitidos por Entidades Financieras con los que la Administradora que opere las Sociedades de Inversión tengan Nexos Patrimoniales, únicamente con el fin de replicar los índices o Canasta de Índices conformados por Activos Objeto de </w:t>
      </w:r>
      <w:r w:rsidRPr="00CA63EE">
        <w:rPr>
          <w:rFonts w:ascii="Verdana" w:hAnsi="Verdana"/>
          <w:bCs/>
          <w:sz w:val="20"/>
        </w:rPr>
        <w:lastRenderedPageBreak/>
        <w:t>Inversión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TÍTULO X</w:t>
      </w:r>
    </w:p>
    <w:p w:rsidR="00CA63EE" w:rsidRPr="00CA63EE" w:rsidRDefault="00CA63EE" w:rsidP="00CA63EE">
      <w:pPr>
        <w:jc w:val="both"/>
        <w:rPr>
          <w:rFonts w:ascii="Verdana" w:hAnsi="Verdana"/>
          <w:bCs/>
          <w:sz w:val="20"/>
        </w:rPr>
      </w:pPr>
      <w:r w:rsidRPr="00CA63EE">
        <w:rPr>
          <w:rFonts w:ascii="Verdana" w:hAnsi="Verdana"/>
          <w:b/>
          <w:bCs/>
          <w:sz w:val="20"/>
        </w:rPr>
        <w:t>DE LA OPERACIÓN CON INSTRUMENTOS ESTRUCTURADOS,</w:t>
      </w:r>
      <w:r w:rsidRPr="00CA63EE">
        <w:rPr>
          <w:rFonts w:ascii="Verdana" w:hAnsi="Verdana"/>
          <w:bCs/>
          <w:sz w:val="20"/>
        </w:rPr>
        <w:t> </w:t>
      </w:r>
      <w:r w:rsidRPr="00CA63EE">
        <w:rPr>
          <w:rFonts w:ascii="Verdana" w:hAnsi="Verdana"/>
          <w:b/>
          <w:bCs/>
          <w:sz w:val="20"/>
        </w:rPr>
        <w:t>FIBRAS Y CERTIFICADOS BURSÁTILES</w:t>
      </w:r>
      <w:r w:rsidRPr="00CA63EE">
        <w:rPr>
          <w:rFonts w:ascii="Verdana" w:hAnsi="Verdana"/>
          <w:bCs/>
          <w:sz w:val="20"/>
        </w:rPr>
        <w:br/>
      </w:r>
      <w:r w:rsidRPr="00CA63EE">
        <w:rPr>
          <w:rFonts w:ascii="Verdana" w:hAnsi="Verdana"/>
          <w:b/>
          <w:bCs/>
          <w:sz w:val="20"/>
        </w:rPr>
        <w:t>VINCULADOS A PROYECTOS REALES</w:t>
      </w:r>
    </w:p>
    <w:p w:rsidR="00CA63EE" w:rsidRPr="00CA63EE" w:rsidRDefault="00CA63EE" w:rsidP="00CA63EE">
      <w:pPr>
        <w:jc w:val="both"/>
        <w:rPr>
          <w:rFonts w:ascii="Verdana" w:hAnsi="Verdana"/>
          <w:bCs/>
          <w:sz w:val="20"/>
        </w:rPr>
      </w:pPr>
      <w:r w:rsidRPr="00CA63EE">
        <w:rPr>
          <w:rFonts w:ascii="Verdana" w:hAnsi="Verdana"/>
          <w:b/>
          <w:bCs/>
          <w:sz w:val="20"/>
        </w:rPr>
        <w:t>Artículo 139.- </w:t>
      </w:r>
      <w:r w:rsidRPr="00CA63EE">
        <w:rPr>
          <w:rFonts w:ascii="Verdana" w:hAnsi="Verdana"/>
          <w:bCs/>
          <w:sz w:val="20"/>
        </w:rPr>
        <w:t>Las Sociedades de Inversión deberán someter a la aprobación de su Comité de Inversión, la adquisición de Instrumentos Estructurados, FIBRAS y Certificados Bursátiles Vinculados a Proyectos Reales, de acuerdo con lo siguiente:</w:t>
      </w:r>
    </w:p>
    <w:p w:rsidR="00CA63EE" w:rsidRPr="00CA63EE" w:rsidRDefault="00CA63EE" w:rsidP="00CA63EE">
      <w:pPr>
        <w:jc w:val="both"/>
        <w:rPr>
          <w:rFonts w:ascii="Verdana" w:hAnsi="Verdana"/>
          <w:bCs/>
          <w:sz w:val="20"/>
        </w:rPr>
      </w:pPr>
      <w:r w:rsidRPr="00CA63EE">
        <w:rPr>
          <w:rFonts w:ascii="Verdana" w:hAnsi="Verdana"/>
          <w:bCs/>
          <w:sz w:val="20"/>
        </w:rPr>
        <w:t>I.           Cuando no pertenezcan a un programa de inversión referido en el artículo 30, fracción VI,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A.   Para las FIBRAS y Certificados Bursátiles Vinculados a Proyectos Reales, el área de inversiones o en su caso el área de riesgos deberá realizar previamente un análisis sobre las características y riesgos inherentes a cada instrumento que se pretenda adquirir. El Responsable del Área de Inversiones deberá someter al Comité de Inversión el análisis antes referido considerando lo siguiente:</w:t>
      </w:r>
    </w:p>
    <w:p w:rsidR="00CA63EE" w:rsidRPr="00CA63EE" w:rsidRDefault="00CA63EE" w:rsidP="00CA63EE">
      <w:pPr>
        <w:jc w:val="both"/>
        <w:rPr>
          <w:rFonts w:ascii="Verdana" w:hAnsi="Verdana"/>
          <w:bCs/>
          <w:sz w:val="20"/>
        </w:rPr>
      </w:pPr>
      <w:r w:rsidRPr="00CA63EE">
        <w:rPr>
          <w:rFonts w:ascii="Verdana" w:hAnsi="Verdana"/>
          <w:bCs/>
          <w:sz w:val="20"/>
        </w:rPr>
        <w:t>i.    La información adicional prevista en las presentes Disposiciones, acerca de los eventos relevantes previstos en la Ley del Mercado de Valores que se hayan hecho del conocimiento público por el emisor del instrumento, así como cualquier otra información que se difunda en el mercado sobre el instrumento;</w:t>
      </w:r>
    </w:p>
    <w:p w:rsidR="00CA63EE" w:rsidRPr="00CA63EE" w:rsidRDefault="00CA63EE" w:rsidP="00CA63EE">
      <w:pPr>
        <w:jc w:val="both"/>
        <w:rPr>
          <w:rFonts w:ascii="Verdana" w:hAnsi="Verdana"/>
          <w:bCs/>
          <w:sz w:val="20"/>
        </w:rPr>
      </w:pPr>
      <w:r w:rsidRPr="00CA63EE">
        <w:rPr>
          <w:rFonts w:ascii="Verdana" w:hAnsi="Verdana"/>
          <w:bCs/>
          <w:sz w:val="20"/>
        </w:rPr>
        <w:t>ii.     El contenido del cuestionario referido en el Anexo B, Capítulo II que permita evaluar las políticas definidas en los distintos conceptos de las FIBRAS o Certificados Bursátiles Vinculados a Proyectos Reales, el análisis se deberá referir al plan de inversión y experiencia del administrador del patrimonio del instrumento;</w:t>
      </w:r>
    </w:p>
    <w:p w:rsidR="00CA63EE" w:rsidRPr="00CA63EE" w:rsidRDefault="00CA63EE" w:rsidP="00CA63EE">
      <w:pPr>
        <w:jc w:val="both"/>
        <w:rPr>
          <w:rFonts w:ascii="Verdana" w:hAnsi="Verdana"/>
          <w:bCs/>
          <w:sz w:val="20"/>
        </w:rPr>
      </w:pPr>
      <w:r w:rsidRPr="00CA63EE">
        <w:rPr>
          <w:rFonts w:ascii="Verdana" w:hAnsi="Verdana"/>
          <w:bCs/>
          <w:sz w:val="20"/>
        </w:rPr>
        <w:t>iii.   Para efectos del seguimiento, informar sobre los resultados de las pruebas de comportamiento referidas en el artículo 63 de las presentes Disposiciones que se realicen a las FIBRAS o Certificados Bursátiles Vinculados a Proyectos Reales utilizando metodologías que consideren la información disponible a la fecha de las pruebas o, en su caso, las Sociedades de Inversión podrán utilizar Instrumentos Genéricos para realizar las pruebas a las que se refiere la presente fracción;</w:t>
      </w:r>
    </w:p>
    <w:p w:rsidR="00CA63EE" w:rsidRPr="00CA63EE" w:rsidRDefault="00CA63EE" w:rsidP="00CA63EE">
      <w:pPr>
        <w:jc w:val="both"/>
        <w:rPr>
          <w:rFonts w:ascii="Verdana" w:hAnsi="Verdana"/>
          <w:bCs/>
          <w:sz w:val="20"/>
        </w:rPr>
      </w:pPr>
      <w:r w:rsidRPr="00CA63EE">
        <w:rPr>
          <w:rFonts w:ascii="Verdana" w:hAnsi="Verdana"/>
          <w:bCs/>
          <w:sz w:val="20"/>
        </w:rPr>
        <w:t>iv.   Los costos y comisiones conocidas a favor del administrador de la estructura, del estructurador y demás participantes en la operación. El análisis deberá incluir el rendimiento que le corresponde al administrador o aquel que desempeñe funciones análogas de la FIBRA o Certificado Bursátil Vinculado a Proyectos Reales;</w:t>
      </w:r>
    </w:p>
    <w:p w:rsidR="00CA63EE" w:rsidRPr="00CA63EE" w:rsidRDefault="00CA63EE" w:rsidP="00CA63EE">
      <w:pPr>
        <w:jc w:val="both"/>
        <w:rPr>
          <w:rFonts w:ascii="Verdana" w:hAnsi="Verdana"/>
          <w:bCs/>
          <w:sz w:val="20"/>
        </w:rPr>
      </w:pPr>
      <w:r w:rsidRPr="00CA63EE">
        <w:rPr>
          <w:rFonts w:ascii="Verdana" w:hAnsi="Verdana"/>
          <w:bCs/>
          <w:sz w:val="20"/>
        </w:rPr>
        <w:t>v.    La fuente de recursos destinados al pago de los tenedores del instrumento y de la prelación de pago que les corresponda a cada clase de tenedores;</w:t>
      </w:r>
    </w:p>
    <w:p w:rsidR="00CA63EE" w:rsidRPr="00CA63EE" w:rsidRDefault="00CA63EE" w:rsidP="00CA63EE">
      <w:pPr>
        <w:jc w:val="both"/>
        <w:rPr>
          <w:rFonts w:ascii="Verdana" w:hAnsi="Verdana"/>
          <w:bCs/>
          <w:sz w:val="20"/>
        </w:rPr>
      </w:pPr>
      <w:r w:rsidRPr="00CA63EE">
        <w:rPr>
          <w:rFonts w:ascii="Verdana" w:hAnsi="Verdana"/>
          <w:bCs/>
          <w:sz w:val="20"/>
        </w:rPr>
        <w:lastRenderedPageBreak/>
        <w:t>vi.   La valuación de la FIBRA o Certificado Bursátil Vinculado a Proyectos Reales y su sensibilidad a los riesgos identificados conforme a lo dispuesto en el presente artículo, y</w:t>
      </w:r>
    </w:p>
    <w:p w:rsidR="00CA63EE" w:rsidRPr="00CA63EE" w:rsidRDefault="00CA63EE" w:rsidP="00CA63EE">
      <w:pPr>
        <w:jc w:val="both"/>
        <w:rPr>
          <w:rFonts w:ascii="Verdana" w:hAnsi="Verdana"/>
          <w:bCs/>
          <w:sz w:val="20"/>
        </w:rPr>
      </w:pPr>
      <w:r w:rsidRPr="00CA63EE">
        <w:rPr>
          <w:rFonts w:ascii="Verdana" w:hAnsi="Verdana"/>
          <w:bCs/>
          <w:sz w:val="20"/>
        </w:rPr>
        <w:t>vii.  La información de la metodología cuantitativa, parámetros y bases sobre las cuales se haya realizado el análisis.</w:t>
      </w:r>
    </w:p>
    <w:p w:rsidR="00CA63EE" w:rsidRPr="00CA63EE" w:rsidRDefault="00CA63EE" w:rsidP="00CA63EE">
      <w:pPr>
        <w:jc w:val="both"/>
        <w:rPr>
          <w:rFonts w:ascii="Verdana" w:hAnsi="Verdana"/>
          <w:bCs/>
          <w:sz w:val="20"/>
        </w:rPr>
      </w:pPr>
      <w:r w:rsidRPr="00CA63EE">
        <w:rPr>
          <w:rFonts w:ascii="Verdana" w:hAnsi="Verdana"/>
          <w:bCs/>
          <w:sz w:val="20"/>
        </w:rPr>
        <w:t xml:space="preserve">      El Responsable del Área de Inversiones deberá presentar al Comité de Inversión una opinión general sobre la conveniencia de la inversión en las FIBRAS o Certificados Bursátiles Vinculados a Proyectos Reales previstos en el apartado A de la presente fracción, previo a la aprobación del Comité de Inversión, así como manifestar su opinión sobre la información provista en los incisos ii. </w:t>
      </w:r>
      <w:proofErr w:type="gramStart"/>
      <w:r w:rsidRPr="00CA63EE">
        <w:rPr>
          <w:rFonts w:ascii="Verdana" w:hAnsi="Verdana"/>
          <w:bCs/>
          <w:sz w:val="20"/>
        </w:rPr>
        <w:t>y</w:t>
      </w:r>
      <w:proofErr w:type="gramEnd"/>
      <w:r w:rsidRPr="00CA63EE">
        <w:rPr>
          <w:rFonts w:ascii="Verdana" w:hAnsi="Verdana"/>
          <w:bCs/>
          <w:sz w:val="20"/>
        </w:rPr>
        <w:t xml:space="preserve"> iv. </w:t>
      </w:r>
      <w:proofErr w:type="gramStart"/>
      <w:r w:rsidRPr="00CA63EE">
        <w:rPr>
          <w:rFonts w:ascii="Verdana" w:hAnsi="Verdana"/>
          <w:bCs/>
          <w:sz w:val="20"/>
        </w:rPr>
        <w:t>del</w:t>
      </w:r>
      <w:proofErr w:type="gramEnd"/>
      <w:r w:rsidRPr="00CA63EE">
        <w:rPr>
          <w:rFonts w:ascii="Verdana" w:hAnsi="Verdana"/>
          <w:bCs/>
          <w:sz w:val="20"/>
        </w:rPr>
        <w:t xml:space="preserve"> apartado A de la presente fracción.</w:t>
      </w:r>
    </w:p>
    <w:p w:rsidR="00CA63EE" w:rsidRPr="00CA63EE" w:rsidRDefault="00CA63EE" w:rsidP="00CA63EE">
      <w:pPr>
        <w:jc w:val="both"/>
        <w:rPr>
          <w:rFonts w:ascii="Verdana" w:hAnsi="Verdana"/>
          <w:bCs/>
          <w:sz w:val="20"/>
        </w:rPr>
      </w:pPr>
      <w:r w:rsidRPr="00CA63EE">
        <w:rPr>
          <w:rFonts w:ascii="Verdana" w:hAnsi="Verdana"/>
          <w:bCs/>
          <w:sz w:val="20"/>
        </w:rPr>
        <w:t xml:space="preserve">      En caso de que no se cuente con precios de mercado o Factores de Riesgo para realizar el análisis solicitado en los incisos iii. </w:t>
      </w:r>
      <w:proofErr w:type="gramStart"/>
      <w:r w:rsidRPr="00CA63EE">
        <w:rPr>
          <w:rFonts w:ascii="Verdana" w:hAnsi="Verdana"/>
          <w:bCs/>
          <w:sz w:val="20"/>
        </w:rPr>
        <w:t>y</w:t>
      </w:r>
      <w:proofErr w:type="gramEnd"/>
      <w:r w:rsidRPr="00CA63EE">
        <w:rPr>
          <w:rFonts w:ascii="Verdana" w:hAnsi="Verdana"/>
          <w:bCs/>
          <w:sz w:val="20"/>
        </w:rPr>
        <w:t xml:space="preserve"> vi. </w:t>
      </w:r>
      <w:proofErr w:type="gramStart"/>
      <w:r w:rsidRPr="00CA63EE">
        <w:rPr>
          <w:rFonts w:ascii="Verdana" w:hAnsi="Verdana"/>
          <w:bCs/>
          <w:sz w:val="20"/>
        </w:rPr>
        <w:t>del</w:t>
      </w:r>
      <w:proofErr w:type="gramEnd"/>
      <w:r w:rsidRPr="00CA63EE">
        <w:rPr>
          <w:rFonts w:ascii="Verdana" w:hAnsi="Verdana"/>
          <w:bCs/>
          <w:sz w:val="20"/>
        </w:rPr>
        <w:t xml:space="preserve"> presente apartado se podrán utilizar Instrumentos Genéricos.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Las aprobaciones que otorgue el Comité de Inversión, para que las Sociedades de Inversión inviertan en FIBRAS o Certificados Bursátiles Vinculados a Proyectos Reales, de manera individual, deberán acordarse de manera expresa, contar con el voto favorable de la mayoría de los Consejeros Independientes que sean miembros de dicho Comité y constar en Acta Pormenorizada de la sesión del Comité de Inversión correspondiente que se presentó el análisis descrito en el apartado A de la presente fracción.</w:t>
      </w:r>
    </w:p>
    <w:p w:rsidR="00CA63EE" w:rsidRPr="00CA63EE" w:rsidRDefault="00CA63EE" w:rsidP="00CA63EE">
      <w:pPr>
        <w:jc w:val="both"/>
        <w:rPr>
          <w:rFonts w:ascii="Verdana" w:hAnsi="Verdana"/>
          <w:bCs/>
          <w:sz w:val="20"/>
        </w:rPr>
      </w:pPr>
      <w:r w:rsidRPr="00CA63EE">
        <w:rPr>
          <w:rFonts w:ascii="Verdana" w:hAnsi="Verdana"/>
          <w:bCs/>
          <w:sz w:val="20"/>
        </w:rPr>
        <w:t xml:space="preserve">      Las Sociedades de Inversión únicamente podrán adquirir FIBRAS o Certificados Bursátiles Vinculados a Proyectos Reales, que satisfagan los criterios establecidos en las políticas generales de inversión para estos instrumentos, aprobadas por el Comité de Inversión de las Sociedades de Inversión. Dichas políticas deberán abarcar los aspectos a que se refieren los incisos i. a vii. </w:t>
      </w:r>
      <w:proofErr w:type="gramStart"/>
      <w:r w:rsidRPr="00CA63EE">
        <w:rPr>
          <w:rFonts w:ascii="Verdana" w:hAnsi="Verdana"/>
          <w:bCs/>
          <w:sz w:val="20"/>
        </w:rPr>
        <w:t>del</w:t>
      </w:r>
      <w:proofErr w:type="gramEnd"/>
      <w:r w:rsidRPr="00CA63EE">
        <w:rPr>
          <w:rFonts w:ascii="Verdana" w:hAnsi="Verdana"/>
          <w:bCs/>
          <w:sz w:val="20"/>
        </w:rPr>
        <w:t xml:space="preserve"> apartado A de la presente fracción y ser </w:t>
      </w:r>
      <w:proofErr w:type="spellStart"/>
      <w:r w:rsidRPr="00CA63EE">
        <w:rPr>
          <w:rFonts w:ascii="Verdana" w:hAnsi="Verdana"/>
          <w:bCs/>
          <w:sz w:val="20"/>
        </w:rPr>
        <w:t>aprobadascumpliendo</w:t>
      </w:r>
      <w:proofErr w:type="spellEnd"/>
      <w:r w:rsidRPr="00CA63EE">
        <w:rPr>
          <w:rFonts w:ascii="Verdana" w:hAnsi="Verdana"/>
          <w:bCs/>
          <w:sz w:val="20"/>
        </w:rPr>
        <w:t xml:space="preserve"> con las formalidades a que se refiere el párrafo anterior.</w:t>
      </w:r>
    </w:p>
    <w:p w:rsidR="00CA63EE" w:rsidRPr="00CA63EE" w:rsidRDefault="00CA63EE" w:rsidP="00CA63EE">
      <w:pPr>
        <w:jc w:val="both"/>
        <w:rPr>
          <w:rFonts w:ascii="Verdana" w:hAnsi="Verdana"/>
          <w:bCs/>
          <w:sz w:val="20"/>
        </w:rPr>
      </w:pPr>
      <w:r w:rsidRPr="00CA63EE">
        <w:rPr>
          <w:rFonts w:ascii="Verdana" w:hAnsi="Verdana"/>
          <w:bCs/>
          <w:sz w:val="20"/>
        </w:rPr>
        <w:t>B.   Para los Instrumentos Estructurados, el Responsable del Área de Inversiones deberá someter a consideración del Comité de Inversión la propuesta de inversión en el Instrumento Estructurado en que pretende invertir considerando lo siguiente:</w:t>
      </w:r>
    </w:p>
    <w:p w:rsidR="00CA63EE" w:rsidRPr="00CA63EE" w:rsidRDefault="00CA63EE" w:rsidP="00CA63EE">
      <w:pPr>
        <w:jc w:val="both"/>
        <w:rPr>
          <w:rFonts w:ascii="Verdana" w:hAnsi="Verdana"/>
          <w:bCs/>
          <w:sz w:val="20"/>
        </w:rPr>
      </w:pPr>
      <w:r w:rsidRPr="00CA63EE">
        <w:rPr>
          <w:rFonts w:ascii="Verdana" w:hAnsi="Verdana"/>
          <w:bCs/>
          <w:sz w:val="20"/>
        </w:rPr>
        <w:t>i.    La información adicional a la requerida en las presentes Disposiciones que se haya hecho del conocimiento de los inversionistas por el administrador, así como el valuador independiente del Instrumento Estructurado;</w:t>
      </w:r>
    </w:p>
    <w:p w:rsidR="00CA63EE" w:rsidRPr="00CA63EE" w:rsidRDefault="00CA63EE" w:rsidP="00CA63EE">
      <w:pPr>
        <w:jc w:val="both"/>
        <w:rPr>
          <w:rFonts w:ascii="Verdana" w:hAnsi="Verdana"/>
          <w:bCs/>
          <w:sz w:val="20"/>
        </w:rPr>
      </w:pPr>
      <w:r w:rsidRPr="00CA63EE">
        <w:rPr>
          <w:rFonts w:ascii="Verdana" w:hAnsi="Verdana"/>
          <w:bCs/>
          <w:sz w:val="20"/>
        </w:rPr>
        <w:t>ii.    El contenido del cuestionario referido en el Anexo B, Capítulo II que permita evaluar las políticas definidas en los distintos conceptos de los Instrumentos Estructurados;</w:t>
      </w:r>
    </w:p>
    <w:p w:rsidR="00CA63EE" w:rsidRPr="00CA63EE" w:rsidRDefault="00CA63EE" w:rsidP="00CA63EE">
      <w:pPr>
        <w:jc w:val="both"/>
        <w:rPr>
          <w:rFonts w:ascii="Verdana" w:hAnsi="Verdana"/>
          <w:bCs/>
          <w:sz w:val="20"/>
        </w:rPr>
      </w:pPr>
      <w:r w:rsidRPr="00CA63EE">
        <w:rPr>
          <w:rFonts w:ascii="Verdana" w:hAnsi="Verdana"/>
          <w:bCs/>
          <w:sz w:val="20"/>
        </w:rPr>
        <w:lastRenderedPageBreak/>
        <w:t>iii.   El cumplimiento de las políticas definidas en el artículo 30, fracción II, inciso a) con base en la información recabada en el Anexo B, Capítulo I de las presentes Disposiciones aplicables a este tipo de Instrumentos Estructurados;</w:t>
      </w:r>
    </w:p>
    <w:p w:rsidR="00CA63EE" w:rsidRPr="00CA63EE" w:rsidRDefault="00CA63EE" w:rsidP="00CA63EE">
      <w:pPr>
        <w:jc w:val="both"/>
        <w:rPr>
          <w:rFonts w:ascii="Verdana" w:hAnsi="Verdana"/>
          <w:bCs/>
          <w:sz w:val="20"/>
        </w:rPr>
      </w:pPr>
      <w:r w:rsidRPr="00CA63EE">
        <w:rPr>
          <w:rFonts w:ascii="Verdana" w:hAnsi="Verdana"/>
          <w:bCs/>
          <w:sz w:val="20"/>
        </w:rPr>
        <w:t>iv.   Cada uno de los activos que en su caso integren el Instrumento Estructurado, de conformidad con las inversiones que revele el administrador, y respecto al plan de inversión del instrumento en cuestión;</w:t>
      </w:r>
    </w:p>
    <w:p w:rsidR="00CA63EE" w:rsidRPr="00CA63EE" w:rsidRDefault="00CA63EE" w:rsidP="00CA63EE">
      <w:pPr>
        <w:jc w:val="both"/>
        <w:rPr>
          <w:rFonts w:ascii="Verdana" w:hAnsi="Verdana"/>
          <w:bCs/>
          <w:sz w:val="20"/>
        </w:rPr>
      </w:pPr>
      <w:r w:rsidRPr="00CA63EE">
        <w:rPr>
          <w:rFonts w:ascii="Verdana" w:hAnsi="Verdana"/>
          <w:bCs/>
          <w:sz w:val="20"/>
        </w:rPr>
        <w:t>v.    Para efectos del seguimiento informar sobre Factores de Riesgo, sensibilidades y escenarios que provea periódicamente el administrador o bien el valuador independiente del instrumento en cuestión;</w:t>
      </w:r>
    </w:p>
    <w:p w:rsidR="00CA63EE" w:rsidRPr="00CA63EE" w:rsidRDefault="00CA63EE" w:rsidP="00CA63EE">
      <w:pPr>
        <w:jc w:val="both"/>
        <w:rPr>
          <w:rFonts w:ascii="Verdana" w:hAnsi="Verdana"/>
          <w:bCs/>
          <w:sz w:val="20"/>
        </w:rPr>
      </w:pPr>
      <w:r w:rsidRPr="00CA63EE">
        <w:rPr>
          <w:rFonts w:ascii="Verdana" w:hAnsi="Verdana"/>
          <w:bCs/>
          <w:sz w:val="20"/>
        </w:rPr>
        <w:t>vi.   Los costos y comisiones conocidas a favor del administrador de la estructura y demás participantes en la operación. En su caso, la subordinación del pago de las comisiones aplicables al administrador a la distribución del rendimiento entre los inversionistas de conformidad con lo previsto en el artículo 30, fracción IX de las presentes disposiciones. Dentro del análisis se debe verificar el rendimiento que le corresponde al administrador del Instrumento Estructurado;</w:t>
      </w:r>
    </w:p>
    <w:p w:rsidR="00CA63EE" w:rsidRPr="00CA63EE" w:rsidRDefault="00CA63EE" w:rsidP="00CA63EE">
      <w:pPr>
        <w:jc w:val="both"/>
        <w:rPr>
          <w:rFonts w:ascii="Verdana" w:hAnsi="Verdana"/>
          <w:bCs/>
          <w:sz w:val="20"/>
        </w:rPr>
      </w:pPr>
      <w:r w:rsidRPr="00CA63EE">
        <w:rPr>
          <w:rFonts w:ascii="Verdana" w:hAnsi="Verdana"/>
          <w:bCs/>
          <w:sz w:val="20"/>
        </w:rPr>
        <w:t>vii.  En su caso de que tengan llamadas de capital, para efectos del seguimiento informar sobre los factores de riesgo asociados con el mecanismo de las llamadas de capital, de manera enunciativa más no limitativa, la afectación generada en los rendimientos, en el plan de negocio o en el calendario de inversiones debido al incumplimiento de los inversionistas del instrumento de dichas llamadas;</w:t>
      </w:r>
    </w:p>
    <w:p w:rsidR="00CA63EE" w:rsidRPr="00CA63EE" w:rsidRDefault="00CA63EE" w:rsidP="00CA63EE">
      <w:pPr>
        <w:jc w:val="both"/>
        <w:rPr>
          <w:rFonts w:ascii="Verdana" w:hAnsi="Verdana"/>
          <w:bCs/>
          <w:sz w:val="20"/>
        </w:rPr>
      </w:pPr>
      <w:r w:rsidRPr="00CA63EE">
        <w:rPr>
          <w:rFonts w:ascii="Verdana" w:hAnsi="Verdana"/>
          <w:bCs/>
          <w:sz w:val="20"/>
        </w:rPr>
        <w:t>viii.  El manejo de la liquidez del instrumento, de manera enunciativa más no limitativa, los tipos de activos financieros en los que se podrá mantener el efectivo que forme parte del patrimonio del fideicomiso de conformidad con los criterios aprobados por el Comité de Análisis de Riesgos, así como el destino o los sistemas de administración del efectivo proveniente de las llamadas de capital, y</w:t>
      </w:r>
    </w:p>
    <w:p w:rsidR="00CA63EE" w:rsidRPr="00CA63EE" w:rsidRDefault="00CA63EE" w:rsidP="00CA63EE">
      <w:pPr>
        <w:jc w:val="both"/>
        <w:rPr>
          <w:rFonts w:ascii="Verdana" w:hAnsi="Verdana"/>
          <w:bCs/>
          <w:sz w:val="20"/>
        </w:rPr>
      </w:pPr>
      <w:r w:rsidRPr="00CA63EE">
        <w:rPr>
          <w:rFonts w:ascii="Verdana" w:hAnsi="Verdana"/>
          <w:bCs/>
          <w:sz w:val="20"/>
        </w:rPr>
        <w:t>ix.   La fuente de recursos destinados al pago a los tenedores del Instrumento Estructurado y de la prelación de pago que les corresponda a cada clase de tenedores.</w:t>
      </w:r>
    </w:p>
    <w:p w:rsidR="00CA63EE" w:rsidRPr="00CA63EE" w:rsidRDefault="00CA63EE" w:rsidP="00CA63EE">
      <w:pPr>
        <w:jc w:val="both"/>
        <w:rPr>
          <w:rFonts w:ascii="Verdana" w:hAnsi="Verdana"/>
          <w:bCs/>
          <w:sz w:val="20"/>
        </w:rPr>
      </w:pPr>
      <w:r w:rsidRPr="00CA63EE">
        <w:rPr>
          <w:rFonts w:ascii="Verdana" w:hAnsi="Verdana"/>
          <w:bCs/>
          <w:sz w:val="20"/>
        </w:rPr>
        <w:t xml:space="preserve">El Responsable del Área de Inversiones deberá presentar al Comité de Inversión una opinión general sobre la conveniencia de la inversión en los Instrumentos Estructurados, previo a la aprobación del Comité de Inversión así como manifestar su opinión sobre la información recabada para satisfacer los contenidos del artículo 30, fracción II, inciso a), numerales i., i bis., ii., iii. </w:t>
      </w:r>
      <w:proofErr w:type="gramStart"/>
      <w:r w:rsidRPr="00CA63EE">
        <w:rPr>
          <w:rFonts w:ascii="Verdana" w:hAnsi="Verdana"/>
          <w:bCs/>
          <w:sz w:val="20"/>
        </w:rPr>
        <w:t>y</w:t>
      </w:r>
      <w:proofErr w:type="gramEnd"/>
      <w:r w:rsidRPr="00CA63EE">
        <w:rPr>
          <w:rFonts w:ascii="Verdana" w:hAnsi="Verdana"/>
          <w:bCs/>
          <w:sz w:val="20"/>
        </w:rPr>
        <w:t xml:space="preserve"> iv. </w:t>
      </w:r>
      <w:proofErr w:type="gramStart"/>
      <w:r w:rsidRPr="00CA63EE">
        <w:rPr>
          <w:rFonts w:ascii="Verdana" w:hAnsi="Verdana"/>
          <w:bCs/>
          <w:sz w:val="20"/>
        </w:rPr>
        <w:t>de</w:t>
      </w:r>
      <w:proofErr w:type="gramEnd"/>
      <w:r w:rsidRPr="00CA63EE">
        <w:rPr>
          <w:rFonts w:ascii="Verdana" w:hAnsi="Verdana"/>
          <w:bCs/>
          <w:sz w:val="20"/>
        </w:rPr>
        <w:t xml:space="preserv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Las aprobaciones que otorgue el Comité de Inversión, para que las Sociedades de Inversión inviertan en Instrumentos Estructurados, de manera individual, deberán acordarse de manera expresa, contar con el voto favorable de la mayoría de los Consejeros Independientes que sean miembros de dicho comité y constar en Acta Pormenorizada que en la sesión del Comité de Inversión correspondiente se presentó el análisis descrito en el apartado B de la presente fracción.</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Las Sociedades de Inversión únicamente podrán adquirir Instrumentos Estructurados que satisfagan los criterios establecidos en políticas generales de inversión para estos instrumentos aprobadas por el Comité de Inversión. Dichas políticas deberán abarcar los aspectos a que se refieren los incisos i. a ix. </w:t>
      </w:r>
      <w:proofErr w:type="gramStart"/>
      <w:r w:rsidRPr="00CA63EE">
        <w:rPr>
          <w:rFonts w:ascii="Verdana" w:hAnsi="Verdana"/>
          <w:bCs/>
          <w:sz w:val="20"/>
        </w:rPr>
        <w:t>del</w:t>
      </w:r>
      <w:proofErr w:type="gramEnd"/>
      <w:r w:rsidRPr="00CA63EE">
        <w:rPr>
          <w:rFonts w:ascii="Verdana" w:hAnsi="Verdana"/>
          <w:bCs/>
          <w:sz w:val="20"/>
        </w:rPr>
        <w:t xml:space="preserve"> apartado B de la presente fracción y ser aprobadas cumpliendo con las formalidades a que se refiere el párrafo anterior.</w:t>
      </w:r>
    </w:p>
    <w:p w:rsidR="00CA63EE" w:rsidRPr="00CA63EE" w:rsidRDefault="00CA63EE" w:rsidP="00CA63EE">
      <w:pPr>
        <w:jc w:val="both"/>
        <w:rPr>
          <w:rFonts w:ascii="Verdana" w:hAnsi="Verdana"/>
          <w:bCs/>
          <w:sz w:val="20"/>
        </w:rPr>
      </w:pPr>
      <w:r w:rsidRPr="00CA63EE">
        <w:rPr>
          <w:rFonts w:ascii="Verdana" w:hAnsi="Verdana"/>
          <w:bCs/>
          <w:sz w:val="20"/>
        </w:rPr>
        <w:t>Para dar cumplimiento con los análisis, estudios o propuestas de inversión previstos en la presente fracción, la Administradora deberá definir como responsable al Comité de Inversión o al Comité de Riesgos Financieros. En caso de que la Administradora defina al Comité de Inversión, éste deberá:</w:t>
      </w:r>
    </w:p>
    <w:p w:rsidR="00CA63EE" w:rsidRPr="00CA63EE" w:rsidRDefault="00CA63EE" w:rsidP="00CA63EE">
      <w:pPr>
        <w:jc w:val="both"/>
        <w:rPr>
          <w:rFonts w:ascii="Verdana" w:hAnsi="Verdana"/>
          <w:bCs/>
          <w:sz w:val="20"/>
        </w:rPr>
      </w:pPr>
      <w:r w:rsidRPr="00CA63EE">
        <w:rPr>
          <w:rFonts w:ascii="Verdana" w:hAnsi="Verdana"/>
          <w:bCs/>
          <w:sz w:val="20"/>
        </w:rPr>
        <w:t>1.1. Designar al Funcionario del área de inversiones responsable de dar cumplimiento a los análisis, estudios o propuestas de inversión previstos en la presente fracción, y</w:t>
      </w:r>
    </w:p>
    <w:p w:rsidR="00CA63EE" w:rsidRPr="00CA63EE" w:rsidRDefault="00CA63EE" w:rsidP="00CA63EE">
      <w:pPr>
        <w:jc w:val="both"/>
        <w:rPr>
          <w:rFonts w:ascii="Verdana" w:hAnsi="Verdana"/>
          <w:bCs/>
          <w:sz w:val="20"/>
        </w:rPr>
      </w:pPr>
      <w:r w:rsidRPr="00CA63EE">
        <w:rPr>
          <w:rFonts w:ascii="Verdana" w:hAnsi="Verdana"/>
          <w:bCs/>
          <w:sz w:val="20"/>
        </w:rPr>
        <w:t>1.2. Verificar que la designación y las actividades a realizar se incluyan en el Manual de Inversión.</w:t>
      </w:r>
    </w:p>
    <w:p w:rsidR="00CA63EE" w:rsidRPr="00CA63EE" w:rsidRDefault="00CA63EE" w:rsidP="00CA63EE">
      <w:pPr>
        <w:jc w:val="both"/>
        <w:rPr>
          <w:rFonts w:ascii="Verdana" w:hAnsi="Verdana"/>
          <w:bCs/>
          <w:sz w:val="20"/>
        </w:rPr>
      </w:pPr>
      <w:r w:rsidRPr="00CA63EE">
        <w:rPr>
          <w:rFonts w:ascii="Verdana" w:hAnsi="Verdana"/>
          <w:bCs/>
          <w:sz w:val="20"/>
        </w:rPr>
        <w:t>II.          Los Instrumentos Estructurados a que se refieren el inciso a) de la disposición Segunda, fracción LI de las Disposiciones de carácter general que establecen el régimen de inversión al que deberán sujetarse las Sociedades de Inversión, las FIBRAS y los Certificados Bursátiles Vinculados a Proyectos Reales podrán adquirirse de conformidad con lo previsto en el artículo 30, fracción VI de las presentes Disposiciones, a través de programas de inversión que deberán ser previamente aprobados por el Comité de Inversión y que adicionalmente satisfagan:</w:t>
      </w:r>
    </w:p>
    <w:p w:rsidR="00CA63EE" w:rsidRPr="00CA63EE" w:rsidRDefault="00CA63EE" w:rsidP="00CA63EE">
      <w:pPr>
        <w:jc w:val="both"/>
        <w:rPr>
          <w:rFonts w:ascii="Verdana" w:hAnsi="Verdana"/>
          <w:bCs/>
          <w:sz w:val="20"/>
        </w:rPr>
      </w:pPr>
      <w:r w:rsidRPr="00CA63EE">
        <w:rPr>
          <w:rFonts w:ascii="Verdana" w:hAnsi="Verdana"/>
          <w:bCs/>
          <w:sz w:val="20"/>
        </w:rPr>
        <w:t>A.   Que el programa sea aprobado de manera expresa y cuente con el voto favorable de la mayoría de los Consejeros Independientes que sean miembros de dicho Comité y constar en las Actas Pormenorizadas de la sesión correspondiente;</w:t>
      </w:r>
    </w:p>
    <w:p w:rsidR="00CA63EE" w:rsidRPr="00CA63EE" w:rsidRDefault="00CA63EE" w:rsidP="00CA63EE">
      <w:pPr>
        <w:jc w:val="both"/>
        <w:rPr>
          <w:rFonts w:ascii="Verdana" w:hAnsi="Verdana"/>
          <w:bCs/>
          <w:sz w:val="20"/>
        </w:rPr>
      </w:pPr>
      <w:r w:rsidRPr="00CA63EE">
        <w:rPr>
          <w:rFonts w:ascii="Verdana" w:hAnsi="Verdana"/>
          <w:bCs/>
          <w:sz w:val="20"/>
        </w:rPr>
        <w:t xml:space="preserve">B.   Los programas deberán abarcar los aspectos a que se refiere el apartado A de la fracción I anterior, cuando incluyan FIBRAS y Certificados Bursátiles Vinculados a Proyectos Reales o el apartado B de la fracción I anterior, cuando incluyan los Instrumentos Estructurados a los que se refiere el inciso a) de la disposición Segunda, fracción LI de las Disposiciones de carácter general que establecen el régimen de inversión al que deberán sujetarse las Sociedades de Inversión. Los análisis antes referidos deberán estar a disposición de </w:t>
      </w:r>
      <w:proofErr w:type="spellStart"/>
      <w:r w:rsidRPr="00CA63EE">
        <w:rPr>
          <w:rFonts w:ascii="Verdana" w:hAnsi="Verdana"/>
          <w:bCs/>
          <w:sz w:val="20"/>
        </w:rPr>
        <w:t>laComisión</w:t>
      </w:r>
      <w:proofErr w:type="spellEnd"/>
      <w:r w:rsidRPr="00CA63EE">
        <w:rPr>
          <w:rFonts w:ascii="Verdana" w:hAnsi="Verdana"/>
          <w:bCs/>
          <w:sz w:val="20"/>
        </w:rPr>
        <w:t>, y</w:t>
      </w:r>
    </w:p>
    <w:p w:rsidR="00CA63EE" w:rsidRPr="00CA63EE" w:rsidRDefault="00CA63EE" w:rsidP="00CA63EE">
      <w:pPr>
        <w:jc w:val="both"/>
        <w:rPr>
          <w:rFonts w:ascii="Verdana" w:hAnsi="Verdana"/>
          <w:bCs/>
          <w:sz w:val="20"/>
        </w:rPr>
      </w:pPr>
      <w:r w:rsidRPr="00CA63EE">
        <w:rPr>
          <w:rFonts w:ascii="Verdana" w:hAnsi="Verdana"/>
          <w:bCs/>
          <w:sz w:val="20"/>
        </w:rPr>
        <w:t xml:space="preserve">C.   Las inversiones en Instrumentos Estructurados a los que se refiere la presente fracción, FIBRAS y Certificados Bursátiles Vinculados a Proyectos Reales realizadas a través de programas de inversión no estarán obligadas a presentarse a los Comités de Inversión previo a su adquisición. Los resultados de los análisis previstos en los apartados A y B de la fracción I anterior, deberán presentarse al Comité de Inversión en la sesión </w:t>
      </w:r>
      <w:proofErr w:type="spellStart"/>
      <w:r w:rsidRPr="00CA63EE">
        <w:rPr>
          <w:rFonts w:ascii="Verdana" w:hAnsi="Verdana"/>
          <w:bCs/>
          <w:sz w:val="20"/>
        </w:rPr>
        <w:t>inmediataposterior</w:t>
      </w:r>
      <w:proofErr w:type="spellEnd"/>
      <w:r w:rsidRPr="00CA63EE">
        <w:rPr>
          <w:rFonts w:ascii="Verdana" w:hAnsi="Verdana"/>
          <w:bCs/>
          <w:sz w:val="20"/>
        </w:rPr>
        <w:t xml:space="preserve"> a la fecha de adquisición del Instrumento Estructurado, FIBRA o Certificado Bursátil Vinculados a Proyectos Reales.</w:t>
      </w:r>
    </w:p>
    <w:p w:rsidR="00CA63EE" w:rsidRPr="00CA63EE" w:rsidRDefault="00CA63EE" w:rsidP="00CA63EE">
      <w:pPr>
        <w:jc w:val="both"/>
        <w:rPr>
          <w:rFonts w:ascii="Verdana" w:hAnsi="Verdana"/>
          <w:bCs/>
          <w:sz w:val="20"/>
        </w:rPr>
      </w:pPr>
      <w:r w:rsidRPr="00CA63EE">
        <w:rPr>
          <w:rFonts w:ascii="Verdana" w:hAnsi="Verdana"/>
          <w:bCs/>
          <w:sz w:val="20"/>
        </w:rPr>
        <w:lastRenderedPageBreak/>
        <w:t>III.          Para inversiones subsecuentes en un mismo Instrumento Estructurado, FIBRA o Certificado Bursátil Vinculado a Proyectos Reales no serán aplicables las fracciones I y II del presente artículo, y</w:t>
      </w:r>
    </w:p>
    <w:p w:rsidR="00CA63EE" w:rsidRPr="00CA63EE" w:rsidRDefault="00CA63EE" w:rsidP="00CA63EE">
      <w:pPr>
        <w:jc w:val="both"/>
        <w:rPr>
          <w:rFonts w:ascii="Verdana" w:hAnsi="Verdana"/>
          <w:bCs/>
          <w:sz w:val="20"/>
        </w:rPr>
      </w:pPr>
      <w:r w:rsidRPr="00CA63EE">
        <w:rPr>
          <w:rFonts w:ascii="Verdana" w:hAnsi="Verdana"/>
          <w:bCs/>
          <w:sz w:val="20"/>
        </w:rPr>
        <w:t>IV.         De conformidad con el artículo 30, penúltimo párrafo de las presentes Disposiciones, el Responsable del Área de Inversiones, o quien este designe, deberá dar seguimiento al Instrumento Estructurado, FIBRA o Certificado Bursátil Vinculado a Proyectos Reales y a los activos que en su caso lo integren, así como entregar al Comité de Inversión los resultados del análisis previsto en el apartado A de la fracción I del presente artículo, cuando se trate de FIBRAS y Certificados Bursátiles Vinculados a Proyectos Reales, o a lo previsto en el apartado B de la fracción I del presente artículo, cuando se trate de Instrumentos Estructurados. Dichos análisis deberán estar a disposición de la Comisión.</w:t>
      </w:r>
    </w:p>
    <w:p w:rsidR="00CA63EE" w:rsidRPr="00CA63EE" w:rsidRDefault="00CA63EE" w:rsidP="00CA63EE">
      <w:pPr>
        <w:jc w:val="both"/>
        <w:rPr>
          <w:rFonts w:ascii="Verdana" w:hAnsi="Verdana"/>
          <w:bCs/>
          <w:sz w:val="20"/>
        </w:rPr>
      </w:pPr>
      <w:r w:rsidRPr="00CA63EE">
        <w:rPr>
          <w:rFonts w:ascii="Verdana" w:hAnsi="Verdana"/>
          <w:b/>
          <w:bCs/>
          <w:sz w:val="20"/>
        </w:rPr>
        <w:t>Artículo 140.- </w:t>
      </w:r>
      <w:r w:rsidRPr="00CA63EE">
        <w:rPr>
          <w:rFonts w:ascii="Verdana" w:hAnsi="Verdana"/>
          <w:bCs/>
          <w:sz w:val="20"/>
        </w:rPr>
        <w:t>Los Operadores de las Sociedades de Inversión a cargo de la compra y venta de Instrumentos Estructurados, así como un Funcionario de la UAIR y uno de la contraloría normativa, deberán ser certificados por alguno de los terceros independientes que al efecto designe la Comisión. Las certificaciones referidas en el presente artículo, tendrán la vigencia referida en el Anexo J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TÍTULO XI</w:t>
      </w:r>
    </w:p>
    <w:p w:rsidR="00CA63EE" w:rsidRPr="00CA63EE" w:rsidRDefault="00CA63EE" w:rsidP="00CA63EE">
      <w:pPr>
        <w:jc w:val="both"/>
        <w:rPr>
          <w:rFonts w:ascii="Verdana" w:hAnsi="Verdana"/>
          <w:bCs/>
          <w:sz w:val="20"/>
        </w:rPr>
      </w:pPr>
      <w:r w:rsidRPr="00CA63EE">
        <w:rPr>
          <w:rFonts w:ascii="Verdana" w:hAnsi="Verdana"/>
          <w:b/>
          <w:bCs/>
          <w:sz w:val="20"/>
        </w:rPr>
        <w:t>DEL INCUMPLIMIENTO AL RÉGIMEN DE INVERSIÓN Y A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Artículo 141.-</w:t>
      </w:r>
      <w:r w:rsidRPr="00CA63EE">
        <w:rPr>
          <w:rFonts w:ascii="Verdana" w:hAnsi="Verdana"/>
          <w:bCs/>
          <w:sz w:val="20"/>
        </w:rPr>
        <w:t> Para determinar el cumplimiento de los límites del régimen de inversión, las Sociedades de Inversión deberán utilizar los precios, el Diferencial del Valor en Riesgo Condicional, en su caso el Valor en Riesgo que le sean proporcionados por el Proveedor de Precios, el Custodio o la Sociedad Valuadora que tengan contratados, según corresponda al tipo de Activo Objeto de Inversión de que se trate o, en su caso, los determinados por la propia Administradora.</w:t>
      </w:r>
    </w:p>
    <w:p w:rsidR="00CA63EE" w:rsidRPr="00CA63EE" w:rsidRDefault="00CA63EE" w:rsidP="00CA63EE">
      <w:pPr>
        <w:jc w:val="both"/>
        <w:rPr>
          <w:rFonts w:ascii="Verdana" w:hAnsi="Verdana"/>
          <w:bCs/>
          <w:sz w:val="20"/>
        </w:rPr>
      </w:pPr>
      <w:r w:rsidRPr="00CA63EE">
        <w:rPr>
          <w:rFonts w:ascii="Verdana" w:hAnsi="Verdana"/>
          <w:bCs/>
          <w:sz w:val="20"/>
        </w:rPr>
        <w:t>Para efectos del cómputo de posiciones en Divisas que en su caso mantenga la cartera de inversión que conforma el Activo Total de la Sociedad de Inversión se sujetará a los criterios definidos en el Anexo E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Para efectos del cómputo de posiciones en Valores Extranjeros que en su caso mantenga la cartera de inversión que conforma el Activo Total de la Sociedad de Inversión se sujetará a los criterios definidos en el Anexo F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Para efectos del cómputo de límites aplicables a las Contrapartes que debe observar el Activo Administrado por la Sociedad de Inversión, o en su caso el Activo Administrado por el Mandatario, se sujetará a los criterios definidos en el Anexo G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Para efectos del cómputo de las posiciones de operaciones de Derivados sobre UDIS o en su caso sobre variables que brinden protección inflacionaria de la cartera de inversión que conforma el Activo Total de la Sociedad de Inversión se sujetará a los criterios definidos en el Anexo H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Para efectos del cómputo de las posiciones en Mercancías de la cartera de inversión que conforma el Activo Total de la Sociedad de Inversión se sujetará a los criterios definidos en el Anexo 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Para efectos del cómputo de los límites aplicables al Activo Administrado por la Sociedad de Inversión referentes al parámetro conocido como Diferencial del Valor en Riesgo Condicional o en su caso el Valor en Riesgo, se sujetará a los criterios definidos en el Anexo L de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Para efectos del cómputo de los límites aplicables al Activo Total de la Sociedad de Inversión referentes a los límites máximos autorizados en inversiones en Componentes de Renta Variable, FIBRAS y Vehículos de Inversión Inmobiliaria, se sujetará a los criterios definidos en el Anexo N de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Para efectos del cómputo de los límites aplicables a la cartera de inversión del Activo Administrado por la Sociedad de Inversión referentes al Coeficiente de Liquidez se sujetará a los criterios definidos en el Anexo N de las presentes Disposiciones.</w:t>
      </w:r>
    </w:p>
    <w:p w:rsidR="00CA63EE" w:rsidRPr="00CA63EE" w:rsidRDefault="00CA63EE" w:rsidP="00CA63EE">
      <w:pPr>
        <w:jc w:val="both"/>
        <w:rPr>
          <w:rFonts w:ascii="Verdana" w:hAnsi="Verdana"/>
          <w:bCs/>
          <w:sz w:val="20"/>
        </w:rPr>
      </w:pPr>
      <w:r w:rsidRPr="00CA63EE">
        <w:rPr>
          <w:rFonts w:ascii="Verdana" w:hAnsi="Verdana"/>
          <w:b/>
          <w:bCs/>
          <w:sz w:val="20"/>
        </w:rPr>
        <w:t>TÍTULO XII</w:t>
      </w:r>
    </w:p>
    <w:p w:rsidR="00CA63EE" w:rsidRPr="00CA63EE" w:rsidRDefault="00CA63EE" w:rsidP="00CA63EE">
      <w:pPr>
        <w:jc w:val="both"/>
        <w:rPr>
          <w:rFonts w:ascii="Verdana" w:hAnsi="Verdana"/>
          <w:bCs/>
          <w:sz w:val="20"/>
        </w:rPr>
      </w:pPr>
      <w:r w:rsidRPr="00CA63EE">
        <w:rPr>
          <w:rFonts w:ascii="Verdana" w:hAnsi="Verdana"/>
          <w:b/>
          <w:bCs/>
          <w:sz w:val="20"/>
        </w:rPr>
        <w:t>DE LA RECOMPOSICIÓN DE CARTERA DE LAS SOCIEDADES DE INVERSIÓN ESPECIALIZADAS DE</w:t>
      </w:r>
      <w:r w:rsidRPr="00CA63EE">
        <w:rPr>
          <w:rFonts w:ascii="Verdana" w:hAnsi="Verdana"/>
          <w:bCs/>
          <w:sz w:val="20"/>
        </w:rPr>
        <w:br/>
      </w:r>
      <w:r w:rsidRPr="00CA63EE">
        <w:rPr>
          <w:rFonts w:ascii="Verdana" w:hAnsi="Verdana"/>
          <w:b/>
          <w:bCs/>
          <w:sz w:val="20"/>
        </w:rPr>
        <w:t>FONDOS PARA EL RETIRO</w:t>
      </w:r>
    </w:p>
    <w:p w:rsidR="00CA63EE" w:rsidRPr="00CA63EE" w:rsidRDefault="00CA63EE" w:rsidP="00CA63EE">
      <w:pPr>
        <w:jc w:val="both"/>
        <w:rPr>
          <w:rFonts w:ascii="Verdana" w:hAnsi="Verdana"/>
          <w:bCs/>
          <w:sz w:val="20"/>
        </w:rPr>
      </w:pPr>
      <w:r w:rsidRPr="00CA63EE">
        <w:rPr>
          <w:rFonts w:ascii="Verdana" w:hAnsi="Verdana"/>
          <w:b/>
          <w:bCs/>
          <w:sz w:val="20"/>
        </w:rPr>
        <w:t>Artículo 142.- </w:t>
      </w:r>
      <w:r w:rsidRPr="00CA63EE">
        <w:rPr>
          <w:rFonts w:ascii="Verdana" w:hAnsi="Verdana"/>
          <w:bCs/>
          <w:sz w:val="20"/>
        </w:rPr>
        <w:t>Cuando</w:t>
      </w:r>
      <w:r w:rsidRPr="00CA63EE">
        <w:rPr>
          <w:rFonts w:ascii="Verdana" w:hAnsi="Verdana"/>
          <w:b/>
          <w:bCs/>
          <w:sz w:val="20"/>
        </w:rPr>
        <w:t> </w:t>
      </w:r>
      <w:r w:rsidRPr="00CA63EE">
        <w:rPr>
          <w:rFonts w:ascii="Verdana" w:hAnsi="Verdana"/>
          <w:bCs/>
          <w:sz w:val="20"/>
        </w:rPr>
        <w:t>las Sociedades de Inversión no cubran, o excedan, los límites previstos en el Régimen de Inversión Autorizado, o adquieran activos no permitidos por dicho régimen con el Activo Total de la Sociedad de Inversión, deberán recomponer su cartera. Las Sociedades de Inversión deberán realizar dicha recomposición y en su caso instruir a los Mandatarios que lo hagan, en un plazo no mayor a seis meses.</w:t>
      </w:r>
    </w:p>
    <w:p w:rsidR="00CA63EE" w:rsidRPr="00CA63EE" w:rsidRDefault="00CA63EE" w:rsidP="00CA63EE">
      <w:pPr>
        <w:jc w:val="both"/>
        <w:rPr>
          <w:rFonts w:ascii="Verdana" w:hAnsi="Verdana"/>
          <w:bCs/>
          <w:sz w:val="20"/>
        </w:rPr>
      </w:pPr>
      <w:r w:rsidRPr="00CA63EE">
        <w:rPr>
          <w:rFonts w:ascii="Verdana" w:hAnsi="Verdana"/>
          <w:bCs/>
          <w:sz w:val="20"/>
        </w:rPr>
        <w:t>Las presentes Disposiciones serán aplicables en cualquiera de los siguientes eventos:</w:t>
      </w:r>
    </w:p>
    <w:p w:rsidR="00CA63EE" w:rsidRPr="00CA63EE" w:rsidRDefault="00CA63EE" w:rsidP="00CA63EE">
      <w:pPr>
        <w:jc w:val="both"/>
        <w:rPr>
          <w:rFonts w:ascii="Verdana" w:hAnsi="Verdana"/>
          <w:bCs/>
          <w:sz w:val="20"/>
        </w:rPr>
      </w:pPr>
      <w:r w:rsidRPr="00CA63EE">
        <w:rPr>
          <w:rFonts w:ascii="Verdana" w:hAnsi="Verdana"/>
          <w:bCs/>
          <w:sz w:val="20"/>
        </w:rPr>
        <w:t>I.           Cuando alguno o algunos de los Activos Objeto de Inversión que integren la cartera de inversión del Activo Total de la Sociedad de Inversión y en su caso de los Mandatarios, sufran cambios en su calificación crediticia y con ello violen el límite por emisor, por Categoría, o resulte la nueva calificación crediticia inferior a la requerida por el Régimen de Inversión Autorizado;</w:t>
      </w:r>
    </w:p>
    <w:p w:rsidR="00CA63EE" w:rsidRPr="00CA63EE" w:rsidRDefault="00CA63EE" w:rsidP="00CA63EE">
      <w:pPr>
        <w:jc w:val="both"/>
        <w:rPr>
          <w:rFonts w:ascii="Verdana" w:hAnsi="Verdana"/>
          <w:bCs/>
          <w:sz w:val="20"/>
        </w:rPr>
      </w:pPr>
      <w:r w:rsidRPr="00CA63EE">
        <w:rPr>
          <w:rFonts w:ascii="Verdana" w:hAnsi="Verdana"/>
          <w:bCs/>
          <w:sz w:val="20"/>
        </w:rPr>
        <w:t xml:space="preserve">II.          Cuando con el Activo Total de la Sociedad de Inversión se haya adquirido o vendido Activos Objeto de Inversión observando los porcentajes previstos en el </w:t>
      </w:r>
      <w:r w:rsidRPr="00CA63EE">
        <w:rPr>
          <w:rFonts w:ascii="Verdana" w:hAnsi="Verdana"/>
          <w:bCs/>
          <w:sz w:val="20"/>
        </w:rPr>
        <w:lastRenderedPageBreak/>
        <w:t>Régimen de Inversión Autorizado, pero con motivo de variaciones en el precio de los Activos Objeto de Inversión que integran su activo, no cubra o exceda tales porcentajes;</w:t>
      </w:r>
    </w:p>
    <w:p w:rsidR="00CA63EE" w:rsidRPr="00CA63EE" w:rsidRDefault="00CA63EE" w:rsidP="00CA63EE">
      <w:pPr>
        <w:jc w:val="both"/>
        <w:rPr>
          <w:rFonts w:ascii="Verdana" w:hAnsi="Verdana"/>
          <w:bCs/>
          <w:sz w:val="20"/>
        </w:rPr>
      </w:pPr>
      <w:r w:rsidRPr="00CA63EE">
        <w:rPr>
          <w:rFonts w:ascii="Verdana" w:hAnsi="Verdana"/>
          <w:bCs/>
          <w:sz w:val="20"/>
        </w:rPr>
        <w:t>III.          Cuando por el cambio en la composición de los índices o Canasta de Índices que se utilizaron como referencia para adquirir un Valor Extranjero de Renta Variable, se exceda la Desviación Permitida en la ponderación de las acciones de dicho índice o Canasta de Índices previstos en el Régimen de Inversión Autorizado, o cuando no se pueda adquirir o liquidar el Valor Extranjero de Renta Variable en los plazos establecidos en las presentes Disposiciones para la operación con</w:t>
      </w:r>
    </w:p>
    <w:p w:rsidR="00CA63EE" w:rsidRPr="00CA63EE" w:rsidRDefault="00CA63EE" w:rsidP="00CA63EE">
      <w:pPr>
        <w:jc w:val="both"/>
        <w:rPr>
          <w:rFonts w:ascii="Verdana" w:hAnsi="Verdana"/>
          <w:bCs/>
          <w:sz w:val="20"/>
        </w:rPr>
      </w:pPr>
      <w:r w:rsidRPr="00CA63EE">
        <w:rPr>
          <w:rFonts w:ascii="Verdana" w:hAnsi="Verdana"/>
          <w:bCs/>
          <w:sz w:val="20"/>
        </w:rPr>
        <w:t>Valores Extranjeros de Renta Variable, por causas no imputables a la Sociedad de Inversión directamente o a través de Mandatarios.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con cuatro días hábiles para cumplir con las Desviaciones Permitidas en la ponderación de las acciones de dicho índice;</w:t>
      </w:r>
    </w:p>
    <w:p w:rsidR="00CA63EE" w:rsidRPr="00CA63EE" w:rsidRDefault="00CA63EE" w:rsidP="00CA63EE">
      <w:pPr>
        <w:jc w:val="both"/>
        <w:rPr>
          <w:rFonts w:ascii="Verdana" w:hAnsi="Verdana"/>
          <w:bCs/>
          <w:sz w:val="20"/>
        </w:rPr>
      </w:pPr>
      <w:r w:rsidRPr="00CA63EE">
        <w:rPr>
          <w:rFonts w:ascii="Verdana" w:hAnsi="Verdana"/>
          <w:bCs/>
          <w:sz w:val="20"/>
        </w:rPr>
        <w:t xml:space="preserve">IV.         Cuando por el cambio en la composición del índice a que se refiere la fracción II de la disposición Vigésima Cuarta de las Disposiciones de carácter general que establecen el régimen de inversión al que deberán sujetarse las Sociedades de Inversión para acciones de Emisores Nacionales en las que se exceda la ponderación de las acciones permitida a que hace referencia dicha fracción o cuando no se pueda adquirir o liquidar la acción de Emisores Nacionales en los plazos establecidos en las presentes Disposiciones para la operación con dichos instrumentos, por causas no imputables a la Sociedad de Inversión. En caso de que la Sociedad de </w:t>
      </w:r>
      <w:proofErr w:type="spellStart"/>
      <w:r w:rsidRPr="00CA63EE">
        <w:rPr>
          <w:rFonts w:ascii="Verdana" w:hAnsi="Verdana"/>
          <w:bCs/>
          <w:sz w:val="20"/>
        </w:rPr>
        <w:t>inversión</w:t>
      </w:r>
      <w:proofErr w:type="gramStart"/>
      <w:r w:rsidRPr="00CA63EE">
        <w:rPr>
          <w:rFonts w:ascii="Verdana" w:hAnsi="Verdana"/>
          <w:bCs/>
          <w:sz w:val="20"/>
        </w:rPr>
        <w:t>,decida</w:t>
      </w:r>
      <w:proofErr w:type="spellEnd"/>
      <w:proofErr w:type="gramEnd"/>
      <w:r w:rsidRPr="00CA63EE">
        <w:rPr>
          <w:rFonts w:ascii="Verdana" w:hAnsi="Verdana"/>
          <w:bCs/>
          <w:sz w:val="20"/>
        </w:rPr>
        <w:t xml:space="preserve"> realizar compras o ventas de estas emisoras, se asumirá que ha iniciado con la recomposición de cartera y deberá cumplir con las ponderaciones permitidas el mismo día que realizó las compras o ventas;</w:t>
      </w:r>
    </w:p>
    <w:p w:rsidR="00CA63EE" w:rsidRPr="00CA63EE" w:rsidRDefault="00CA63EE" w:rsidP="00CA63EE">
      <w:pPr>
        <w:jc w:val="both"/>
        <w:rPr>
          <w:rFonts w:ascii="Verdana" w:hAnsi="Verdana"/>
          <w:bCs/>
          <w:sz w:val="20"/>
        </w:rPr>
      </w:pPr>
      <w:r w:rsidRPr="00CA63EE">
        <w:rPr>
          <w:rFonts w:ascii="Verdana" w:hAnsi="Verdana"/>
          <w:bCs/>
          <w:sz w:val="20"/>
        </w:rPr>
        <w:t xml:space="preserve">V.          Cuando como consecuencia del Ejercicio de Derechos Patrimoniales asociados a las acciones que integran el Valor Extranjero de Renta Variable, se dé un exceso en la Desviación Permitida o se incumpla con el Régimen de Inversión Autorizado.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w:t>
      </w:r>
      <w:proofErr w:type="spellStart"/>
      <w:r w:rsidRPr="00CA63EE">
        <w:rPr>
          <w:rFonts w:ascii="Verdana" w:hAnsi="Verdana"/>
          <w:bCs/>
          <w:sz w:val="20"/>
        </w:rPr>
        <w:t>concuatro</w:t>
      </w:r>
      <w:proofErr w:type="spellEnd"/>
      <w:r w:rsidRPr="00CA63EE">
        <w:rPr>
          <w:rFonts w:ascii="Verdana" w:hAnsi="Verdana"/>
          <w:bCs/>
          <w:sz w:val="20"/>
        </w:rPr>
        <w:t xml:space="preserve"> días hábiles para cumplir con las desviaciones permitidas en la ponderación de las acciones de dicho índice;</w:t>
      </w:r>
    </w:p>
    <w:p w:rsidR="00CA63EE" w:rsidRPr="00CA63EE" w:rsidRDefault="00CA63EE" w:rsidP="00CA63EE">
      <w:pPr>
        <w:jc w:val="both"/>
        <w:rPr>
          <w:rFonts w:ascii="Verdana" w:hAnsi="Verdana"/>
          <w:bCs/>
          <w:sz w:val="20"/>
        </w:rPr>
      </w:pPr>
      <w:r w:rsidRPr="00CA63EE">
        <w:rPr>
          <w:rFonts w:ascii="Verdana" w:hAnsi="Verdana"/>
          <w:bCs/>
          <w:sz w:val="20"/>
        </w:rPr>
        <w:t>VI.         Cuando como consecuencia del Ejercicio de Derechos Patrimoniales asociados a las acciones de Emisores Nacionales, se dé un exceso en la Desviación Permitida o se incumpla con el Régimen de Inversión Autorizado. En caso de que la Sociedad de inversión, decida realizar compras o ventas de estas emisoras, se asumirá que ha iniciado con la recomposición de cartera y deberá cumplir con la Desviación Permitida el mismo día que realizó las compras o ventas;</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VII.        Cuando con el Activo Total de la Sociedad de Inversión adquieran o vendan Activos Objeto de Inversión, incumpliendo los límites permitidos por el Régimen de Inversión Autorizado, o adquiera Activos Objeto de Inversión no permitidos por el mismo, o cuando no se pueda adquirir o liquidar Valores Extranjeros de Renta Variable en los plazos establecidos por la Comisión por causas imputables a la Sociedad de Inversión y en su caso al Mandatario. En este caso la Administradora que opere la Sociedad de Inversión de que se trate deberá cubrir las </w:t>
      </w:r>
      <w:proofErr w:type="spellStart"/>
      <w:r w:rsidRPr="00CA63EE">
        <w:rPr>
          <w:rFonts w:ascii="Verdana" w:hAnsi="Verdana"/>
          <w:bCs/>
          <w:sz w:val="20"/>
        </w:rPr>
        <w:t>minusvalíasdiarias</w:t>
      </w:r>
      <w:proofErr w:type="spellEnd"/>
      <w:r w:rsidRPr="00CA63EE">
        <w:rPr>
          <w:rFonts w:ascii="Verdana" w:hAnsi="Verdana"/>
          <w:bCs/>
          <w:sz w:val="20"/>
        </w:rPr>
        <w:t xml:space="preserve"> que se hayan presentado desde el día en que ocurrió el evento que dio origen al incumplimiento y hasta que no se cumpla con el régimen de inversión. Para tales efectos, el Mandatario podrá aplicar reglas de recomposición de cartera conforme a la regulación aplicable en su país de origen que busquen minimizar la magnitud de la minusvalía;</w:t>
      </w:r>
    </w:p>
    <w:p w:rsidR="00CA63EE" w:rsidRPr="00CA63EE" w:rsidRDefault="00CA63EE" w:rsidP="00CA63EE">
      <w:pPr>
        <w:jc w:val="both"/>
        <w:rPr>
          <w:rFonts w:ascii="Verdana" w:hAnsi="Verdana"/>
          <w:bCs/>
          <w:sz w:val="20"/>
        </w:rPr>
      </w:pPr>
      <w:r w:rsidRPr="00CA63EE">
        <w:rPr>
          <w:rFonts w:ascii="Verdana" w:hAnsi="Verdana"/>
          <w:bCs/>
          <w:sz w:val="20"/>
        </w:rPr>
        <w:t>VIII.        Cuando el Diferencial del Valor en Riesgo Condicional o en su caso el Valor en Riesgo de la cartera de inversión del Activo Administrado por la Sociedad de Inversión, exceda el máximo previsto en el Régimen de Inversión Autorizado y en su caso cuando el Mandatario exceda el límite aplicable a la medida de riesgo relativa al portafolio de referencia autorizado en el correspondiente contrato de mandato de inversión;</w:t>
      </w:r>
    </w:p>
    <w:p w:rsidR="00CA63EE" w:rsidRPr="00CA63EE" w:rsidRDefault="00CA63EE" w:rsidP="00CA63EE">
      <w:pPr>
        <w:jc w:val="both"/>
        <w:rPr>
          <w:rFonts w:ascii="Verdana" w:hAnsi="Verdana"/>
          <w:bCs/>
          <w:sz w:val="20"/>
        </w:rPr>
      </w:pPr>
      <w:r w:rsidRPr="00CA63EE">
        <w:rPr>
          <w:rFonts w:ascii="Verdana" w:hAnsi="Verdana"/>
          <w:bCs/>
          <w:sz w:val="20"/>
        </w:rPr>
        <w:t>IX.         Cuando el Coeficiente de Liquidez de la cartera de inversión del Activo Administrado por la Sociedad de Inversión, exceda el máximo previsto por 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X.          Cuando derivado de cambios regulatorios se definan condiciones o criterios más restrictivos a los previamente existentes, y</w:t>
      </w:r>
    </w:p>
    <w:p w:rsidR="00CA63EE" w:rsidRPr="00CA63EE" w:rsidRDefault="00CA63EE" w:rsidP="00CA63EE">
      <w:pPr>
        <w:jc w:val="both"/>
        <w:rPr>
          <w:rFonts w:ascii="Verdana" w:hAnsi="Verdana"/>
          <w:bCs/>
          <w:sz w:val="20"/>
        </w:rPr>
      </w:pPr>
      <w:r w:rsidRPr="00CA63EE">
        <w:rPr>
          <w:rFonts w:ascii="Verdana" w:hAnsi="Verdana"/>
          <w:bCs/>
          <w:sz w:val="20"/>
        </w:rPr>
        <w:t>XI.         Cuando como consecuencia de las llamadas de capital no sean cubiertas por parte de otros inversionistas del Instrumento Estructurado que integre la cartera de inversión del Activo Total de la Sociedad de Inversión se dé un exceso en los límites para Instrumentos Estructurados previstos en las presentes disposiciones y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143.- </w:t>
      </w:r>
      <w:r w:rsidRPr="00CA63EE">
        <w:rPr>
          <w:rFonts w:ascii="Verdana" w:hAnsi="Verdana"/>
          <w:bCs/>
          <w:sz w:val="20"/>
        </w:rPr>
        <w:t>La Administradora deberá prever en los contratos que celebre con los Prestadores de Servicios Financieros y Mandatarios, que será causa de recisión el incumplimiento al Régimen de Inversión Autorizado.</w:t>
      </w:r>
    </w:p>
    <w:p w:rsidR="00CA63EE" w:rsidRPr="00CA63EE" w:rsidRDefault="00CA63EE" w:rsidP="00CA63EE">
      <w:pPr>
        <w:jc w:val="both"/>
        <w:rPr>
          <w:rFonts w:ascii="Verdana" w:hAnsi="Verdana"/>
          <w:bCs/>
          <w:sz w:val="20"/>
        </w:rPr>
      </w:pPr>
      <w:r w:rsidRPr="00CA63EE">
        <w:rPr>
          <w:rFonts w:ascii="Verdana" w:hAnsi="Verdana"/>
          <w:bCs/>
          <w:sz w:val="20"/>
        </w:rPr>
        <w:t>Serán imputables a la Administradora los incumplimientos al régimen de inversión cuando el Operador del activo con el que se incumple el régimen de inversión no satisfaga los requisitos referentes a la certificación de los Funcionarios previstos en las presentes Disposiciones, así como serán imputables las violaciones al Régimen de Inversión Autorizado ocasionadas por fallas en el Sistema Integral Automatizado o el sistema informático distinto al anterior con que cuenten para dar cumplimiento a lo previsto en las presentes Disposiciones.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Sin menoscabo de lo anterior, las Administradoras serán responsables de las sanciones a que haya lugar cuando se incumpla el Régimen de Inversión Autorizado como consecuencia de las operaciones que realicen los Mandatarios que ésta hubiere contratado, o de las operaciones realizadas por la propia Administradora.</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DEL PROCEDIMIENTO PARA LA RECOMPOSICIÓN DE CARTERA</w:t>
      </w:r>
    </w:p>
    <w:p w:rsidR="00CA63EE" w:rsidRPr="00CA63EE" w:rsidRDefault="00CA63EE" w:rsidP="00CA63EE">
      <w:pPr>
        <w:jc w:val="both"/>
        <w:rPr>
          <w:rFonts w:ascii="Verdana" w:hAnsi="Verdana"/>
          <w:bCs/>
          <w:sz w:val="20"/>
        </w:rPr>
      </w:pPr>
      <w:r w:rsidRPr="00CA63EE">
        <w:rPr>
          <w:rFonts w:ascii="Verdana" w:hAnsi="Verdana"/>
          <w:b/>
          <w:bCs/>
          <w:sz w:val="20"/>
        </w:rPr>
        <w:t>Sección</w:t>
      </w:r>
      <w:r w:rsidRPr="00CA63EE">
        <w:rPr>
          <w:rFonts w:ascii="Verdana" w:hAnsi="Verdana"/>
          <w:bCs/>
          <w:sz w:val="20"/>
        </w:rPr>
        <w:t> </w:t>
      </w:r>
      <w:r w:rsidRPr="00CA63EE">
        <w:rPr>
          <w:rFonts w:ascii="Verdana" w:hAnsi="Verdana"/>
          <w:b/>
          <w:bCs/>
          <w:sz w:val="20"/>
        </w:rPr>
        <w:t>I</w:t>
      </w:r>
    </w:p>
    <w:p w:rsidR="00CA63EE" w:rsidRPr="00CA63EE" w:rsidRDefault="00CA63EE" w:rsidP="00CA63EE">
      <w:pPr>
        <w:jc w:val="both"/>
        <w:rPr>
          <w:rFonts w:ascii="Verdana" w:hAnsi="Verdana"/>
          <w:bCs/>
          <w:sz w:val="20"/>
        </w:rPr>
      </w:pPr>
      <w:r w:rsidRPr="00CA63EE">
        <w:rPr>
          <w:rFonts w:ascii="Verdana" w:hAnsi="Verdana"/>
          <w:b/>
          <w:bCs/>
          <w:sz w:val="20"/>
        </w:rPr>
        <w:t>De la degradación de calificación</w:t>
      </w:r>
    </w:p>
    <w:p w:rsidR="00CA63EE" w:rsidRPr="00CA63EE" w:rsidRDefault="00CA63EE" w:rsidP="00CA63EE">
      <w:pPr>
        <w:jc w:val="both"/>
        <w:rPr>
          <w:rFonts w:ascii="Verdana" w:hAnsi="Verdana"/>
          <w:bCs/>
          <w:sz w:val="20"/>
        </w:rPr>
      </w:pPr>
      <w:r w:rsidRPr="00CA63EE">
        <w:rPr>
          <w:rFonts w:ascii="Verdana" w:hAnsi="Verdana"/>
          <w:b/>
          <w:bCs/>
          <w:sz w:val="20"/>
        </w:rPr>
        <w:t>Artículo 144.- </w:t>
      </w:r>
      <w:r w:rsidRPr="00CA63EE">
        <w:rPr>
          <w:rFonts w:ascii="Verdana" w:hAnsi="Verdana"/>
          <w:bCs/>
          <w:sz w:val="20"/>
        </w:rPr>
        <w:t>La Sociedad de Inversión que cuente en su cartera de inversión con Activos Objeto de Inversión sujetos a calificación crediticia, cuya calificación o la Calificación de Contraparte en caso de Derivados, depósitos bancarios, préstamo de valores o reportos, se degrade con posterioridad a su adquisición y con ello se incumpla el Régimen de Inversión Autorizado, deberá proceder conforme a lo siguiente:</w:t>
      </w:r>
    </w:p>
    <w:p w:rsidR="00CA63EE" w:rsidRPr="00CA63EE" w:rsidRDefault="00CA63EE" w:rsidP="00CA63EE">
      <w:pPr>
        <w:jc w:val="both"/>
        <w:rPr>
          <w:rFonts w:ascii="Verdana" w:hAnsi="Verdana"/>
          <w:bCs/>
          <w:sz w:val="20"/>
        </w:rPr>
      </w:pPr>
      <w:r w:rsidRPr="00CA63EE">
        <w:rPr>
          <w:rFonts w:ascii="Verdana" w:hAnsi="Verdana"/>
          <w:bCs/>
          <w:sz w:val="20"/>
        </w:rPr>
        <w:t>I.           En caso de que se violen los límites respectivos por emisor, deberá abstenerse de adquirir Activos Objeto de Inversión sujetos a calificación crediticia de la misma emisión, realizar depósitos bancarios en dicha institución o celebrar nuevas operaciones con Derivados, reportos o préstamo de valores con esa Contraparte en caso de que tales operaciones netas de garantías impliquen un incremento en la exposición de la Sociedad de Inversión hacia esa Contraparte o Emisor;</w:t>
      </w:r>
    </w:p>
    <w:p w:rsidR="00CA63EE" w:rsidRPr="00CA63EE" w:rsidRDefault="00CA63EE" w:rsidP="00CA63EE">
      <w:pPr>
        <w:jc w:val="both"/>
        <w:rPr>
          <w:rFonts w:ascii="Verdana" w:hAnsi="Verdana"/>
          <w:bCs/>
          <w:sz w:val="20"/>
        </w:rPr>
      </w:pPr>
      <w:r w:rsidRPr="00CA63EE">
        <w:rPr>
          <w:rFonts w:ascii="Verdana" w:hAnsi="Verdana"/>
          <w:bCs/>
          <w:sz w:val="20"/>
        </w:rPr>
        <w:t>II.          Cuando los Activos Objeto de Inversión sujetos a calificación crediticia o Contraparte del Derivado, reporto o préstamo de valores forme parte de otra Categoría como consecuencia de la degradación, excediéndose los porcentajes establecidos en el Régimen de Inversión Autorizado, deberá abstenerse de adquirir tales Activos Objeto de Inversión adicionales de la Categoría a la que pertenezca dicho Activo degradado en su calificación crediticia, o celebrar nuevas operaciones con Derivados, depósitos bancarios, reportos o préstamo de valores con Contrapartes de dicha Categoría salvo que, tales operaciones, en todo momento deberán estar garantizadas en su totalidad, y</w:t>
      </w:r>
    </w:p>
    <w:p w:rsidR="00CA63EE" w:rsidRPr="00CA63EE" w:rsidRDefault="00CA63EE" w:rsidP="00CA63EE">
      <w:pPr>
        <w:jc w:val="both"/>
        <w:rPr>
          <w:rFonts w:ascii="Verdana" w:hAnsi="Verdana"/>
          <w:bCs/>
          <w:sz w:val="20"/>
        </w:rPr>
      </w:pPr>
      <w:r w:rsidRPr="00CA63EE">
        <w:rPr>
          <w:rFonts w:ascii="Verdana" w:hAnsi="Verdana"/>
          <w:bCs/>
          <w:sz w:val="20"/>
        </w:rPr>
        <w:t xml:space="preserve">III.          Cuando la calificación crediticia de Activos Objeto de Inversión sujetos a calificación crediticia o de las Contrapartes de los Derivados, depósitos bancarios, reportos o préstamo de valores correspondientes a una Categoría se degrade por debajo del mínimo permitido en el Régimen de Inversión Autorizado, deberá computar en la Categoría mínima permitida en dicho Régimen de Inversión y no se podrán realizar más de estas operaciones con dicha Contraparte. No se podrán mantener depósitos bancarios en Instituciones de Crédito cuya calificación crediticia </w:t>
      </w:r>
      <w:proofErr w:type="spellStart"/>
      <w:r w:rsidRPr="00CA63EE">
        <w:rPr>
          <w:rFonts w:ascii="Verdana" w:hAnsi="Verdana"/>
          <w:bCs/>
          <w:sz w:val="20"/>
        </w:rPr>
        <w:t>seainferior</w:t>
      </w:r>
      <w:proofErr w:type="spellEnd"/>
      <w:r w:rsidRPr="00CA63EE">
        <w:rPr>
          <w:rFonts w:ascii="Verdana" w:hAnsi="Verdana"/>
          <w:bCs/>
          <w:sz w:val="20"/>
        </w:rPr>
        <w:t xml:space="preserve"> a la mínima autorizada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Para el caso de los Mandatarios, las Sociedades de Inversión deberán establecer en los contratos de intermediación en los que se otorgue un mandato a un tercero para la </w:t>
      </w:r>
      <w:r w:rsidRPr="00CA63EE">
        <w:rPr>
          <w:rFonts w:ascii="Verdana" w:hAnsi="Verdana"/>
          <w:bCs/>
          <w:sz w:val="20"/>
        </w:rPr>
        <w:lastRenderedPageBreak/>
        <w:t>adquisición de Activos Objeto de Inversión como deberán proceder los Mandatarios en caso de que se presenten los eventos descritos en el presente artículo, previendo que las inversiones del Activo Total de la Sociedad de Inversión se apeguen a las presentes Disposiciones y a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Artículo 145.- </w:t>
      </w:r>
      <w:r w:rsidRPr="00CA63EE">
        <w:rPr>
          <w:rFonts w:ascii="Verdana" w:hAnsi="Verdana"/>
          <w:bCs/>
          <w:sz w:val="20"/>
        </w:rPr>
        <w:t>El Responsable del Área de Riesgos deberá notificar al Comité de Riesgos Financieros y al Comité de Inversión, cuando alguno de los Activos Objeto de Inversión sujetos a calificación crediticia, incluidos los depósitos bancarios, adquiridos por la Sociedad de Inversión, o alguna Contraparte con la que se tenga celebrados operaciones con Derivados, reportos o préstamo de valores, se encuentre en alguno de los</w:t>
      </w:r>
    </w:p>
    <w:p w:rsidR="00CA63EE" w:rsidRPr="00CA63EE" w:rsidRDefault="00CA63EE" w:rsidP="00CA63EE">
      <w:pPr>
        <w:jc w:val="both"/>
        <w:rPr>
          <w:rFonts w:ascii="Verdana" w:hAnsi="Verdana"/>
          <w:bCs/>
          <w:sz w:val="20"/>
        </w:rPr>
      </w:pPr>
      <w:proofErr w:type="gramStart"/>
      <w:r w:rsidRPr="00CA63EE">
        <w:rPr>
          <w:rFonts w:ascii="Verdana" w:hAnsi="Verdana"/>
          <w:bCs/>
          <w:sz w:val="20"/>
        </w:rPr>
        <w:t>supuestos</w:t>
      </w:r>
      <w:proofErr w:type="gramEnd"/>
      <w:r w:rsidRPr="00CA63EE">
        <w:rPr>
          <w:rFonts w:ascii="Verdana" w:hAnsi="Verdana"/>
          <w:bCs/>
          <w:sz w:val="20"/>
        </w:rPr>
        <w:t xml:space="preserve"> establecidos en el artículo anterior, el día hábil siguiente a aquel en que el Activo Objeto de Inversión sujeto a calificación crediticia o Contraparte de que se trate, haya sido objeto de degradación en su calificación crediticia. La Administradora deberá prever en el contrato que celebre con cada Mandatario que este le informe oportunamente cuando se presente algún evento descrito en el presente artículo bajo la gestión de los Activos Administrados por el Mandatario.</w:t>
      </w:r>
    </w:p>
    <w:p w:rsidR="00CA63EE" w:rsidRPr="00CA63EE" w:rsidRDefault="00CA63EE" w:rsidP="00CA63EE">
      <w:pPr>
        <w:jc w:val="both"/>
        <w:rPr>
          <w:rFonts w:ascii="Verdana" w:hAnsi="Verdana"/>
          <w:bCs/>
          <w:sz w:val="20"/>
        </w:rPr>
      </w:pPr>
      <w:r w:rsidRPr="00CA63EE">
        <w:rPr>
          <w:rFonts w:ascii="Verdana" w:hAnsi="Verdana"/>
          <w:bCs/>
          <w:sz w:val="20"/>
        </w:rPr>
        <w:t>Asimismo, deberá notificar a la Comisión cada vez que cualquier Activo Objeto de Inversión sujeto a calificación crediticia o Contraparte cambie de límite de calificación crediticia aplicable e incumpla los limites regulatorios, como consecuencia de una degradación, o bien cuando algún Activo Objeto de Inversión teniendo una calificación crediticia inferior a la mínima permitida sea degradado a nivel de incumplimiento, el día hábil siguiente a aquel en que el Activo Objeto de Inversión sujeto a calificación crediticia o Contraparte de que se trate, haya sido objeto de degradación en su Calificación.</w:t>
      </w:r>
    </w:p>
    <w:p w:rsidR="00CA63EE" w:rsidRPr="00CA63EE" w:rsidRDefault="00CA63EE" w:rsidP="00CA63EE">
      <w:pPr>
        <w:jc w:val="both"/>
        <w:rPr>
          <w:rFonts w:ascii="Verdana" w:hAnsi="Verdana"/>
          <w:bCs/>
          <w:sz w:val="20"/>
        </w:rPr>
      </w:pPr>
      <w:r w:rsidRPr="00CA63EE">
        <w:rPr>
          <w:rFonts w:ascii="Verdana" w:hAnsi="Verdana"/>
          <w:b/>
          <w:bCs/>
          <w:sz w:val="20"/>
        </w:rPr>
        <w:t>Artículo 146.- </w:t>
      </w:r>
      <w:r w:rsidRPr="00CA63EE">
        <w:rPr>
          <w:rFonts w:ascii="Verdana" w:hAnsi="Verdana"/>
          <w:bCs/>
          <w:sz w:val="20"/>
        </w:rPr>
        <w:t>El Comité de Riesgos Financieros deberá presentar en sesión al Comité de Inversión un estudio que deberá contener lo siguiente:</w:t>
      </w:r>
    </w:p>
    <w:p w:rsidR="00CA63EE" w:rsidRPr="00CA63EE" w:rsidRDefault="00CA63EE" w:rsidP="00CA63EE">
      <w:pPr>
        <w:jc w:val="both"/>
        <w:rPr>
          <w:rFonts w:ascii="Verdana" w:hAnsi="Verdana"/>
          <w:bCs/>
          <w:sz w:val="20"/>
        </w:rPr>
      </w:pPr>
      <w:r w:rsidRPr="00CA63EE">
        <w:rPr>
          <w:rFonts w:ascii="Verdana" w:hAnsi="Verdana"/>
          <w:bCs/>
          <w:sz w:val="20"/>
        </w:rPr>
        <w:t>I.           La descripción del Activo Objeto de Inversión sujeto a calificación crediticia o Contraparte, así como el análisis de la situación que originó la degradación de calificación crediticia de que se trate;</w:t>
      </w:r>
    </w:p>
    <w:p w:rsidR="00CA63EE" w:rsidRPr="00CA63EE" w:rsidRDefault="00CA63EE" w:rsidP="00CA63EE">
      <w:pPr>
        <w:jc w:val="both"/>
        <w:rPr>
          <w:rFonts w:ascii="Verdana" w:hAnsi="Verdana"/>
          <w:bCs/>
          <w:sz w:val="20"/>
        </w:rPr>
      </w:pPr>
      <w:r w:rsidRPr="00CA63EE">
        <w:rPr>
          <w:rFonts w:ascii="Verdana" w:hAnsi="Verdana"/>
          <w:bCs/>
          <w:sz w:val="20"/>
        </w:rPr>
        <w:t>II.          Opinión sobre la calidad crediticia del emisor del Activo Objeto de Inversión sujeto a calificación crediticia, incluidos los depósitos bancarios, o Contraparte del Derivado, reporto o préstamo de valores cuya calificación crediticia se degradó;</w:t>
      </w:r>
    </w:p>
    <w:p w:rsidR="00CA63EE" w:rsidRPr="00CA63EE" w:rsidRDefault="00CA63EE" w:rsidP="00CA63EE">
      <w:pPr>
        <w:jc w:val="both"/>
        <w:rPr>
          <w:rFonts w:ascii="Verdana" w:hAnsi="Verdana"/>
          <w:bCs/>
          <w:sz w:val="20"/>
        </w:rPr>
      </w:pPr>
      <w:r w:rsidRPr="00CA63EE">
        <w:rPr>
          <w:rFonts w:ascii="Verdana" w:hAnsi="Verdana"/>
          <w:bCs/>
          <w:sz w:val="20"/>
        </w:rPr>
        <w:t>III.          El impacto en la cartera de inversión como consecuencia de la degradación del emisor o Contraparte del Derivado, depósitos bancarios, reporto o préstamo de valores, y</w:t>
      </w:r>
    </w:p>
    <w:p w:rsidR="00CA63EE" w:rsidRPr="00CA63EE" w:rsidRDefault="00CA63EE" w:rsidP="00CA63EE">
      <w:pPr>
        <w:jc w:val="both"/>
        <w:rPr>
          <w:rFonts w:ascii="Verdana" w:hAnsi="Verdana"/>
          <w:bCs/>
          <w:sz w:val="20"/>
        </w:rPr>
      </w:pPr>
      <w:r w:rsidRPr="00CA63EE">
        <w:rPr>
          <w:rFonts w:ascii="Verdana" w:hAnsi="Verdana"/>
          <w:bCs/>
          <w:sz w:val="20"/>
        </w:rPr>
        <w:t>IV.         Los análisis descritos en el presente artículo deberán presentarse en la sesión inmediata posterior a la fecha del evento de degradación, salvo cuando esta ocurra con 3 días hábiles o menos de anticipación a dicha sesión en cuyo caso se deberá presentar en la sesión inmediata subsecuente.</w:t>
      </w:r>
    </w:p>
    <w:p w:rsidR="00CA63EE" w:rsidRPr="00CA63EE" w:rsidRDefault="00CA63EE" w:rsidP="00CA63EE">
      <w:pPr>
        <w:jc w:val="both"/>
        <w:rPr>
          <w:rFonts w:ascii="Verdana" w:hAnsi="Verdana"/>
          <w:bCs/>
          <w:sz w:val="20"/>
        </w:rPr>
      </w:pPr>
      <w:r w:rsidRPr="00CA63EE">
        <w:rPr>
          <w:rFonts w:ascii="Verdana" w:hAnsi="Verdana"/>
          <w:bCs/>
          <w:sz w:val="20"/>
        </w:rPr>
        <w:lastRenderedPageBreak/>
        <w:t>El Comité de Riesgos Financieros deberá incluir el estudio a que se refiere el presente artículo, en el Acta Pormenorizada que se levante de su sesión correspondiente.</w:t>
      </w:r>
    </w:p>
    <w:p w:rsidR="00CA63EE" w:rsidRPr="00CA63EE" w:rsidRDefault="00CA63EE" w:rsidP="00CA63EE">
      <w:pPr>
        <w:jc w:val="both"/>
        <w:rPr>
          <w:rFonts w:ascii="Verdana" w:hAnsi="Verdana"/>
          <w:bCs/>
          <w:sz w:val="20"/>
        </w:rPr>
      </w:pPr>
      <w:r w:rsidRPr="00CA63EE">
        <w:rPr>
          <w:rFonts w:ascii="Verdana" w:hAnsi="Verdana"/>
          <w:bCs/>
          <w:sz w:val="20"/>
        </w:rPr>
        <w:t>Las Sociedades de Inversión deberán estipular en los contratos de intermediación en los que otorguen un mandato a un tercero para la adquisición de Activos Objeto de Inversión que el Mandatario deberá realizar un análisis de la misma naturaleza cuando ocurra lo descrito en el presente artículo y ser informado a la Administradora en el plazo que se determine en el contrato.</w:t>
      </w:r>
    </w:p>
    <w:p w:rsidR="00CA63EE" w:rsidRPr="00CA63EE" w:rsidRDefault="00CA63EE" w:rsidP="00CA63EE">
      <w:pPr>
        <w:jc w:val="both"/>
        <w:rPr>
          <w:rFonts w:ascii="Verdana" w:hAnsi="Verdana"/>
          <w:bCs/>
          <w:sz w:val="20"/>
        </w:rPr>
      </w:pPr>
      <w:r w:rsidRPr="00CA63EE">
        <w:rPr>
          <w:rFonts w:ascii="Verdana" w:hAnsi="Verdana"/>
          <w:b/>
          <w:bCs/>
          <w:sz w:val="20"/>
        </w:rPr>
        <w:t>Artículo 147.- </w:t>
      </w:r>
      <w:r w:rsidRPr="00CA63EE">
        <w:rPr>
          <w:rFonts w:ascii="Verdana" w:hAnsi="Verdana"/>
          <w:bCs/>
          <w:sz w:val="20"/>
        </w:rPr>
        <w:t>El Comité de Inversión, considerando la información contenida en el estudio que le presente el Comité de Riesgos Financieros, podrá optar por:</w:t>
      </w:r>
    </w:p>
    <w:p w:rsidR="00CA63EE" w:rsidRPr="00CA63EE" w:rsidRDefault="00CA63EE" w:rsidP="00CA63EE">
      <w:pPr>
        <w:jc w:val="both"/>
        <w:rPr>
          <w:rFonts w:ascii="Verdana" w:hAnsi="Verdana"/>
          <w:bCs/>
          <w:sz w:val="20"/>
        </w:rPr>
      </w:pPr>
      <w:r w:rsidRPr="00CA63EE">
        <w:rPr>
          <w:rFonts w:ascii="Verdana" w:hAnsi="Verdana"/>
          <w:bCs/>
          <w:sz w:val="20"/>
        </w:rPr>
        <w:t>I.           Conservar el Activo Objeto de Inversión sujeto a calificación crediticia, salvo cuando se trate de depósitos bancarios, o</w:t>
      </w:r>
    </w:p>
    <w:p w:rsidR="00CA63EE" w:rsidRPr="00CA63EE" w:rsidRDefault="00CA63EE" w:rsidP="00CA63EE">
      <w:pPr>
        <w:jc w:val="both"/>
        <w:rPr>
          <w:rFonts w:ascii="Verdana" w:hAnsi="Verdana"/>
          <w:bCs/>
          <w:sz w:val="20"/>
        </w:rPr>
      </w:pPr>
      <w:r w:rsidRPr="00CA63EE">
        <w:rPr>
          <w:rFonts w:ascii="Verdana" w:hAnsi="Verdana"/>
          <w:bCs/>
          <w:sz w:val="20"/>
        </w:rPr>
        <w:t>II.          Llevar a cabo la recomposición de la cartera.</w:t>
      </w:r>
    </w:p>
    <w:p w:rsidR="00CA63EE" w:rsidRPr="00CA63EE" w:rsidRDefault="00CA63EE" w:rsidP="00CA63EE">
      <w:pPr>
        <w:jc w:val="both"/>
        <w:rPr>
          <w:rFonts w:ascii="Verdana" w:hAnsi="Verdana"/>
          <w:bCs/>
          <w:sz w:val="20"/>
        </w:rPr>
      </w:pPr>
      <w:r w:rsidRPr="00CA63EE">
        <w:rPr>
          <w:rFonts w:ascii="Verdana" w:hAnsi="Verdana"/>
          <w:bCs/>
          <w:sz w:val="20"/>
        </w:rPr>
        <w:t>El Comité de Inversión deberá incluir el estudio a que se refiere el presente artículo, en el Acta Pormenorizada que se levante de su sesión correspondiente.</w:t>
      </w:r>
    </w:p>
    <w:p w:rsidR="00CA63EE" w:rsidRPr="00CA63EE" w:rsidRDefault="00CA63EE" w:rsidP="00CA63EE">
      <w:pPr>
        <w:jc w:val="both"/>
        <w:rPr>
          <w:rFonts w:ascii="Verdana" w:hAnsi="Verdana"/>
          <w:bCs/>
          <w:sz w:val="20"/>
        </w:rPr>
      </w:pPr>
      <w:r w:rsidRPr="00CA63EE">
        <w:rPr>
          <w:rFonts w:ascii="Verdana" w:hAnsi="Verdana"/>
          <w:bCs/>
          <w:sz w:val="20"/>
        </w:rPr>
        <w:t>Las Sociedades de Inversión deberán estipular en los contratos de intermediación en los que otorguen un mandato a un tercero para la adquisición de Activos Objeto de Inversión que los Mandatarios podrán optar por las opciones descritas en el presente artículo. Para efecto de la ejecución de lo previsto en el presente párrafo el contrato podrá prever que el Mandatario actúe con oportunidad y apego a la regulación aplicable al Mandatario en su país de origen a fin de mitigar los perjuicios en el activo administrados por estos.</w:t>
      </w:r>
    </w:p>
    <w:p w:rsidR="00CA63EE" w:rsidRPr="00CA63EE" w:rsidRDefault="00CA63EE" w:rsidP="00CA63EE">
      <w:pPr>
        <w:jc w:val="both"/>
        <w:rPr>
          <w:rFonts w:ascii="Verdana" w:hAnsi="Verdana"/>
          <w:bCs/>
          <w:sz w:val="20"/>
        </w:rPr>
      </w:pPr>
      <w:r w:rsidRPr="00CA63EE">
        <w:rPr>
          <w:rFonts w:ascii="Verdana" w:hAnsi="Verdana"/>
          <w:b/>
          <w:bCs/>
          <w:sz w:val="20"/>
        </w:rPr>
        <w:t>Artículo 148.- </w:t>
      </w:r>
      <w:r w:rsidRPr="00CA63EE">
        <w:rPr>
          <w:rFonts w:ascii="Verdana" w:hAnsi="Verdana"/>
          <w:bCs/>
          <w:sz w:val="20"/>
        </w:rPr>
        <w:t>Para el Activo Administrado por la Sociedad de Inversión,</w:t>
      </w:r>
      <w:r w:rsidRPr="00CA63EE">
        <w:rPr>
          <w:rFonts w:ascii="Verdana" w:hAnsi="Verdana"/>
          <w:b/>
          <w:bCs/>
          <w:sz w:val="20"/>
        </w:rPr>
        <w:t> </w:t>
      </w:r>
      <w:r w:rsidRPr="00CA63EE">
        <w:rPr>
          <w:rFonts w:ascii="Verdana" w:hAnsi="Verdana"/>
          <w:bCs/>
          <w:sz w:val="20"/>
        </w:rPr>
        <w:t>en caso que el Comité de Inversión opte por la conservación de los Activos Objeto de Inversión sujetos a calificación crediticia referidos en la fracción I del artículo anterior, se deberá proceder como sigue:</w:t>
      </w:r>
    </w:p>
    <w:p w:rsidR="00CA63EE" w:rsidRPr="00CA63EE" w:rsidRDefault="00CA63EE" w:rsidP="00CA63EE">
      <w:pPr>
        <w:jc w:val="both"/>
        <w:rPr>
          <w:rFonts w:ascii="Verdana" w:hAnsi="Verdana"/>
          <w:bCs/>
          <w:sz w:val="20"/>
        </w:rPr>
      </w:pPr>
      <w:r w:rsidRPr="00CA63EE">
        <w:rPr>
          <w:rFonts w:ascii="Verdana" w:hAnsi="Verdana"/>
          <w:bCs/>
          <w:sz w:val="20"/>
        </w:rPr>
        <w:t>I.           La Sociedad de Inversión, a través de su Comité de Inversión, deberá notificar a la Comisión la estrategia que adopte, en un plazo no mayor a 20 días hábiles contado a partir de la fecha en que se presente la degradación de calificación crediticia de que se trate;</w:t>
      </w:r>
    </w:p>
    <w:p w:rsidR="00CA63EE" w:rsidRPr="00CA63EE" w:rsidRDefault="00CA63EE" w:rsidP="00CA63EE">
      <w:pPr>
        <w:jc w:val="both"/>
        <w:rPr>
          <w:rFonts w:ascii="Verdana" w:hAnsi="Verdana"/>
          <w:bCs/>
          <w:sz w:val="20"/>
        </w:rPr>
      </w:pPr>
      <w:r w:rsidRPr="00CA63EE">
        <w:rPr>
          <w:rFonts w:ascii="Verdana" w:hAnsi="Verdana"/>
          <w:bCs/>
          <w:sz w:val="20"/>
        </w:rPr>
        <w:t>II.          El Comité de Riesgos Financieros deberá actualizar la opinión sobre la calidad crediticia del emisor o Contraparte del Derivado a que se refiere la fracción II del artículo 146 de las presentes Disposiciones, en forma trimestral, misma que deberá presentar al Comité de Inversión con la misma periodicidad, 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III.          El Comité de Inversión deberá dar seguimiento al comportamiento de los Activos Objeto de Inversión sujetos a calificación crediticia o de la Contraparte del Derivado, reporto o préstamo de valores cuya calificación haya sido degradada y, </w:t>
      </w:r>
      <w:r w:rsidRPr="00CA63EE">
        <w:rPr>
          <w:rFonts w:ascii="Verdana" w:hAnsi="Verdana"/>
          <w:bCs/>
          <w:sz w:val="20"/>
        </w:rPr>
        <w:lastRenderedPageBreak/>
        <w:t>contando con la opinión del Comité de Riesgo Financiero, podrá decidir la modificación de la estrategia adoptada.</w:t>
      </w:r>
    </w:p>
    <w:p w:rsidR="00CA63EE" w:rsidRPr="00CA63EE" w:rsidRDefault="00CA63EE" w:rsidP="00CA63EE">
      <w:pPr>
        <w:jc w:val="both"/>
        <w:rPr>
          <w:rFonts w:ascii="Verdana" w:hAnsi="Verdana"/>
          <w:bCs/>
          <w:sz w:val="20"/>
        </w:rPr>
      </w:pPr>
      <w:r w:rsidRPr="00CA63EE">
        <w:rPr>
          <w:rFonts w:ascii="Verdana" w:hAnsi="Verdana"/>
          <w:bCs/>
          <w:sz w:val="20"/>
        </w:rPr>
        <w:t>En caso que se decida modificar la estrategia adoptada por la Sociedad de Inversión, su Comité de Inversión deberá en su caso, presentar un programa de recomposición de cartera en los términos a los que se refiere el artículo siguiente. El programa de recomposición de cartera deberá presentarse en un plazo no mayor a 20 días hábiles contado a partir de la fecha en que se acuerde el cambio de estrategia.</w:t>
      </w:r>
    </w:p>
    <w:p w:rsidR="00CA63EE" w:rsidRPr="00CA63EE" w:rsidRDefault="00CA63EE" w:rsidP="00CA63EE">
      <w:pPr>
        <w:jc w:val="both"/>
        <w:rPr>
          <w:rFonts w:ascii="Verdana" w:hAnsi="Verdana"/>
          <w:bCs/>
          <w:sz w:val="20"/>
        </w:rPr>
      </w:pPr>
      <w:r w:rsidRPr="00CA63EE">
        <w:rPr>
          <w:rFonts w:ascii="Verdana" w:hAnsi="Verdana"/>
          <w:bCs/>
          <w:sz w:val="20"/>
        </w:rPr>
        <w:t>Las acciones previstas en las fracciones II y III del presente artículo se ejecutarán hasta en tanto se mantenga la posesión en la cartera de inversión del Activo Administrado por la Sociedad de Inversión o la Contraparte cuya calificación crediticia se haya degradado, o bien, hasta en tanto su calificación crediticia se revise y vuelva a estar dentro de los límites permitidos en el Régimen de Inversión Autorizado.</w:t>
      </w:r>
    </w:p>
    <w:p w:rsidR="00CA63EE" w:rsidRPr="00CA63EE" w:rsidRDefault="00CA63EE" w:rsidP="00CA63EE">
      <w:pPr>
        <w:jc w:val="both"/>
        <w:rPr>
          <w:rFonts w:ascii="Verdana" w:hAnsi="Verdana"/>
          <w:bCs/>
          <w:sz w:val="20"/>
        </w:rPr>
      </w:pPr>
      <w:r w:rsidRPr="00CA63EE">
        <w:rPr>
          <w:rFonts w:ascii="Verdana" w:hAnsi="Verdana"/>
          <w:bCs/>
          <w:sz w:val="20"/>
        </w:rPr>
        <w:t>Para el caso del Activo Administrado por el Mandatario, la Administradora deberá prever que el Mandatario le informe respecto a las políticas que dicho Mandatario aplique a los emisores así como a las Contrapartes, dentro de los criterios establecidos en el contrato de mandato de inversión, el cual deberá prever un informe retrospectivo de las políticas aplicadas.</w:t>
      </w:r>
    </w:p>
    <w:p w:rsidR="00CA63EE" w:rsidRPr="00CA63EE" w:rsidRDefault="00CA63EE" w:rsidP="00CA63EE">
      <w:pPr>
        <w:jc w:val="both"/>
        <w:rPr>
          <w:rFonts w:ascii="Verdana" w:hAnsi="Verdana"/>
          <w:bCs/>
          <w:sz w:val="20"/>
        </w:rPr>
      </w:pPr>
      <w:r w:rsidRPr="00CA63EE">
        <w:rPr>
          <w:rFonts w:ascii="Verdana" w:hAnsi="Verdana"/>
          <w:b/>
          <w:bCs/>
          <w:sz w:val="20"/>
        </w:rPr>
        <w:t>Artículo 149.- </w:t>
      </w:r>
      <w:r w:rsidRPr="00CA63EE">
        <w:rPr>
          <w:rFonts w:ascii="Verdana" w:hAnsi="Verdana"/>
          <w:bCs/>
          <w:sz w:val="20"/>
        </w:rPr>
        <w:t>Para el Activo Administrado por la Sociedad de Inversión, en caso de que se tome la opción de recomponer la cartera referida en el artículo 147 fracción II de las presentes Disposiciones, el Comité de Inversión deberá hacer constar el programa de recomposición de cartera, en el Acta Pormenorizada que se levante de su sesión correspondiente y establecer:</w:t>
      </w:r>
    </w:p>
    <w:p w:rsidR="00CA63EE" w:rsidRPr="00CA63EE" w:rsidRDefault="00CA63EE" w:rsidP="00CA63EE">
      <w:pPr>
        <w:jc w:val="both"/>
        <w:rPr>
          <w:rFonts w:ascii="Verdana" w:hAnsi="Verdana"/>
          <w:bCs/>
          <w:sz w:val="20"/>
        </w:rPr>
      </w:pPr>
      <w:r w:rsidRPr="00CA63EE">
        <w:rPr>
          <w:rFonts w:ascii="Verdana" w:hAnsi="Verdana"/>
          <w:bCs/>
          <w:sz w:val="20"/>
        </w:rPr>
        <w:t>I.           Los Activos Objeto de Inversión que deberán enajenarse, y</w:t>
      </w:r>
    </w:p>
    <w:p w:rsidR="00CA63EE" w:rsidRPr="00CA63EE" w:rsidRDefault="00CA63EE" w:rsidP="00CA63EE">
      <w:pPr>
        <w:jc w:val="both"/>
        <w:rPr>
          <w:rFonts w:ascii="Verdana" w:hAnsi="Verdana"/>
          <w:bCs/>
          <w:sz w:val="20"/>
        </w:rPr>
      </w:pPr>
      <w:r w:rsidRPr="00CA63EE">
        <w:rPr>
          <w:rFonts w:ascii="Verdana" w:hAnsi="Verdana"/>
          <w:bCs/>
          <w:sz w:val="20"/>
        </w:rPr>
        <w:t>II.          El plazo para la recomposición de la cartera.</w:t>
      </w:r>
    </w:p>
    <w:p w:rsidR="00CA63EE" w:rsidRPr="00CA63EE" w:rsidRDefault="00CA63EE" w:rsidP="00CA63EE">
      <w:pPr>
        <w:jc w:val="both"/>
        <w:rPr>
          <w:rFonts w:ascii="Verdana" w:hAnsi="Verdana"/>
          <w:bCs/>
          <w:sz w:val="20"/>
        </w:rPr>
      </w:pPr>
      <w:r w:rsidRPr="00CA63EE">
        <w:rPr>
          <w:rFonts w:ascii="Verdana" w:hAnsi="Verdana"/>
          <w:bCs/>
          <w:sz w:val="20"/>
        </w:rPr>
        <w:t>Dicho programa deberá ser notificado a la Comisión en un plazo no mayor a 20 días hábiles contado a partir de la fecha en que se presente la degradación de la calificación crediticia que dé origen al mismo.</w:t>
      </w:r>
    </w:p>
    <w:p w:rsidR="00CA63EE" w:rsidRPr="00CA63EE" w:rsidRDefault="00CA63EE" w:rsidP="00CA63EE">
      <w:pPr>
        <w:jc w:val="both"/>
        <w:rPr>
          <w:rFonts w:ascii="Verdana" w:hAnsi="Verdana"/>
          <w:bCs/>
          <w:sz w:val="20"/>
        </w:rPr>
      </w:pPr>
      <w:r w:rsidRPr="00CA63EE">
        <w:rPr>
          <w:rFonts w:ascii="Verdana" w:hAnsi="Verdana"/>
          <w:bCs/>
          <w:sz w:val="20"/>
        </w:rPr>
        <w:t>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administrados por estos. Asimismo, el contrato de mandato de inversión deberá prever un informe retrospectivo de las políticas aplicadas por el Mandatario.</w:t>
      </w:r>
    </w:p>
    <w:p w:rsidR="00CA63EE" w:rsidRPr="00CA63EE" w:rsidRDefault="00CA63EE" w:rsidP="00CA63EE">
      <w:pPr>
        <w:jc w:val="both"/>
        <w:rPr>
          <w:rFonts w:ascii="Verdana" w:hAnsi="Verdana"/>
          <w:bCs/>
          <w:sz w:val="20"/>
        </w:rPr>
      </w:pPr>
      <w:r w:rsidRPr="00CA63EE">
        <w:rPr>
          <w:rFonts w:ascii="Verdana" w:hAnsi="Verdana"/>
          <w:b/>
          <w:bCs/>
          <w:sz w:val="20"/>
        </w:rPr>
        <w:t>Artículo 150.- </w:t>
      </w:r>
      <w:r w:rsidRPr="00CA63EE">
        <w:rPr>
          <w:rFonts w:ascii="Verdana" w:hAnsi="Verdana"/>
          <w:bCs/>
          <w:sz w:val="20"/>
        </w:rPr>
        <w:t>El cumplimiento del programa de recomposición de cartera definido conforme a lo dispuesto en los artículos 148 segundo párrafo y 149 anteriores será obligatorio para la Sociedad de Inversión de que se trate.</w:t>
      </w:r>
    </w:p>
    <w:p w:rsidR="00CA63EE" w:rsidRPr="00CA63EE" w:rsidRDefault="00CA63EE" w:rsidP="00CA63EE">
      <w:pPr>
        <w:jc w:val="both"/>
        <w:rPr>
          <w:rFonts w:ascii="Verdana" w:hAnsi="Verdana"/>
          <w:bCs/>
          <w:sz w:val="20"/>
        </w:rPr>
      </w:pPr>
      <w:r w:rsidRPr="00CA63EE">
        <w:rPr>
          <w:rFonts w:ascii="Verdana" w:hAnsi="Verdana"/>
          <w:bCs/>
          <w:sz w:val="20"/>
        </w:rPr>
        <w:t xml:space="preserve">Las Sociedades de Inversión deberán estipular en los contratos de intermediación en los que otorguen un mandato a un tercero para la adquisición de Activos Objeto de Inversión que los Mandatarios acatarán el programa de recomposición de cartera de </w:t>
      </w:r>
      <w:r w:rsidRPr="00CA63EE">
        <w:rPr>
          <w:rFonts w:ascii="Verdana" w:hAnsi="Verdana"/>
          <w:bCs/>
          <w:sz w:val="20"/>
        </w:rPr>
        <w:lastRenderedPageBreak/>
        <w:t>conformidad con lo estipulado en los contratos previo informe a la Administradora que los contrató.</w:t>
      </w:r>
    </w:p>
    <w:p w:rsidR="00CA63EE" w:rsidRPr="00CA63EE" w:rsidRDefault="00CA63EE" w:rsidP="00CA63EE">
      <w:pPr>
        <w:jc w:val="both"/>
        <w:rPr>
          <w:rFonts w:ascii="Verdana" w:hAnsi="Verdana"/>
          <w:bCs/>
          <w:sz w:val="20"/>
        </w:rPr>
      </w:pPr>
      <w:r w:rsidRPr="00CA63EE">
        <w:rPr>
          <w:rFonts w:ascii="Verdana" w:hAnsi="Verdana"/>
          <w:b/>
          <w:bCs/>
          <w:sz w:val="20"/>
        </w:rPr>
        <w:t>Sección II</w:t>
      </w:r>
    </w:p>
    <w:p w:rsidR="00CA63EE" w:rsidRPr="00CA63EE" w:rsidRDefault="00CA63EE" w:rsidP="00CA63EE">
      <w:pPr>
        <w:jc w:val="both"/>
        <w:rPr>
          <w:rFonts w:ascii="Verdana" w:hAnsi="Verdana"/>
          <w:bCs/>
          <w:sz w:val="20"/>
        </w:rPr>
      </w:pPr>
      <w:r w:rsidRPr="00CA63EE">
        <w:rPr>
          <w:rFonts w:ascii="Verdana" w:hAnsi="Verdana"/>
          <w:b/>
          <w:bCs/>
          <w:sz w:val="20"/>
        </w:rPr>
        <w:t>De las variaciones en los precios de los Activos Objeto de Inversión que integran el Activo</w:t>
      </w:r>
      <w:r w:rsidRPr="00CA63EE">
        <w:rPr>
          <w:rFonts w:ascii="Verdana" w:hAnsi="Verdana"/>
          <w:bCs/>
          <w:sz w:val="20"/>
        </w:rPr>
        <w:br/>
      </w:r>
      <w:r w:rsidRPr="00CA63EE">
        <w:rPr>
          <w:rFonts w:ascii="Verdana" w:hAnsi="Verdana"/>
          <w:b/>
          <w:bCs/>
          <w:sz w:val="20"/>
        </w:rPr>
        <w:t>Administrado por la Sociedad de Inversión y de la violación a los límites de inversión en los</w:t>
      </w:r>
      <w:r w:rsidRPr="00CA63EE">
        <w:rPr>
          <w:rFonts w:ascii="Verdana" w:hAnsi="Verdana"/>
          <w:bCs/>
          <w:sz w:val="20"/>
        </w:rPr>
        <w:br/>
      </w:r>
      <w:r w:rsidRPr="00CA63EE">
        <w:rPr>
          <w:rFonts w:ascii="Verdana" w:hAnsi="Verdana"/>
          <w:b/>
          <w:bCs/>
          <w:sz w:val="20"/>
        </w:rPr>
        <w:t>Componentes de Renta Variable y otros Activos objeto de Inversión por causas no imputables a la</w:t>
      </w:r>
      <w:r w:rsidRPr="00CA63EE">
        <w:rPr>
          <w:rFonts w:ascii="Verdana" w:hAnsi="Verdana"/>
          <w:bCs/>
          <w:sz w:val="20"/>
        </w:rPr>
        <w:br/>
      </w:r>
      <w:r w:rsidRPr="00CA63EE">
        <w:rPr>
          <w:rFonts w:ascii="Verdana" w:hAnsi="Verdana"/>
          <w:b/>
          <w:bCs/>
          <w:sz w:val="20"/>
        </w:rPr>
        <w:t>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151.- </w:t>
      </w:r>
      <w:r w:rsidRPr="00CA63EE">
        <w:rPr>
          <w:rFonts w:ascii="Verdana" w:hAnsi="Verdana"/>
          <w:bCs/>
          <w:sz w:val="20"/>
        </w:rPr>
        <w:t>La Sociedad de Inversión deberá proceder conforme a lo previsto en la presente Sección cuando ocurra alguno de los siguientes eventos:</w:t>
      </w:r>
    </w:p>
    <w:p w:rsidR="00CA63EE" w:rsidRPr="00CA63EE" w:rsidRDefault="00CA63EE" w:rsidP="00CA63EE">
      <w:pPr>
        <w:jc w:val="both"/>
        <w:rPr>
          <w:rFonts w:ascii="Verdana" w:hAnsi="Verdana"/>
          <w:bCs/>
          <w:sz w:val="20"/>
        </w:rPr>
      </w:pPr>
      <w:r w:rsidRPr="00CA63EE">
        <w:rPr>
          <w:rFonts w:ascii="Verdana" w:hAnsi="Verdana"/>
          <w:bCs/>
          <w:sz w:val="20"/>
        </w:rPr>
        <w:t>I.           Cuando la Sociedad de Inversión no cubra o exceda en uno o varios días los límites previstos en el Régimen de Inversión Autorizado por variaciones en el precio de los Activos Objeto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II.          Cuando para adquirir el Componente de Renta Variable, FIBRA o Vehículos de Inversión Inmobiliaria se compren las acciones, Vehículos, Vehículos de Inversión Inmobiliaria o Derivados que conformen, en su caso, índices o Canasta de Índices y, por la valuación de dichos valores, se exceda la Desviación Permitida o la ponderación de las acciones permitida conforme a las Disposiciones de carácter general que establecen el régimen de inversión al que </w:t>
      </w:r>
      <w:proofErr w:type="spellStart"/>
      <w:r w:rsidRPr="00CA63EE">
        <w:rPr>
          <w:rFonts w:ascii="Verdana" w:hAnsi="Verdana"/>
          <w:bCs/>
          <w:sz w:val="20"/>
        </w:rPr>
        <w:t>deberánsujetarse</w:t>
      </w:r>
      <w:proofErr w:type="spellEnd"/>
      <w:r w:rsidRPr="00CA63EE">
        <w:rPr>
          <w:rFonts w:ascii="Verdana" w:hAnsi="Verdana"/>
          <w:bCs/>
          <w:sz w:val="20"/>
        </w:rPr>
        <w:t xml:space="preserv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III.          Cuando para adquirir un Componente de Renta Variable, FIBRA o Vehículos de Inversión Inmobiliaria, o Mercancía se compren acciones, Vehículos, Vehículos de Inversión Inmobiliaria o Derivados que conformen, en su caso, índices o Canasta de Índices y se exceda la Desviación Permitida o la ponderación de las acciones permitida conforme a las Disposiciones de carácter general que establecen el régimen de inversión al que deberán sujetarse las Sociedades de Inversión, por el cambio en la composición de dicho índice o Canasta de Índices;</w:t>
      </w:r>
    </w:p>
    <w:p w:rsidR="00CA63EE" w:rsidRPr="00CA63EE" w:rsidRDefault="00CA63EE" w:rsidP="00CA63EE">
      <w:pPr>
        <w:jc w:val="both"/>
        <w:rPr>
          <w:rFonts w:ascii="Verdana" w:hAnsi="Verdana"/>
          <w:bCs/>
          <w:sz w:val="20"/>
        </w:rPr>
      </w:pPr>
      <w:r w:rsidRPr="00CA63EE">
        <w:rPr>
          <w:rFonts w:ascii="Verdana" w:hAnsi="Verdana"/>
          <w:bCs/>
          <w:sz w:val="20"/>
        </w:rPr>
        <w:t>IV.         Cuando para integrar el Componente de Renta Variable mediante la adquisición de acciones en directo, se exceda la Desviación Permitida o la ponderación de las acciones permitida conforme a la fracción II de la disposición Vigésima Cuarta de las Disposiciones de carácter general que establecen el régimen de inversión al que deberán sujetarse las Sociedades de Inversión, y</w:t>
      </w:r>
    </w:p>
    <w:p w:rsidR="00CA63EE" w:rsidRPr="00CA63EE" w:rsidRDefault="00CA63EE" w:rsidP="00CA63EE">
      <w:pPr>
        <w:jc w:val="both"/>
        <w:rPr>
          <w:rFonts w:ascii="Verdana" w:hAnsi="Verdana"/>
          <w:bCs/>
          <w:sz w:val="20"/>
        </w:rPr>
      </w:pPr>
      <w:r w:rsidRPr="00CA63EE">
        <w:rPr>
          <w:rFonts w:ascii="Verdana" w:hAnsi="Verdana"/>
          <w:bCs/>
          <w:sz w:val="20"/>
        </w:rPr>
        <w:t xml:space="preserve">V.          Cuando como consecuencia del Ejercicio de Derechos Patrimoniales asociados a las acciones, Vehículos o Vehículos de Inversión Inmobiliaria que integran un Componente de Renta Variable, dicho componente exceda la Desviación Permitida o la ponderación de las acciones permitida conforme a la fracción II de la disposición </w:t>
      </w:r>
      <w:r w:rsidRPr="00CA63EE">
        <w:rPr>
          <w:rFonts w:ascii="Verdana" w:hAnsi="Verdana"/>
          <w:bCs/>
          <w:sz w:val="20"/>
        </w:rPr>
        <w:lastRenderedPageBreak/>
        <w:t>Vigésima Cuarta de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Respecto a lo establecido en las fracciones II, III y V anteriores, se considerará que un evento no es imputable a la Sociedad de Inversión cuando:</w:t>
      </w:r>
    </w:p>
    <w:p w:rsidR="00CA63EE" w:rsidRPr="00CA63EE" w:rsidRDefault="00CA63EE" w:rsidP="00CA63EE">
      <w:pPr>
        <w:jc w:val="both"/>
        <w:rPr>
          <w:rFonts w:ascii="Verdana" w:hAnsi="Verdana"/>
          <w:bCs/>
          <w:sz w:val="20"/>
        </w:rPr>
      </w:pPr>
      <w:r w:rsidRPr="00CA63EE">
        <w:rPr>
          <w:rFonts w:ascii="Verdana" w:hAnsi="Verdana"/>
          <w:bCs/>
          <w:sz w:val="20"/>
        </w:rPr>
        <w:t>1.1  Ordene la concertación de compra o venta de acciones, Vehículos o Vehículos de Inversión Inmobiliaria en un plazo máximo de cuatro días hábiles, contando a partir de la fecha en que se haya excedido la Desviación Permitida, o</w:t>
      </w:r>
    </w:p>
    <w:p w:rsidR="00CA63EE" w:rsidRPr="00CA63EE" w:rsidRDefault="00CA63EE" w:rsidP="00CA63EE">
      <w:pPr>
        <w:jc w:val="both"/>
        <w:rPr>
          <w:rFonts w:ascii="Verdana" w:hAnsi="Verdana"/>
          <w:bCs/>
          <w:sz w:val="20"/>
        </w:rPr>
      </w:pPr>
      <w:r w:rsidRPr="00CA63EE">
        <w:rPr>
          <w:rFonts w:ascii="Verdana" w:hAnsi="Verdana"/>
          <w:bCs/>
          <w:sz w:val="20"/>
        </w:rPr>
        <w:t>1.2  La Sociedad de Inversión cumpla con las obligaciones derivadas de la liquidación de las órdenes de compra o venta de acciones, Vehículos o Vehículos de Inversión Inmobiliaria en un plazo máximo de cuatro días hábiles contando a partir de la fecha en que se haya concertado la operación y la(s) Contraparte(s) incumpla(n) en la entrega de las acciones, Vehículos o Vehículos de Inversión Inmobiliaria.</w:t>
      </w:r>
    </w:p>
    <w:p w:rsidR="00CA63EE" w:rsidRPr="00CA63EE" w:rsidRDefault="00CA63EE" w:rsidP="00CA63EE">
      <w:pPr>
        <w:jc w:val="both"/>
        <w:rPr>
          <w:rFonts w:ascii="Verdana" w:hAnsi="Verdana"/>
          <w:bCs/>
          <w:sz w:val="20"/>
        </w:rPr>
      </w:pPr>
      <w:r w:rsidRPr="00CA63EE">
        <w:rPr>
          <w:rFonts w:ascii="Verdana" w:hAnsi="Verdana"/>
          <w:bCs/>
          <w:sz w:val="20"/>
        </w:rPr>
        <w:t>Respecto a lo establecido en la fracción IV anterior, se considerará que un evento no es imputable a la Sociedad de Inversión cuando:</w:t>
      </w:r>
    </w:p>
    <w:p w:rsidR="00CA63EE" w:rsidRPr="00CA63EE" w:rsidRDefault="00CA63EE" w:rsidP="00CA63EE">
      <w:pPr>
        <w:jc w:val="both"/>
        <w:rPr>
          <w:rFonts w:ascii="Verdana" w:hAnsi="Verdana"/>
          <w:bCs/>
          <w:sz w:val="20"/>
        </w:rPr>
      </w:pPr>
      <w:r w:rsidRPr="00CA63EE">
        <w:rPr>
          <w:rFonts w:ascii="Verdana" w:hAnsi="Verdana"/>
          <w:bCs/>
          <w:sz w:val="20"/>
        </w:rPr>
        <w:t>2.1  Ordene la concertación de compra o venta de acciones, Vehículos o Vehículos de Inversión Inmobiliaria de conformidad con las Disposiciones de carácter general que establecen el régimen de inversión al que deberán sujetarse las Sociedades de Inversión, así como los criterios que defina el Comité de Análisis de Riesgos para la operación con Valores Extranjeros de Renta Variable y se exceda la Desviación Permitida porque la(s)Contraparte(s) incumpla(n) en la entrega de algunas acciones necesarias para integrar el Valor Extranjero de Renta Variable, o</w:t>
      </w:r>
    </w:p>
    <w:p w:rsidR="00CA63EE" w:rsidRPr="00CA63EE" w:rsidRDefault="00CA63EE" w:rsidP="00CA63EE">
      <w:pPr>
        <w:jc w:val="both"/>
        <w:rPr>
          <w:rFonts w:ascii="Verdana" w:hAnsi="Verdana"/>
          <w:bCs/>
          <w:sz w:val="20"/>
        </w:rPr>
      </w:pPr>
      <w:r w:rsidRPr="00CA63EE">
        <w:rPr>
          <w:rFonts w:ascii="Verdana" w:hAnsi="Verdana"/>
          <w:bCs/>
          <w:sz w:val="20"/>
        </w:rPr>
        <w:t>2.2  Entre la fecha de concertación de compra o venta de acciones, Vehículos o Vehículos de Inversión Inmobiliaria y la fecha de liquidación de los activos referidos, se presente una variación en la valuación de los mismos.</w:t>
      </w:r>
    </w:p>
    <w:p w:rsidR="00CA63EE" w:rsidRPr="00CA63EE" w:rsidRDefault="00CA63EE" w:rsidP="00CA63EE">
      <w:pPr>
        <w:jc w:val="both"/>
        <w:rPr>
          <w:rFonts w:ascii="Verdana" w:hAnsi="Verdana"/>
          <w:bCs/>
          <w:sz w:val="20"/>
        </w:rPr>
      </w:pPr>
      <w:r w:rsidRPr="00CA63EE">
        <w:rPr>
          <w:rFonts w:ascii="Verdana" w:hAnsi="Verdana"/>
          <w:bCs/>
          <w:sz w:val="20"/>
        </w:rPr>
        <w:t>Los incumplimientos a los contratos que celebren las Administradoras con Mandatarios no serán causa imputable a la Sociedad de Inversión cuando dichos incumplimientos no contravengan el régimen de inversión previsto en la normatividad aplicable o en el prospecto de información.</w:t>
      </w:r>
    </w:p>
    <w:p w:rsidR="00CA63EE" w:rsidRPr="00CA63EE" w:rsidRDefault="00CA63EE" w:rsidP="00CA63EE">
      <w:pPr>
        <w:jc w:val="both"/>
        <w:rPr>
          <w:rFonts w:ascii="Verdana" w:hAnsi="Verdana"/>
          <w:bCs/>
          <w:sz w:val="20"/>
        </w:rPr>
      </w:pPr>
      <w:r w:rsidRPr="00CA63EE">
        <w:rPr>
          <w:rFonts w:ascii="Verdana" w:hAnsi="Verdana"/>
          <w:bCs/>
          <w:sz w:val="20"/>
        </w:rPr>
        <w:t>No será causa imputable a la Sociedad de Inversión los incumplimientos en los límites para Instrumentos Estructurados previstos en las presentes disposiciones en los Anexos T y U, así como en las Disposiciones de carácter general que establecen el régimen de inversión al que deberán sujetarse las Sociedades de Inversión cuando como consecuencia de las llamadas de capital, los inversionistas del Instrumento Estructurado que integre la cartera de inversión del Activo Total de la Sociedad de Inversión no aporten el monto solicitado y sean sujetos a una dilución punitiva.</w:t>
      </w:r>
    </w:p>
    <w:p w:rsidR="00CA63EE" w:rsidRPr="00CA63EE" w:rsidRDefault="00CA63EE" w:rsidP="00CA63EE">
      <w:pPr>
        <w:jc w:val="both"/>
        <w:rPr>
          <w:rFonts w:ascii="Verdana" w:hAnsi="Verdana"/>
          <w:bCs/>
          <w:sz w:val="20"/>
        </w:rPr>
      </w:pPr>
      <w:r w:rsidRPr="00CA63EE">
        <w:rPr>
          <w:rFonts w:ascii="Verdana" w:hAnsi="Verdana"/>
          <w:bCs/>
          <w:sz w:val="20"/>
        </w:rPr>
        <w:t xml:space="preserve">En caso de que el administrador de los Instrumentos Estructurados, con la información pública de que disponga y la propia, no diversifique suficientemente la base de inversionistas a que se refiere el Anexo U y ocasione que las Sociedades de Inversión incumplan con los límites previstos en el aludido Anexo U de las presentes disposiciones y en las Disposiciones de carácter general que establecen el régimen de </w:t>
      </w:r>
      <w:r w:rsidRPr="00CA63EE">
        <w:rPr>
          <w:rFonts w:ascii="Verdana" w:hAnsi="Verdana"/>
          <w:bCs/>
          <w:sz w:val="20"/>
        </w:rPr>
        <w:lastRenderedPageBreak/>
        <w:t>inversión de las Sociedades de Inversión no será causa imputable a la Sociedad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No será causa imputable a la Sociedad de Inversión los incumplimientos a la normatividad de las inversiones en Índices Accionarios de Países Elegibles para Inversiones, Índices Inmobiliarios de Países Elegibles para Inversiones o Índices de Deuda de Países Elegibles para Inversiones, así como los Vehículos que los repliquen, que sean dictaminados por expertos independientes, dicho dictamen y la evidencia del cumplimiento de los requisitos establecidos en las Disposiciones de carácter general que establecen el régimen de inversión al que deberán sujetarse las Sociedades de Inversión y los criterios definidos </w:t>
      </w:r>
      <w:proofErr w:type="spellStart"/>
      <w:r w:rsidRPr="00CA63EE">
        <w:rPr>
          <w:rFonts w:ascii="Verdana" w:hAnsi="Verdana"/>
          <w:bCs/>
          <w:sz w:val="20"/>
        </w:rPr>
        <w:t>porel</w:t>
      </w:r>
      <w:proofErr w:type="spellEnd"/>
      <w:r w:rsidRPr="00CA63EE">
        <w:rPr>
          <w:rFonts w:ascii="Verdana" w:hAnsi="Verdana"/>
          <w:bCs/>
          <w:sz w:val="20"/>
        </w:rPr>
        <w:t> Comité de Análisis de Riesgos, deberán estar en todo momento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 xml:space="preserve">El párrafo anterior aplica únicamente a Vehículos que repliquen Índices Accionarios de Países Elegibles para Inversiones, Índices Inmobiliarios de Países Elegibles para Inversiones o Índices de Deuda de Países Elegibles para Inversiones, conocidos en la práctica como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e Índices Accionarios de Países Elegibles para Inversiones, Índices Inmobiliarios de Países Elegibles para Inversiones o Índices de Deuda de Países Elegibles para Inversiones que sean dictaminados por expertos independientes.</w:t>
      </w:r>
    </w:p>
    <w:p w:rsidR="00CA63EE" w:rsidRPr="00CA63EE" w:rsidRDefault="00CA63EE" w:rsidP="00CA63EE">
      <w:pPr>
        <w:jc w:val="both"/>
        <w:rPr>
          <w:rFonts w:ascii="Verdana" w:hAnsi="Verdana"/>
          <w:bCs/>
          <w:sz w:val="20"/>
        </w:rPr>
      </w:pPr>
      <w:r w:rsidRPr="00CA63EE">
        <w:rPr>
          <w:rFonts w:ascii="Verdana" w:hAnsi="Verdana"/>
          <w:bCs/>
          <w:sz w:val="20"/>
        </w:rPr>
        <w:t>El experto independiente a que hacen referencia párrafos anteriores deberá cumplir con los requisitos previstos en el Anexo S de las presentes Disposiciones y será el encargado de dictaminar el cumplimiento de los requisitos establecidos en las Disposiciones de carácter general que establecen el régimen de inversión al que deberán sujetarse las Sociedades de Inversión y los criterios definidos por el Comité de Análisis de Riesgos de los Vehículos, así como los Índices Accionarios de Países Elegibles para Inversiones, los Índices Inmobiliarios de Países Elegibles para Inversiones y los Índices de Deuda de Países Elegibles </w:t>
      </w:r>
      <w:proofErr w:type="spellStart"/>
      <w:r w:rsidRPr="00CA63EE">
        <w:rPr>
          <w:rFonts w:ascii="Verdana" w:hAnsi="Verdana"/>
          <w:bCs/>
          <w:sz w:val="20"/>
        </w:rPr>
        <w:t>paraInversiones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
          <w:bCs/>
          <w:sz w:val="20"/>
        </w:rPr>
        <w:t>Artículo 152.- </w:t>
      </w:r>
      <w:r w:rsidRPr="00CA63EE">
        <w:rPr>
          <w:rFonts w:ascii="Verdana" w:hAnsi="Verdana"/>
          <w:bCs/>
          <w:sz w:val="20"/>
        </w:rPr>
        <w:t>El Responsable del Área de Riesgos deberá notificar a la Comisión mediante escrito, al Comité de Riesgo Financiero y al Comité de Inversión los eventos a que se refieren los supuestos del artículo 151 anterior, el día hábil siguiente a aquel en que se presente algunos de los eventos establecidos.</w:t>
      </w:r>
    </w:p>
    <w:p w:rsidR="00CA63EE" w:rsidRPr="00CA63EE" w:rsidRDefault="00CA63EE" w:rsidP="00CA63EE">
      <w:pPr>
        <w:jc w:val="both"/>
        <w:rPr>
          <w:rFonts w:ascii="Verdana" w:hAnsi="Verdana"/>
          <w:bCs/>
          <w:sz w:val="20"/>
        </w:rPr>
      </w:pPr>
      <w:r w:rsidRPr="00CA63EE">
        <w:rPr>
          <w:rFonts w:ascii="Verdana" w:hAnsi="Verdana"/>
          <w:b/>
          <w:bCs/>
          <w:sz w:val="20"/>
        </w:rPr>
        <w:t>Artículo 153.- </w:t>
      </w:r>
      <w:r w:rsidRPr="00CA63EE">
        <w:rPr>
          <w:rFonts w:ascii="Verdana" w:hAnsi="Verdana"/>
          <w:bCs/>
          <w:sz w:val="20"/>
        </w:rPr>
        <w:t>Para el Activo Administrado por la Sociedad de Inversión,</w:t>
      </w:r>
      <w:r w:rsidRPr="00CA63EE">
        <w:rPr>
          <w:rFonts w:ascii="Verdana" w:hAnsi="Verdana"/>
          <w:b/>
          <w:bCs/>
          <w:sz w:val="20"/>
        </w:rPr>
        <w:t> </w:t>
      </w:r>
      <w:r w:rsidRPr="00CA63EE">
        <w:rPr>
          <w:rFonts w:ascii="Verdana" w:hAnsi="Verdana"/>
          <w:bCs/>
          <w:sz w:val="20"/>
        </w:rPr>
        <w:t>el Comité de Riesgos Financieros deberá presentar al Comité de Inversión un estudio que deberá contener:</w:t>
      </w:r>
    </w:p>
    <w:p w:rsidR="00CA63EE" w:rsidRPr="00CA63EE" w:rsidRDefault="00CA63EE" w:rsidP="00CA63EE">
      <w:pPr>
        <w:jc w:val="both"/>
        <w:rPr>
          <w:rFonts w:ascii="Verdana" w:hAnsi="Verdana"/>
          <w:bCs/>
          <w:sz w:val="20"/>
        </w:rPr>
      </w:pPr>
      <w:r w:rsidRPr="00CA63EE">
        <w:rPr>
          <w:rFonts w:ascii="Verdana" w:hAnsi="Verdana"/>
          <w:bCs/>
          <w:sz w:val="20"/>
        </w:rPr>
        <w:t>I.           La descripción de los Activos Objeto de Inversión por virtud de los cuales se dio el defecto o exceso en los límites previstos en el Régimen de Inversión Autorizado;</w:t>
      </w:r>
    </w:p>
    <w:p w:rsidR="00CA63EE" w:rsidRPr="00CA63EE" w:rsidRDefault="00CA63EE" w:rsidP="00CA63EE">
      <w:pPr>
        <w:jc w:val="both"/>
        <w:rPr>
          <w:rFonts w:ascii="Verdana" w:hAnsi="Verdana"/>
          <w:bCs/>
          <w:sz w:val="20"/>
        </w:rPr>
      </w:pPr>
      <w:r w:rsidRPr="00CA63EE">
        <w:rPr>
          <w:rFonts w:ascii="Verdana" w:hAnsi="Verdana"/>
          <w:bCs/>
          <w:sz w:val="20"/>
        </w:rPr>
        <w:t xml:space="preserve">II.          La descripción de las acciones en las que se excedió la Desviación Permitida en la ponderación del índice o Canasta de Índices de referencia establecido en el Régimen de Inversión Autorizado para adquirir el Componente de Renta Variable, en el </w:t>
      </w:r>
      <w:r w:rsidRPr="00CA63EE">
        <w:rPr>
          <w:rFonts w:ascii="Verdana" w:hAnsi="Verdana"/>
          <w:bCs/>
          <w:sz w:val="20"/>
        </w:rPr>
        <w:lastRenderedPageBreak/>
        <w:t>caso de que ocurra un cambio en la composición del índice o Canasta de Índices, las nuevas ponderaciones y las desviaciones de los porcentajes de cada acción al mismo;</w:t>
      </w:r>
    </w:p>
    <w:p w:rsidR="00CA63EE" w:rsidRPr="00CA63EE" w:rsidRDefault="00CA63EE" w:rsidP="00CA63EE">
      <w:pPr>
        <w:jc w:val="both"/>
        <w:rPr>
          <w:rFonts w:ascii="Verdana" w:hAnsi="Verdana"/>
          <w:bCs/>
          <w:sz w:val="20"/>
        </w:rPr>
      </w:pPr>
      <w:r w:rsidRPr="00CA63EE">
        <w:rPr>
          <w:rFonts w:ascii="Verdana" w:hAnsi="Verdana"/>
          <w:bCs/>
          <w:sz w:val="20"/>
        </w:rPr>
        <w:t>III.          Las circunstancias o causas que originaron la desviación con respecto a los límites previstos en el Régimen de Inversión Autorizado y las Desviaciones Permitidas, y</w:t>
      </w:r>
    </w:p>
    <w:p w:rsidR="00CA63EE" w:rsidRPr="00CA63EE" w:rsidRDefault="00CA63EE" w:rsidP="00CA63EE">
      <w:pPr>
        <w:jc w:val="both"/>
        <w:rPr>
          <w:rFonts w:ascii="Verdana" w:hAnsi="Verdana"/>
          <w:bCs/>
          <w:sz w:val="20"/>
        </w:rPr>
      </w:pPr>
      <w:r w:rsidRPr="00CA63EE">
        <w:rPr>
          <w:rFonts w:ascii="Verdana" w:hAnsi="Verdana"/>
          <w:bCs/>
          <w:sz w:val="20"/>
        </w:rPr>
        <w:t>IV.         Los elementos que permitan apoyar la toma de decisiones sobre la conveniencia de mantener o no el defecto o exceso en los Activos Objeto de Inversión por motivo de variaciones en los precios.</w:t>
      </w:r>
    </w:p>
    <w:p w:rsidR="00CA63EE" w:rsidRPr="00CA63EE" w:rsidRDefault="00CA63EE" w:rsidP="00CA63EE">
      <w:pPr>
        <w:jc w:val="both"/>
        <w:rPr>
          <w:rFonts w:ascii="Verdana" w:hAnsi="Verdana"/>
          <w:bCs/>
          <w:sz w:val="20"/>
        </w:rPr>
      </w:pPr>
      <w:r w:rsidRPr="00CA63EE">
        <w:rPr>
          <w:rFonts w:ascii="Verdana" w:hAnsi="Verdana"/>
          <w:bCs/>
          <w:sz w:val="20"/>
        </w:rPr>
        <w:t>El Comité de Riesgo Financiero deberá incluir el estudio a que se refiere el presente artículo, en el Acta Pormenorizada que se levante de su sesión correspondiente.</w:t>
      </w:r>
    </w:p>
    <w:p w:rsidR="00CA63EE" w:rsidRPr="00CA63EE" w:rsidRDefault="00CA63EE" w:rsidP="00CA63EE">
      <w:pPr>
        <w:jc w:val="both"/>
        <w:rPr>
          <w:rFonts w:ascii="Verdana" w:hAnsi="Verdana"/>
          <w:bCs/>
          <w:sz w:val="20"/>
        </w:rPr>
      </w:pPr>
      <w:r w:rsidRPr="00CA63EE">
        <w:rPr>
          <w:rFonts w:ascii="Verdana" w:hAnsi="Verdana"/>
          <w:b/>
          <w:bCs/>
          <w:sz w:val="20"/>
        </w:rPr>
        <w:t>Artículo 154.- </w:t>
      </w:r>
      <w:r w:rsidRPr="00CA63EE">
        <w:rPr>
          <w:rFonts w:ascii="Verdana" w:hAnsi="Verdana"/>
          <w:bCs/>
          <w:sz w:val="20"/>
        </w:rPr>
        <w:t>El Comité de Inversión, considerando el estudio que le presente el Comité de Riesgos Financieros, podrá optar por:</w:t>
      </w:r>
    </w:p>
    <w:p w:rsidR="00CA63EE" w:rsidRPr="00CA63EE" w:rsidRDefault="00CA63EE" w:rsidP="00CA63EE">
      <w:pPr>
        <w:jc w:val="both"/>
        <w:rPr>
          <w:rFonts w:ascii="Verdana" w:hAnsi="Verdana"/>
          <w:bCs/>
          <w:sz w:val="20"/>
        </w:rPr>
      </w:pPr>
      <w:r w:rsidRPr="00CA63EE">
        <w:rPr>
          <w:rFonts w:ascii="Verdana" w:hAnsi="Verdana"/>
          <w:bCs/>
          <w:sz w:val="20"/>
        </w:rPr>
        <w:t>I.           Mantener el defecto o exceso en los Activos Objeto de Inversión, o</w:t>
      </w:r>
    </w:p>
    <w:p w:rsidR="00CA63EE" w:rsidRPr="00CA63EE" w:rsidRDefault="00CA63EE" w:rsidP="00CA63EE">
      <w:pPr>
        <w:jc w:val="both"/>
        <w:rPr>
          <w:rFonts w:ascii="Verdana" w:hAnsi="Verdana"/>
          <w:bCs/>
          <w:sz w:val="20"/>
        </w:rPr>
      </w:pPr>
      <w:r w:rsidRPr="00CA63EE">
        <w:rPr>
          <w:rFonts w:ascii="Verdana" w:hAnsi="Verdana"/>
          <w:bCs/>
          <w:sz w:val="20"/>
        </w:rPr>
        <w:t>II.          Llevar a cabo la recomposición de la cartera.</w:t>
      </w:r>
    </w:p>
    <w:p w:rsidR="00CA63EE" w:rsidRPr="00CA63EE" w:rsidRDefault="00CA63EE" w:rsidP="00CA63EE">
      <w:pPr>
        <w:jc w:val="both"/>
        <w:rPr>
          <w:rFonts w:ascii="Verdana" w:hAnsi="Verdana"/>
          <w:bCs/>
          <w:sz w:val="20"/>
        </w:rPr>
      </w:pPr>
      <w:r w:rsidRPr="00CA63EE">
        <w:rPr>
          <w:rFonts w:ascii="Verdana" w:hAnsi="Verdana"/>
          <w:bCs/>
          <w:sz w:val="20"/>
        </w:rPr>
        <w:t>El Comité de Inversión, en todos los casos, deberá levantar Acta Pormenorizada de la sesión en que tome la decisión correspondiente.</w:t>
      </w:r>
    </w:p>
    <w:p w:rsidR="00CA63EE" w:rsidRPr="00CA63EE" w:rsidRDefault="00CA63EE" w:rsidP="00CA63EE">
      <w:pPr>
        <w:jc w:val="both"/>
        <w:rPr>
          <w:rFonts w:ascii="Verdana" w:hAnsi="Verdana"/>
          <w:bCs/>
          <w:sz w:val="20"/>
        </w:rPr>
      </w:pPr>
      <w:r w:rsidRPr="00CA63EE">
        <w:rPr>
          <w:rFonts w:ascii="Verdana" w:hAnsi="Verdana"/>
          <w:bCs/>
          <w:sz w:val="20"/>
        </w:rPr>
        <w:t>En caso de que se presente alguno de los eventos establecidos en las fracciones IV o V del artículo 151 anterior, la Sociedad de Inversión deberá proceder a recomponer su cartera de conformidad con la presente Sección, así como presentar el programa de recomposición de cartera correspondiente.</w:t>
      </w:r>
    </w:p>
    <w:p w:rsidR="00CA63EE" w:rsidRPr="00CA63EE" w:rsidRDefault="00CA63EE" w:rsidP="00CA63EE">
      <w:pPr>
        <w:jc w:val="both"/>
        <w:rPr>
          <w:rFonts w:ascii="Verdana" w:hAnsi="Verdana"/>
          <w:bCs/>
          <w:sz w:val="20"/>
        </w:rPr>
      </w:pPr>
      <w:r w:rsidRPr="00CA63EE">
        <w:rPr>
          <w:rFonts w:ascii="Verdana" w:hAnsi="Verdana"/>
          <w:bCs/>
          <w:sz w:val="20"/>
        </w:rPr>
        <w:t>Asimismo, en caso de que la violación sea por causa de que la(s) Contraparte(s) incumpla(n) en la entrega de las acciones, Vehículos o Vehículos de Inversión Inmobiliaria, el Comité de Inversión deberá decidir si continúa realizando operaciones con la Contraparte que incumplió.</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administrados por estos. Asimismo, el contrato de mandato de inversión deberá prever un informe retrospectivo de las políticas aplicadas por el Mandatario.</w:t>
      </w:r>
    </w:p>
    <w:p w:rsidR="00CA63EE" w:rsidRPr="00CA63EE" w:rsidRDefault="00CA63EE" w:rsidP="00CA63EE">
      <w:pPr>
        <w:jc w:val="both"/>
        <w:rPr>
          <w:rFonts w:ascii="Verdana" w:hAnsi="Verdana"/>
          <w:bCs/>
          <w:sz w:val="20"/>
        </w:rPr>
      </w:pPr>
      <w:r w:rsidRPr="00CA63EE">
        <w:rPr>
          <w:rFonts w:ascii="Verdana" w:hAnsi="Verdana"/>
          <w:b/>
          <w:bCs/>
          <w:sz w:val="20"/>
        </w:rPr>
        <w:t>Artículo 155.- </w:t>
      </w:r>
      <w:r w:rsidRPr="00CA63EE">
        <w:rPr>
          <w:rFonts w:ascii="Verdana" w:hAnsi="Verdana"/>
          <w:bCs/>
          <w:sz w:val="20"/>
        </w:rPr>
        <w:t>Para el Activo Administrado por la Sociedad de Inversión, en caso de que opte por mantener temporalmente el defecto o exceso en los Activos Objeto de Inversión, de conformidad con lo establecido en la fracción I del artículo anterior, deberá solicitar a la Comisión a través de su Comité de Inversión, la autorización para mantener temporalmente el defecto o exceso en dichos activos, en un plazo no mayor a 20 días hábiles contados a partir de aquel en que se presente alguno de los eventos contemplados en el artículo 151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La Comisión, con la condición de que no se lleven a cabo nuevas adquisiciones o ventas de los Activos Objeto de Inversión causantes del </w:t>
      </w:r>
      <w:proofErr w:type="spellStart"/>
      <w:r w:rsidRPr="00CA63EE">
        <w:rPr>
          <w:rFonts w:ascii="Verdana" w:hAnsi="Verdana"/>
          <w:bCs/>
          <w:sz w:val="20"/>
        </w:rPr>
        <w:t>defecto</w:t>
      </w:r>
      <w:proofErr w:type="spellEnd"/>
      <w:r w:rsidRPr="00CA63EE">
        <w:rPr>
          <w:rFonts w:ascii="Verdana" w:hAnsi="Verdana"/>
          <w:bCs/>
          <w:sz w:val="20"/>
        </w:rPr>
        <w:t xml:space="preserve"> o exceso, otorgará la no objeción para mantener temporalmente el defecto o exceso en dichos activos hasta en tanto se restablezcan los límites aplicables.</w:t>
      </w:r>
    </w:p>
    <w:p w:rsidR="00CA63EE" w:rsidRPr="00CA63EE" w:rsidRDefault="00CA63EE" w:rsidP="00CA63EE">
      <w:pPr>
        <w:jc w:val="both"/>
        <w:rPr>
          <w:rFonts w:ascii="Verdana" w:hAnsi="Verdana"/>
          <w:bCs/>
          <w:sz w:val="20"/>
        </w:rPr>
      </w:pPr>
      <w:r w:rsidRPr="00CA63EE">
        <w:rPr>
          <w:rFonts w:ascii="Verdana" w:hAnsi="Verdana"/>
          <w:bCs/>
          <w:sz w:val="20"/>
        </w:rPr>
        <w:t>En todo caso, el plazo en que se podrá mantener el defecto o exceso en los Activos Objeto de Inversión que conforman el Activo Administrado por la Sociedad de Inversión que dieron origen al incumplimiento por alguno de los eventos contemplados en el artículo 151 anterior no podrá exceder de seis meses contados a partir de que se presente dicho evento.</w:t>
      </w:r>
    </w:p>
    <w:p w:rsidR="00CA63EE" w:rsidRPr="00CA63EE" w:rsidRDefault="00CA63EE" w:rsidP="00CA63EE">
      <w:pPr>
        <w:jc w:val="both"/>
        <w:rPr>
          <w:rFonts w:ascii="Verdana" w:hAnsi="Verdana"/>
          <w:bCs/>
          <w:sz w:val="20"/>
        </w:rPr>
      </w:pPr>
      <w:r w:rsidRPr="00CA63EE">
        <w:rPr>
          <w:rFonts w:ascii="Verdana" w:hAnsi="Verdana"/>
          <w:b/>
          <w:bCs/>
          <w:sz w:val="20"/>
        </w:rPr>
        <w:t>Artículo 156.- </w:t>
      </w:r>
      <w:r w:rsidRPr="00CA63EE">
        <w:rPr>
          <w:rFonts w:ascii="Verdana" w:hAnsi="Verdana"/>
          <w:bCs/>
          <w:sz w:val="20"/>
        </w:rPr>
        <w:t>En caso de que se opte por recomponer la cartera conforme a lo previsto en el artículo 154 de las presentes Disposiciones, el Comité de Inversión deberá hacer constar en el Acta Pormenorizada que se levante de su sesión correspondiente el programa de recomposición de cartera, así como establecer cuando menos lo siguiente:</w:t>
      </w:r>
    </w:p>
    <w:p w:rsidR="00CA63EE" w:rsidRPr="00CA63EE" w:rsidRDefault="00CA63EE" w:rsidP="00CA63EE">
      <w:pPr>
        <w:jc w:val="both"/>
        <w:rPr>
          <w:rFonts w:ascii="Verdana" w:hAnsi="Verdana"/>
          <w:bCs/>
          <w:sz w:val="20"/>
        </w:rPr>
      </w:pPr>
      <w:r w:rsidRPr="00CA63EE">
        <w:rPr>
          <w:rFonts w:ascii="Verdana" w:hAnsi="Verdana"/>
          <w:bCs/>
          <w:sz w:val="20"/>
        </w:rPr>
        <w:t>I.           Los Activos Objeto de Inversión que deberán enajenarse o comprarse;</w:t>
      </w:r>
    </w:p>
    <w:p w:rsidR="00CA63EE" w:rsidRPr="00CA63EE" w:rsidRDefault="00CA63EE" w:rsidP="00CA63EE">
      <w:pPr>
        <w:jc w:val="both"/>
        <w:rPr>
          <w:rFonts w:ascii="Verdana" w:hAnsi="Verdana"/>
          <w:bCs/>
          <w:sz w:val="20"/>
        </w:rPr>
      </w:pPr>
      <w:r w:rsidRPr="00CA63EE">
        <w:rPr>
          <w:rFonts w:ascii="Verdana" w:hAnsi="Verdana"/>
          <w:bCs/>
          <w:sz w:val="20"/>
        </w:rPr>
        <w:t>II.          En su caso, la inversión de nuevos recursos, y</w:t>
      </w:r>
    </w:p>
    <w:p w:rsidR="00CA63EE" w:rsidRPr="00CA63EE" w:rsidRDefault="00CA63EE" w:rsidP="00CA63EE">
      <w:pPr>
        <w:jc w:val="both"/>
        <w:rPr>
          <w:rFonts w:ascii="Verdana" w:hAnsi="Verdana"/>
          <w:bCs/>
          <w:sz w:val="20"/>
        </w:rPr>
      </w:pPr>
      <w:r w:rsidRPr="00CA63EE">
        <w:rPr>
          <w:rFonts w:ascii="Verdana" w:hAnsi="Verdana"/>
          <w:bCs/>
          <w:sz w:val="20"/>
        </w:rPr>
        <w:t>III.          El plazo para la recomposición de la cartera.</w:t>
      </w:r>
    </w:p>
    <w:p w:rsidR="00CA63EE" w:rsidRPr="00CA63EE" w:rsidRDefault="00CA63EE" w:rsidP="00CA63EE">
      <w:pPr>
        <w:jc w:val="both"/>
        <w:rPr>
          <w:rFonts w:ascii="Verdana" w:hAnsi="Verdana"/>
          <w:bCs/>
          <w:sz w:val="20"/>
        </w:rPr>
      </w:pPr>
      <w:r w:rsidRPr="00CA63EE">
        <w:rPr>
          <w:rFonts w:ascii="Verdana" w:hAnsi="Verdana"/>
          <w:bCs/>
          <w:sz w:val="20"/>
        </w:rPr>
        <w:t>La Sociedad de Inversión, a través de su Comité de Inversión, deberá notificar el programa de recomposición de cartera a la Comisión, en un plazo no mayor a 20 días hábiles contados a partir de la fecha en que se presente la desviación con respecto a los límites que al efecto se prevean en el régimen de inversión.</w:t>
      </w:r>
    </w:p>
    <w:p w:rsidR="00CA63EE" w:rsidRPr="00CA63EE" w:rsidRDefault="00CA63EE" w:rsidP="00CA63EE">
      <w:pPr>
        <w:jc w:val="both"/>
        <w:rPr>
          <w:rFonts w:ascii="Verdana" w:hAnsi="Verdana"/>
          <w:bCs/>
          <w:sz w:val="20"/>
        </w:rPr>
      </w:pPr>
      <w:r w:rsidRPr="00CA63EE">
        <w:rPr>
          <w:rFonts w:ascii="Verdana" w:hAnsi="Verdana"/>
          <w:b/>
          <w:bCs/>
          <w:sz w:val="20"/>
        </w:rPr>
        <w:t>Artículo 157.- </w:t>
      </w:r>
      <w:r w:rsidRPr="00CA63EE">
        <w:rPr>
          <w:rFonts w:ascii="Verdana" w:hAnsi="Verdana"/>
          <w:bCs/>
          <w:sz w:val="20"/>
        </w:rPr>
        <w:t>El cumplimiento del programa de recomposición de cartera definido conforme a lo dispuesto en el artículo anterior será obligatorio para la Sociedad de Inversión de que se trate.</w:t>
      </w:r>
    </w:p>
    <w:p w:rsidR="00CA63EE" w:rsidRPr="00CA63EE" w:rsidRDefault="00CA63EE" w:rsidP="00CA63EE">
      <w:pPr>
        <w:jc w:val="both"/>
        <w:rPr>
          <w:rFonts w:ascii="Verdana" w:hAnsi="Verdana"/>
          <w:bCs/>
          <w:sz w:val="20"/>
        </w:rPr>
      </w:pPr>
      <w:r w:rsidRPr="00CA63EE">
        <w:rPr>
          <w:rFonts w:ascii="Verdana" w:hAnsi="Verdana"/>
          <w:b/>
          <w:bCs/>
          <w:sz w:val="20"/>
        </w:rPr>
        <w:t>Artículo 158.- </w:t>
      </w:r>
      <w:r w:rsidRPr="00CA63EE">
        <w:rPr>
          <w:rFonts w:ascii="Verdana" w:hAnsi="Verdana"/>
          <w:bCs/>
          <w:sz w:val="20"/>
        </w:rPr>
        <w:t>La Administradora que opere la Sociedad de Inversión de que se trate, en caso de que no se presente la notificación a que se refiere el artículo 152 dentro de los plazos previstos para tal efecto, la solicitud a que se refiere el artículo 155 o el programa de recomposición de cartera a que se refiere el artículo 156, deberá cubrir las minusvalías diarias que se hayan presentado entre el día en que ocurra alguno de los eventos contemplados en el artículo 151 que dio origen al incumplimiento y el día en que se presente la notificación, solicitud o programa de recomposición de cartera, según sea el caso, con cargo a la reserva especial constituida en términos de lo dispuesto por el artículo 28 de la Ley y, en caso de que ésta resulte insuficiente, lo deberá hacer con cargo a su capital social o patrimonio.</w:t>
      </w:r>
    </w:p>
    <w:p w:rsidR="00CA63EE" w:rsidRPr="00CA63EE" w:rsidRDefault="00CA63EE" w:rsidP="00CA63EE">
      <w:pPr>
        <w:jc w:val="both"/>
        <w:rPr>
          <w:rFonts w:ascii="Verdana" w:hAnsi="Verdana"/>
          <w:bCs/>
          <w:sz w:val="20"/>
        </w:rPr>
      </w:pPr>
      <w:r w:rsidRPr="00CA63EE">
        <w:rPr>
          <w:rFonts w:ascii="Verdana" w:hAnsi="Verdana"/>
          <w:bCs/>
          <w:sz w:val="20"/>
        </w:rPr>
        <w:t xml:space="preserve">En aquellos casos en que la Sociedad de Inversión no cubra o exceda en uno o varios días los límites previstos en el Régimen de Inversión Autorizado por variaciones en los precios; y que una vez </w:t>
      </w:r>
      <w:proofErr w:type="spellStart"/>
      <w:r w:rsidRPr="00CA63EE">
        <w:rPr>
          <w:rFonts w:ascii="Verdana" w:hAnsi="Verdana"/>
          <w:bCs/>
          <w:sz w:val="20"/>
        </w:rPr>
        <w:t>reestablecidos</w:t>
      </w:r>
      <w:proofErr w:type="spellEnd"/>
      <w:r w:rsidRPr="00CA63EE">
        <w:rPr>
          <w:rFonts w:ascii="Verdana" w:hAnsi="Verdana"/>
          <w:bCs/>
          <w:sz w:val="20"/>
        </w:rPr>
        <w:t xml:space="preserve"> los límites aplicables, ya sea que haya optado por mantener el defecto o exceso en los Activos Objeto de Inversión o bien haya llevado a cabo la recomposición de la cartera, podrá realizar nuevas adquisiciones o ventas de los Activos Objeto de Inversión de que se trate sin contar con el visto </w:t>
      </w:r>
      <w:r w:rsidRPr="00CA63EE">
        <w:rPr>
          <w:rFonts w:ascii="Verdana" w:hAnsi="Verdana"/>
          <w:bCs/>
          <w:sz w:val="20"/>
        </w:rPr>
        <w:lastRenderedPageBreak/>
        <w:t xml:space="preserve">bueno de la Comisión, siempre que la Sociedad de Inversión se haya apegado al procedimiento previsto en las </w:t>
      </w:r>
      <w:proofErr w:type="spellStart"/>
      <w:r w:rsidRPr="00CA63EE">
        <w:rPr>
          <w:rFonts w:ascii="Verdana" w:hAnsi="Verdana"/>
          <w:bCs/>
          <w:sz w:val="20"/>
        </w:rPr>
        <w:t>presentesDisposiciones</w:t>
      </w:r>
      <w:proofErr w:type="spellEnd"/>
      <w:r w:rsidRPr="00CA63EE">
        <w:rPr>
          <w:rFonts w:ascii="Verdana" w:hAnsi="Verdana"/>
          <w:bCs/>
          <w:sz w:val="20"/>
        </w:rPr>
        <w:t xml:space="preserve"> y la evidencia documental respectiva quede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Asimismo, en caso de que se exceda la Desviación Permitida por causas imputables a la Sociedad de Inversión, ésta deberá recomponer su cartera de conformidad con lo establecido en la siguiente Sección.</w:t>
      </w:r>
    </w:p>
    <w:p w:rsidR="00CA63EE" w:rsidRPr="00CA63EE" w:rsidRDefault="00CA63EE" w:rsidP="00CA63EE">
      <w:pPr>
        <w:jc w:val="both"/>
        <w:rPr>
          <w:rFonts w:ascii="Verdana" w:hAnsi="Verdana"/>
          <w:bCs/>
          <w:sz w:val="20"/>
        </w:rPr>
      </w:pPr>
      <w:r w:rsidRPr="00CA63EE">
        <w:rPr>
          <w:rFonts w:ascii="Verdana" w:hAnsi="Verdana"/>
          <w:b/>
          <w:bCs/>
          <w:sz w:val="20"/>
        </w:rPr>
        <w:t>Sección III</w:t>
      </w:r>
    </w:p>
    <w:p w:rsidR="00CA63EE" w:rsidRPr="00CA63EE" w:rsidRDefault="00CA63EE" w:rsidP="00CA63EE">
      <w:pPr>
        <w:jc w:val="both"/>
        <w:rPr>
          <w:rFonts w:ascii="Verdana" w:hAnsi="Verdana"/>
          <w:bCs/>
          <w:sz w:val="20"/>
        </w:rPr>
      </w:pPr>
      <w:r w:rsidRPr="00CA63EE">
        <w:rPr>
          <w:rFonts w:ascii="Verdana" w:hAnsi="Verdana"/>
          <w:b/>
          <w:bCs/>
          <w:sz w:val="20"/>
        </w:rPr>
        <w:t>De la recomposición de cartera por incumplir los límites establecidos en el Régimen de Inversión</w:t>
      </w:r>
      <w:r w:rsidRPr="00CA63EE">
        <w:rPr>
          <w:rFonts w:ascii="Verdana" w:hAnsi="Verdana"/>
          <w:bCs/>
          <w:sz w:val="20"/>
        </w:rPr>
        <w:br/>
      </w:r>
      <w:r w:rsidRPr="00CA63EE">
        <w:rPr>
          <w:rFonts w:ascii="Verdana" w:hAnsi="Verdana"/>
          <w:b/>
          <w:bCs/>
          <w:sz w:val="20"/>
        </w:rPr>
        <w:t>Autorizado por adquisición o venta de Activos Objeto de Inversión y por la violación a los límites de</w:t>
      </w:r>
      <w:r w:rsidRPr="00CA63EE">
        <w:rPr>
          <w:rFonts w:ascii="Verdana" w:hAnsi="Verdana"/>
          <w:bCs/>
          <w:sz w:val="20"/>
        </w:rPr>
        <w:br/>
      </w:r>
      <w:r w:rsidRPr="00CA63EE">
        <w:rPr>
          <w:rFonts w:ascii="Verdana" w:hAnsi="Verdana"/>
          <w:b/>
          <w:bCs/>
          <w:sz w:val="20"/>
        </w:rPr>
        <w:t>inversión que conformen el Activo Total de la Sociedad de Inversión en los Componentes de Renta</w:t>
      </w:r>
      <w:r w:rsidRPr="00CA63EE">
        <w:rPr>
          <w:rFonts w:ascii="Verdana" w:hAnsi="Verdana"/>
          <w:bCs/>
          <w:sz w:val="20"/>
        </w:rPr>
        <w:br/>
      </w:r>
      <w:r w:rsidRPr="00CA63EE">
        <w:rPr>
          <w:rFonts w:ascii="Verdana" w:hAnsi="Verdana"/>
          <w:b/>
          <w:bCs/>
          <w:sz w:val="20"/>
        </w:rPr>
        <w:t>Variable por causas imputables a la Sociedad de Inversión</w:t>
      </w:r>
    </w:p>
    <w:p w:rsidR="00CA63EE" w:rsidRPr="00CA63EE" w:rsidRDefault="00CA63EE" w:rsidP="00CA63EE">
      <w:pPr>
        <w:jc w:val="both"/>
        <w:rPr>
          <w:rFonts w:ascii="Verdana" w:hAnsi="Verdana"/>
          <w:bCs/>
          <w:sz w:val="20"/>
        </w:rPr>
      </w:pPr>
      <w:r w:rsidRPr="00CA63EE">
        <w:rPr>
          <w:rFonts w:ascii="Verdana" w:hAnsi="Verdana"/>
          <w:b/>
          <w:bCs/>
          <w:sz w:val="20"/>
        </w:rPr>
        <w:t>Artículo 159.- </w:t>
      </w:r>
      <w:r w:rsidRPr="00CA63EE">
        <w:rPr>
          <w:rFonts w:ascii="Verdana" w:hAnsi="Verdana"/>
          <w:bCs/>
          <w:sz w:val="20"/>
        </w:rPr>
        <w:t>La Sociedad de Inversión deberá recomponer la cartera que conforme el Activo Total de la Sociedad de Inversión de acuerdo a lo previsto en la presente Sección cuando ocurra alguno de los siguientes eventos: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           Cuando la Sociedad de Inversión directamente o a través de Prestadores de Servicios Financieros, incluyendo los Mandatarios, haya adquirido o vendido Activos Objeto de Inversión, incumpliendo los límites previstos en el Régimen de Inversión Autorizado;</w:t>
      </w:r>
    </w:p>
    <w:p w:rsidR="00CA63EE" w:rsidRPr="00CA63EE" w:rsidRDefault="00CA63EE" w:rsidP="00CA63EE">
      <w:pPr>
        <w:jc w:val="both"/>
        <w:rPr>
          <w:rFonts w:ascii="Verdana" w:hAnsi="Verdana"/>
          <w:bCs/>
          <w:sz w:val="20"/>
        </w:rPr>
      </w:pPr>
      <w:r w:rsidRPr="00CA63EE">
        <w:rPr>
          <w:rFonts w:ascii="Verdana" w:hAnsi="Verdana"/>
          <w:bCs/>
          <w:sz w:val="20"/>
        </w:rPr>
        <w:t>II.          Cuando la Sociedad de Inversión directamente o a través de Prestadores de Servicios Financieros, incluyendo los Mandatarios haya adquirido Activos Objeto de Inversión no contemplados en el Régimen de Inversión Autorizado, y</w:t>
      </w:r>
    </w:p>
    <w:p w:rsidR="00CA63EE" w:rsidRPr="00CA63EE" w:rsidRDefault="00CA63EE" w:rsidP="00CA63EE">
      <w:pPr>
        <w:jc w:val="both"/>
        <w:rPr>
          <w:rFonts w:ascii="Verdana" w:hAnsi="Verdana"/>
          <w:bCs/>
          <w:sz w:val="20"/>
        </w:rPr>
      </w:pPr>
      <w:r w:rsidRPr="00CA63EE">
        <w:rPr>
          <w:rFonts w:ascii="Verdana" w:hAnsi="Verdana"/>
          <w:bCs/>
          <w:sz w:val="20"/>
        </w:rPr>
        <w:t>III.          Para el caso del Activo Administrado por la Sociedad de Inversión, cuando se exceda el plazo de cuatro días hábiles establecido por la Comisión para conformar o liquidar el Valor Extranjero de Renta Variable, incumpliendo el Régimen de Inversión Autorizado, siendo imputable el exceso a la Administradora que opera la Sociedad de Inversión.</w:t>
      </w:r>
    </w:p>
    <w:p w:rsidR="00CA63EE" w:rsidRPr="00CA63EE" w:rsidRDefault="00CA63EE" w:rsidP="00CA63EE">
      <w:pPr>
        <w:jc w:val="both"/>
        <w:rPr>
          <w:rFonts w:ascii="Verdana" w:hAnsi="Verdana"/>
          <w:bCs/>
          <w:sz w:val="20"/>
        </w:rPr>
      </w:pPr>
      <w:r w:rsidRPr="00CA63EE">
        <w:rPr>
          <w:rFonts w:ascii="Verdana" w:hAnsi="Verdana"/>
          <w:bCs/>
          <w:sz w:val="20"/>
        </w:rPr>
        <w:t>Se considera que un evento es imputable a la Sociedad de Inversión, salvo prueba en contrario, cuando:</w:t>
      </w:r>
    </w:p>
    <w:p w:rsidR="00CA63EE" w:rsidRPr="00CA63EE" w:rsidRDefault="00CA63EE" w:rsidP="00CA63EE">
      <w:pPr>
        <w:jc w:val="both"/>
        <w:rPr>
          <w:rFonts w:ascii="Verdana" w:hAnsi="Verdana"/>
          <w:bCs/>
          <w:sz w:val="20"/>
        </w:rPr>
      </w:pPr>
      <w:r w:rsidRPr="00CA63EE">
        <w:rPr>
          <w:rFonts w:ascii="Verdana" w:hAnsi="Verdana"/>
          <w:bCs/>
          <w:sz w:val="20"/>
        </w:rPr>
        <w:t>a)   La Sociedad de Inversión no concierte la compra y la venta de acciones, Vehículos o Vehículos de Inversión Inmobiliaria necesarios para conformar un Valor Extranjero de Renta Variable dentro de los cuatro días hábiles siguientes a la fecha en que debió conformar el Valor Extranjero de Renta Variable, o</w:t>
      </w:r>
    </w:p>
    <w:p w:rsidR="00CA63EE" w:rsidRPr="00CA63EE" w:rsidRDefault="00CA63EE" w:rsidP="00CA63EE">
      <w:pPr>
        <w:jc w:val="both"/>
        <w:rPr>
          <w:rFonts w:ascii="Verdana" w:hAnsi="Verdana"/>
          <w:bCs/>
          <w:sz w:val="20"/>
        </w:rPr>
      </w:pPr>
      <w:r w:rsidRPr="00CA63EE">
        <w:rPr>
          <w:rFonts w:ascii="Verdana" w:hAnsi="Verdana"/>
          <w:bCs/>
          <w:sz w:val="20"/>
        </w:rPr>
        <w:t xml:space="preserve">b)   La Sociedad de Inversión, habiendo concertado la compra y la venta de acciones, Vehículos o Vehículos de Inversión Inmobiliaria, por causas imputables a la </w:t>
      </w:r>
      <w:r w:rsidRPr="00CA63EE">
        <w:rPr>
          <w:rFonts w:ascii="Verdana" w:hAnsi="Verdana"/>
          <w:bCs/>
          <w:sz w:val="20"/>
        </w:rPr>
        <w:lastRenderedPageBreak/>
        <w:t>Administradora no se lleve a cabo la liquidación pactada de los citados activos dentro de los cuatro días hábiles siguientes a la fecha en que concertó la operación.</w:t>
      </w:r>
    </w:p>
    <w:p w:rsidR="00CA63EE" w:rsidRPr="00CA63EE" w:rsidRDefault="00CA63EE" w:rsidP="00CA63EE">
      <w:pPr>
        <w:jc w:val="both"/>
        <w:rPr>
          <w:rFonts w:ascii="Verdana" w:hAnsi="Verdana"/>
          <w:bCs/>
          <w:sz w:val="20"/>
        </w:rPr>
      </w:pPr>
      <w:r w:rsidRPr="00CA63EE">
        <w:rPr>
          <w:rFonts w:ascii="Verdana" w:hAnsi="Verdana"/>
          <w:b/>
          <w:bCs/>
          <w:sz w:val="20"/>
        </w:rPr>
        <w:t>Artículo 160.- </w:t>
      </w:r>
      <w:r w:rsidRPr="00CA63EE">
        <w:rPr>
          <w:rFonts w:ascii="Verdana" w:hAnsi="Verdana"/>
          <w:bCs/>
          <w:sz w:val="20"/>
        </w:rPr>
        <w:t>El Responsable del Área de Riesgos deberá notificar a la Comisión mediante escrito, al Comité de Riesgos Financieros y al Comité de Inversión, cuando por alguna de las causas establecidas en el artículo anterior, se haya incumplido el Régimen de Inversión Autorizado, el día hábil siguiente a aquel en que se origine el incumplimiento de dicho Régimen o bien en caso de los Activos Administrados por un Mandatario al día hábil siguiente en que tenga conocimiento del incumplimiento.</w:t>
      </w:r>
    </w:p>
    <w:p w:rsidR="00CA63EE" w:rsidRPr="00CA63EE" w:rsidRDefault="00CA63EE" w:rsidP="00CA63EE">
      <w:pPr>
        <w:jc w:val="both"/>
        <w:rPr>
          <w:rFonts w:ascii="Verdana" w:hAnsi="Verdana"/>
          <w:bCs/>
          <w:sz w:val="20"/>
        </w:rPr>
      </w:pPr>
      <w:r w:rsidRPr="00CA63EE">
        <w:rPr>
          <w:rFonts w:ascii="Verdana" w:hAnsi="Verdana"/>
          <w:b/>
          <w:bCs/>
          <w:sz w:val="20"/>
        </w:rPr>
        <w:t>Artículo 161.- </w:t>
      </w:r>
      <w:r w:rsidRPr="00CA63EE">
        <w:rPr>
          <w:rFonts w:ascii="Verdana" w:hAnsi="Verdana"/>
          <w:bCs/>
          <w:sz w:val="20"/>
        </w:rPr>
        <w:t>El Comité de Riesgos Financieros, deberá presentar al Comité de Inversión un estudio que deberá contener como mínimo lo siguiente:</w:t>
      </w:r>
    </w:p>
    <w:p w:rsidR="00CA63EE" w:rsidRPr="00CA63EE" w:rsidRDefault="00CA63EE" w:rsidP="00CA63EE">
      <w:pPr>
        <w:jc w:val="both"/>
        <w:rPr>
          <w:rFonts w:ascii="Verdana" w:hAnsi="Verdana"/>
          <w:bCs/>
          <w:sz w:val="20"/>
        </w:rPr>
      </w:pPr>
      <w:r w:rsidRPr="00CA63EE">
        <w:rPr>
          <w:rFonts w:ascii="Verdana" w:hAnsi="Verdana"/>
          <w:bCs/>
          <w:sz w:val="20"/>
        </w:rPr>
        <w:t>I.           Descripción de los Activos Objeto de Inversión que conforme el Activo Administrado por la Sociedad de Inversión por virtud de los cuales se incumplió el Régimen de Inversión Autorizado conforme a lo dispuesto en el artículo anterior, y</w:t>
      </w:r>
    </w:p>
    <w:p w:rsidR="00CA63EE" w:rsidRPr="00CA63EE" w:rsidRDefault="00CA63EE" w:rsidP="00CA63EE">
      <w:pPr>
        <w:jc w:val="both"/>
        <w:rPr>
          <w:rFonts w:ascii="Verdana" w:hAnsi="Verdana"/>
          <w:bCs/>
          <w:sz w:val="20"/>
        </w:rPr>
      </w:pPr>
      <w:r w:rsidRPr="00CA63EE">
        <w:rPr>
          <w:rFonts w:ascii="Verdana" w:hAnsi="Verdana"/>
          <w:bCs/>
          <w:sz w:val="20"/>
        </w:rPr>
        <w:t>II.          Propuesta de programa de recomposición de la cartera que conforme el Activo Administrado por la Sociedad de Inversión que permita restablecer, en un plazo máximo de seis meses contados a partir de que se origine el incumplimiento, el límite previsto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El Comité de Riesgos Financieros deberá incluir el estudio a que se refiere el presente artículo en el Acta Pormenorizada que se levante de su sesión correspondiente.</w:t>
      </w:r>
    </w:p>
    <w:p w:rsidR="00CA63EE" w:rsidRPr="00CA63EE" w:rsidRDefault="00CA63EE" w:rsidP="00CA63EE">
      <w:pPr>
        <w:jc w:val="both"/>
        <w:rPr>
          <w:rFonts w:ascii="Verdana" w:hAnsi="Verdana"/>
          <w:bCs/>
          <w:sz w:val="20"/>
        </w:rPr>
      </w:pPr>
      <w:r w:rsidRPr="00CA63EE">
        <w:rPr>
          <w:rFonts w:ascii="Verdana" w:hAnsi="Verdana"/>
          <w:bCs/>
          <w:sz w:val="20"/>
        </w:rPr>
        <w:t>Para el caso del Activo Administrado por el Mandatario, la Administradora deberá prever en los contratos de intermediación que el Mandatario le informe respecto al estudio a que se refiere el presente artículo y dicho estudio sea informado a la Administradora.</w:t>
      </w:r>
    </w:p>
    <w:p w:rsidR="00CA63EE" w:rsidRPr="00CA63EE" w:rsidRDefault="00CA63EE" w:rsidP="00CA63EE">
      <w:pPr>
        <w:jc w:val="both"/>
        <w:rPr>
          <w:rFonts w:ascii="Verdana" w:hAnsi="Verdana"/>
          <w:bCs/>
          <w:sz w:val="20"/>
        </w:rPr>
      </w:pPr>
      <w:r w:rsidRPr="00CA63EE">
        <w:rPr>
          <w:rFonts w:ascii="Verdana" w:hAnsi="Verdana"/>
          <w:b/>
          <w:bCs/>
          <w:sz w:val="20"/>
        </w:rPr>
        <w:t>Artículo 162.- </w:t>
      </w:r>
      <w:r w:rsidRPr="00CA63EE">
        <w:rPr>
          <w:rFonts w:ascii="Verdana" w:hAnsi="Verdana"/>
          <w:bCs/>
          <w:sz w:val="20"/>
        </w:rPr>
        <w:t>El Comité de Inversión, considerando el estudio que le presente el Comité de Riesgos Financieros, decidirá la estrategia que habrá de seguir la Sociedad de Inversión para recomponer su cartera y para tal efecto definirá por lo menos la siguiente información:</w:t>
      </w:r>
    </w:p>
    <w:p w:rsidR="00CA63EE" w:rsidRPr="00CA63EE" w:rsidRDefault="00CA63EE" w:rsidP="00CA63EE">
      <w:pPr>
        <w:jc w:val="both"/>
        <w:rPr>
          <w:rFonts w:ascii="Verdana" w:hAnsi="Verdana"/>
          <w:bCs/>
          <w:sz w:val="20"/>
        </w:rPr>
      </w:pPr>
      <w:r w:rsidRPr="00CA63EE">
        <w:rPr>
          <w:rFonts w:ascii="Verdana" w:hAnsi="Verdana"/>
          <w:bCs/>
          <w:sz w:val="20"/>
        </w:rPr>
        <w:t>I.           Los Activos Objeto de Inversión que deberán enajenarse o comprarse;</w:t>
      </w:r>
    </w:p>
    <w:p w:rsidR="00CA63EE" w:rsidRPr="00CA63EE" w:rsidRDefault="00CA63EE" w:rsidP="00CA63EE">
      <w:pPr>
        <w:jc w:val="both"/>
        <w:rPr>
          <w:rFonts w:ascii="Verdana" w:hAnsi="Verdana"/>
          <w:bCs/>
          <w:sz w:val="20"/>
        </w:rPr>
      </w:pPr>
      <w:r w:rsidRPr="00CA63EE">
        <w:rPr>
          <w:rFonts w:ascii="Verdana" w:hAnsi="Verdana"/>
          <w:bCs/>
          <w:sz w:val="20"/>
        </w:rPr>
        <w:t>II.          En su caso los flujos netos, la nueva recaudación que ingresen o egresen con posterioridad a la Sociedad de Inversión, y</w:t>
      </w:r>
    </w:p>
    <w:p w:rsidR="00CA63EE" w:rsidRPr="00CA63EE" w:rsidRDefault="00CA63EE" w:rsidP="00CA63EE">
      <w:pPr>
        <w:jc w:val="both"/>
        <w:rPr>
          <w:rFonts w:ascii="Verdana" w:hAnsi="Verdana"/>
          <w:bCs/>
          <w:sz w:val="20"/>
        </w:rPr>
      </w:pPr>
      <w:r w:rsidRPr="00CA63EE">
        <w:rPr>
          <w:rFonts w:ascii="Verdana" w:hAnsi="Verdana"/>
          <w:bCs/>
          <w:sz w:val="20"/>
        </w:rPr>
        <w:t>III.          Su propuesta de plazo para la recomposición de la cartera.</w:t>
      </w:r>
    </w:p>
    <w:p w:rsidR="00CA63EE" w:rsidRPr="00CA63EE" w:rsidRDefault="00CA63EE" w:rsidP="00CA63EE">
      <w:pPr>
        <w:jc w:val="both"/>
        <w:rPr>
          <w:rFonts w:ascii="Verdana" w:hAnsi="Verdana"/>
          <w:bCs/>
          <w:sz w:val="20"/>
        </w:rPr>
      </w:pPr>
      <w:r w:rsidRPr="00CA63EE">
        <w:rPr>
          <w:rFonts w:ascii="Verdana" w:hAnsi="Verdana"/>
          <w:bCs/>
          <w:sz w:val="20"/>
        </w:rPr>
        <w:t>El Comité de Inversión deberá hacer constar el programa de recomposición de cartera en el Acta Pormenorizada que se levante en la sesión correspondiente.</w:t>
      </w:r>
    </w:p>
    <w:p w:rsidR="00CA63EE" w:rsidRPr="00CA63EE" w:rsidRDefault="00CA63EE" w:rsidP="00CA63EE">
      <w:pPr>
        <w:jc w:val="both"/>
        <w:rPr>
          <w:rFonts w:ascii="Verdana" w:hAnsi="Verdana"/>
          <w:bCs/>
          <w:sz w:val="20"/>
        </w:rPr>
      </w:pPr>
      <w:r w:rsidRPr="00CA63EE">
        <w:rPr>
          <w:rFonts w:ascii="Verdana" w:hAnsi="Verdana"/>
          <w:bCs/>
          <w:sz w:val="20"/>
        </w:rPr>
        <w:t xml:space="preserve">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w:t>
      </w:r>
      <w:r w:rsidRPr="00CA63EE">
        <w:rPr>
          <w:rFonts w:ascii="Verdana" w:hAnsi="Verdana"/>
          <w:bCs/>
          <w:sz w:val="20"/>
        </w:rPr>
        <w:lastRenderedPageBreak/>
        <w:t>administrados por estos. Asimismo, el contrato de mandato de inversión deberá prever un informe retrospectivo de las políticas aplicadas por el Mandatario.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 Sociedad de Inversión, a través de su Comité de Inversión, deberá enviar a la Comisión el programa de recomposición de cartera en un plazo no mayor a cinco días hábiles contado a partir de aquel en que se origine el incumplimiento.</w:t>
      </w:r>
    </w:p>
    <w:p w:rsidR="00CA63EE" w:rsidRPr="00CA63EE" w:rsidRDefault="00CA63EE" w:rsidP="00CA63EE">
      <w:pPr>
        <w:jc w:val="both"/>
        <w:rPr>
          <w:rFonts w:ascii="Verdana" w:hAnsi="Verdana"/>
          <w:bCs/>
          <w:sz w:val="20"/>
        </w:rPr>
      </w:pPr>
      <w:r w:rsidRPr="00CA63EE">
        <w:rPr>
          <w:rFonts w:ascii="Verdana" w:hAnsi="Verdana"/>
          <w:bCs/>
          <w:sz w:val="20"/>
        </w:rPr>
        <w:t>La Comisión, una vez que reciba el programa de recomposición de cartera a que se refiere el párrafo anterior, podrá fijar el plazo en que la Sociedad de Inversión deberá recomponer su cartera, mismo que no podrá ser mayor a seis meses contado a partir de que se origine el incumplimiento, previa opinión del Comité de Análisis de Riesgos.</w:t>
      </w:r>
    </w:p>
    <w:p w:rsidR="00CA63EE" w:rsidRPr="00CA63EE" w:rsidRDefault="00CA63EE" w:rsidP="00CA63EE">
      <w:pPr>
        <w:jc w:val="both"/>
        <w:rPr>
          <w:rFonts w:ascii="Verdana" w:hAnsi="Verdana"/>
          <w:bCs/>
          <w:sz w:val="20"/>
        </w:rPr>
      </w:pPr>
      <w:r w:rsidRPr="00CA63EE">
        <w:rPr>
          <w:rFonts w:ascii="Verdana" w:hAnsi="Verdana"/>
          <w:b/>
          <w:bCs/>
          <w:sz w:val="20"/>
        </w:rPr>
        <w:t>Artículo 163.- </w:t>
      </w:r>
      <w:r w:rsidRPr="00CA63EE">
        <w:rPr>
          <w:rFonts w:ascii="Verdana" w:hAnsi="Verdana"/>
          <w:bCs/>
          <w:sz w:val="20"/>
        </w:rPr>
        <w:t>El cumplimiento del programa de recomposición de cartera será obligatorio para la Sociedad de Inversión de que se trate, cuando la Comisión fije un plazo de la recomposición de cartera.</w:t>
      </w:r>
    </w:p>
    <w:p w:rsidR="00CA63EE" w:rsidRPr="00CA63EE" w:rsidRDefault="00CA63EE" w:rsidP="00CA63EE">
      <w:pPr>
        <w:jc w:val="both"/>
        <w:rPr>
          <w:rFonts w:ascii="Verdana" w:hAnsi="Verdana"/>
          <w:bCs/>
          <w:sz w:val="20"/>
        </w:rPr>
      </w:pPr>
      <w:r w:rsidRPr="00CA63EE">
        <w:rPr>
          <w:rFonts w:ascii="Verdana" w:hAnsi="Verdana"/>
          <w:b/>
          <w:bCs/>
          <w:sz w:val="20"/>
        </w:rPr>
        <w:t>Artículo 164.- </w:t>
      </w:r>
      <w:r w:rsidRPr="00CA63EE">
        <w:rPr>
          <w:rFonts w:ascii="Verdana" w:hAnsi="Verdana"/>
          <w:bCs/>
          <w:sz w:val="20"/>
        </w:rPr>
        <w:t xml:space="preserve">Cuando la Sociedad de Inversión de que se trate, incumpla el Régimen de Inversión Autorizado directamente o a través de Prestadores de Servicios Financieros por alguno de los eventos contemplados en el artículo 159 de las presentes Disposiciones y no se presente la notificación a que se refiere el artículo 160 de las presentes Disposiciones dentro del plazo previsto para tal efecto, la Administradora que la opere cubrirá las minusvalías diarias que se hayan presentado entre el día </w:t>
      </w:r>
      <w:proofErr w:type="spellStart"/>
      <w:r w:rsidRPr="00CA63EE">
        <w:rPr>
          <w:rFonts w:ascii="Verdana" w:hAnsi="Verdana"/>
          <w:bCs/>
          <w:sz w:val="20"/>
        </w:rPr>
        <w:t>delincumplimiento</w:t>
      </w:r>
      <w:proofErr w:type="spellEnd"/>
      <w:r w:rsidRPr="00CA63EE">
        <w:rPr>
          <w:rFonts w:ascii="Verdana" w:hAnsi="Verdana"/>
          <w:bCs/>
          <w:sz w:val="20"/>
        </w:rPr>
        <w:t xml:space="preserve"> y el día en que se presente dicha notificación.</w:t>
      </w:r>
    </w:p>
    <w:p w:rsidR="00CA63EE" w:rsidRPr="00CA63EE" w:rsidRDefault="00CA63EE" w:rsidP="00CA63EE">
      <w:pPr>
        <w:jc w:val="both"/>
        <w:rPr>
          <w:rFonts w:ascii="Verdana" w:hAnsi="Verdana"/>
          <w:bCs/>
          <w:sz w:val="20"/>
        </w:rPr>
      </w:pPr>
      <w:r w:rsidRPr="00CA63EE">
        <w:rPr>
          <w:rFonts w:ascii="Verdana" w:hAnsi="Verdana"/>
          <w:bCs/>
          <w:sz w:val="20"/>
        </w:rPr>
        <w:t>Asimismo, en caso de que la Sociedad de Inversión no envíe a la Comisión el programa de recomposición de cartera conforme a lo dispuesto en el artículo 162 de las presentes Disposiciones dentro del plazo previsto para tal efecto, la Administradora que la opere cubrirá las minusvalías diarias que se hayan presentado entre el día del incumplimiento y el día en que se presente el citado programa de recomposición.</w:t>
      </w:r>
    </w:p>
    <w:p w:rsidR="00CA63EE" w:rsidRPr="00CA63EE" w:rsidRDefault="00CA63EE" w:rsidP="00CA63EE">
      <w:pPr>
        <w:jc w:val="both"/>
        <w:rPr>
          <w:rFonts w:ascii="Verdana" w:hAnsi="Verdana"/>
          <w:bCs/>
          <w:sz w:val="20"/>
        </w:rPr>
      </w:pPr>
      <w:r w:rsidRPr="00CA63EE">
        <w:rPr>
          <w:rFonts w:ascii="Verdana" w:hAnsi="Verdana"/>
          <w:bCs/>
          <w:sz w:val="20"/>
        </w:rPr>
        <w:t>En todo caso, la Administradora que opere la Sociedad de Inversión de que se trate, deberá cubrir las minusvalías que se presenten el día del incumplimiento, aun cuando se presenten la notificación o el programa de recomposición mencionados anteriormente.</w:t>
      </w:r>
    </w:p>
    <w:p w:rsidR="00CA63EE" w:rsidRPr="00CA63EE" w:rsidRDefault="00CA63EE" w:rsidP="00CA63EE">
      <w:pPr>
        <w:jc w:val="both"/>
        <w:rPr>
          <w:rFonts w:ascii="Verdana" w:hAnsi="Verdana"/>
          <w:bCs/>
          <w:sz w:val="20"/>
        </w:rPr>
      </w:pPr>
      <w:r w:rsidRPr="00CA63EE">
        <w:rPr>
          <w:rFonts w:ascii="Verdana" w:hAnsi="Verdana"/>
          <w:bCs/>
          <w:sz w:val="20"/>
        </w:rPr>
        <w:t>Las minusvalías a que se refiere el presente artículo se cubrirán con cargo a la reserva especial constituida en términos de lo dispuesto por el artículo 28 de la Ley y, en caso de que ésta resulte insuficiente, se deberán cubrir con cargo a su capital social o patrimonio.</w:t>
      </w:r>
    </w:p>
    <w:p w:rsidR="00CA63EE" w:rsidRPr="00CA63EE" w:rsidRDefault="00CA63EE" w:rsidP="00CA63EE">
      <w:pPr>
        <w:jc w:val="both"/>
        <w:rPr>
          <w:rFonts w:ascii="Verdana" w:hAnsi="Verdana"/>
          <w:bCs/>
          <w:sz w:val="20"/>
        </w:rPr>
      </w:pPr>
      <w:r w:rsidRPr="00CA63EE">
        <w:rPr>
          <w:rFonts w:ascii="Verdana" w:hAnsi="Verdana"/>
          <w:b/>
          <w:bCs/>
          <w:sz w:val="20"/>
        </w:rPr>
        <w:t>Sección IV</w:t>
      </w:r>
    </w:p>
    <w:p w:rsidR="00CA63EE" w:rsidRPr="00CA63EE" w:rsidRDefault="00CA63EE" w:rsidP="00CA63EE">
      <w:pPr>
        <w:jc w:val="both"/>
        <w:rPr>
          <w:rFonts w:ascii="Verdana" w:hAnsi="Verdana"/>
          <w:bCs/>
          <w:sz w:val="20"/>
        </w:rPr>
      </w:pPr>
      <w:r w:rsidRPr="00CA63EE">
        <w:rPr>
          <w:rFonts w:ascii="Verdana" w:hAnsi="Verdana"/>
          <w:b/>
          <w:bCs/>
          <w:sz w:val="20"/>
        </w:rPr>
        <w:t>De la recomposición de cartera por exceder el límite del Diferencial del Valor en Riesgo Condicional,</w:t>
      </w:r>
      <w:r w:rsidRPr="00CA63EE">
        <w:rPr>
          <w:rFonts w:ascii="Verdana" w:hAnsi="Verdana"/>
          <w:bCs/>
          <w:sz w:val="20"/>
        </w:rPr>
        <w:br/>
      </w:r>
      <w:r w:rsidRPr="00CA63EE">
        <w:rPr>
          <w:rFonts w:ascii="Verdana" w:hAnsi="Verdana"/>
          <w:b/>
          <w:bCs/>
          <w:sz w:val="20"/>
        </w:rPr>
        <w:t>Coeficiente de liquidez o Valor en Riesgo</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165.- </w:t>
      </w:r>
      <w:r w:rsidRPr="00CA63EE">
        <w:rPr>
          <w:rFonts w:ascii="Verdana" w:hAnsi="Verdana"/>
          <w:bCs/>
          <w:sz w:val="20"/>
        </w:rPr>
        <w:t>Las Sociedades de Inversión que excedan el límite del Diferencial del Valor en Riesgo Condicional, el Coeficiente de Liquidez o en su caso del Valor en Riesgo previsto en el Régimen de Inversión Autorizado, contraviniendo con ello las Disposiciones respectivas, deberán recomponer su cartera conforme a lo previsto en la presente Sección.</w:t>
      </w:r>
    </w:p>
    <w:p w:rsidR="00CA63EE" w:rsidRPr="00CA63EE" w:rsidRDefault="00CA63EE" w:rsidP="00CA63EE">
      <w:pPr>
        <w:jc w:val="both"/>
        <w:rPr>
          <w:rFonts w:ascii="Verdana" w:hAnsi="Verdana"/>
          <w:bCs/>
          <w:sz w:val="20"/>
        </w:rPr>
      </w:pPr>
      <w:r w:rsidRPr="00CA63EE">
        <w:rPr>
          <w:rFonts w:ascii="Verdana" w:hAnsi="Verdana"/>
          <w:b/>
          <w:bCs/>
          <w:sz w:val="20"/>
        </w:rPr>
        <w:t>Artículo 166.- </w:t>
      </w:r>
      <w:r w:rsidRPr="00CA63EE">
        <w:rPr>
          <w:rFonts w:ascii="Verdana" w:hAnsi="Verdana"/>
          <w:bCs/>
          <w:sz w:val="20"/>
        </w:rPr>
        <w:t>El Responsable del Área de Riesgos deberá notificar mediante escrito a la Comisión y a los Comités de Riesgos Financieros y de Inversión, cuando el Diferencial del Valor en Riesgo Condicional, el Coeficiente de Liquidez o en su caso el Valor en Riesgo de la Sociedad de Inversión exceda el máximo previsto en el Régimen de Inversión Autorizado, el día hábil siguiente a aquel en que se haya sobrepasado dicho límite.</w:t>
      </w:r>
    </w:p>
    <w:p w:rsidR="00CA63EE" w:rsidRPr="00CA63EE" w:rsidRDefault="00CA63EE" w:rsidP="00CA63EE">
      <w:pPr>
        <w:jc w:val="both"/>
        <w:rPr>
          <w:rFonts w:ascii="Verdana" w:hAnsi="Verdana"/>
          <w:bCs/>
          <w:sz w:val="20"/>
        </w:rPr>
      </w:pPr>
      <w:r w:rsidRPr="00CA63EE">
        <w:rPr>
          <w:rFonts w:ascii="Verdana" w:hAnsi="Verdana"/>
          <w:b/>
          <w:bCs/>
          <w:sz w:val="20"/>
        </w:rPr>
        <w:t>Artículo 167.- </w:t>
      </w:r>
      <w:r w:rsidRPr="00CA63EE">
        <w:rPr>
          <w:rFonts w:ascii="Verdana" w:hAnsi="Verdana"/>
          <w:bCs/>
          <w:sz w:val="20"/>
        </w:rPr>
        <w:t>El Comité de Riesgos Financieros deberá proponer al Comité de Inversión, un programa de recomposición de cartera en el que se recomienden diversas estrategias que permitan restablecer el límite del Diferencial del Valor en Riesgo Condicional, el Coeficiente de Liquidez o en su caso del Valor en Riesgo de la Sociedad de Inversión, conforme a lo previsto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Para efecto de lo anterior, el Comité de Riesgos Financieros deberá analizar la siguiente información:</w:t>
      </w:r>
    </w:p>
    <w:p w:rsidR="00CA63EE" w:rsidRPr="00CA63EE" w:rsidRDefault="00CA63EE" w:rsidP="00CA63EE">
      <w:pPr>
        <w:jc w:val="both"/>
        <w:rPr>
          <w:rFonts w:ascii="Verdana" w:hAnsi="Verdana"/>
          <w:bCs/>
          <w:sz w:val="20"/>
        </w:rPr>
      </w:pPr>
      <w:r w:rsidRPr="00CA63EE">
        <w:rPr>
          <w:rFonts w:ascii="Verdana" w:hAnsi="Verdana"/>
          <w:bCs/>
          <w:sz w:val="20"/>
        </w:rPr>
        <w:t>I.           Si el límite del Diferencial del Valor en Riesgo Condicional, del Coeficiente de Liquidez o en su caso el Valor en Riesgo se excedió por eventos de volatilidad, de conformidad con lo señalado en las Disposiciones de carácter general que establecen el régimen de inversión al que deberán sujetarse las Sociedades de Inversión, o bien por la Estrategia de Inversión;</w:t>
      </w:r>
    </w:p>
    <w:p w:rsidR="00CA63EE" w:rsidRPr="00CA63EE" w:rsidRDefault="00CA63EE" w:rsidP="00CA63EE">
      <w:pPr>
        <w:jc w:val="both"/>
        <w:rPr>
          <w:rFonts w:ascii="Verdana" w:hAnsi="Verdana"/>
          <w:bCs/>
          <w:sz w:val="20"/>
        </w:rPr>
      </w:pPr>
      <w:r w:rsidRPr="00CA63EE">
        <w:rPr>
          <w:rFonts w:ascii="Verdana" w:hAnsi="Verdana"/>
          <w:bCs/>
          <w:sz w:val="20"/>
        </w:rPr>
        <w:t>II.          Los peores escenarios que correspondan al nivel de confianza del Diferencial del Valor en Riesgo Condicional o en su caso del Valor en Riesgo, del día en que se produjo el exceso en el límite del Diferencial del Valor en Riesgo Condicional o en su caso del Valor en Riesgo, y</w:t>
      </w:r>
    </w:p>
    <w:p w:rsidR="00CA63EE" w:rsidRPr="00CA63EE" w:rsidRDefault="00CA63EE" w:rsidP="00CA63EE">
      <w:pPr>
        <w:jc w:val="both"/>
        <w:rPr>
          <w:rFonts w:ascii="Verdana" w:hAnsi="Verdana"/>
          <w:bCs/>
          <w:sz w:val="20"/>
        </w:rPr>
      </w:pPr>
      <w:r w:rsidRPr="00CA63EE">
        <w:rPr>
          <w:rFonts w:ascii="Verdana" w:hAnsi="Verdana"/>
          <w:bCs/>
          <w:sz w:val="20"/>
        </w:rPr>
        <w:t>III.          El Diferencial del Valor en Riesgo Condicional o en su caso el Valor en Riesgo individual de los Activos Objeto de Inversión de la cartera de inversión y su contribución marginal a ésta.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168.- </w:t>
      </w:r>
      <w:r w:rsidRPr="00CA63EE">
        <w:rPr>
          <w:rFonts w:ascii="Verdana" w:hAnsi="Verdana"/>
          <w:bCs/>
          <w:sz w:val="20"/>
        </w:rPr>
        <w:t>Los Comités de Riesgo Financiero y de Inversión deberán decidir de manera conjunta, la estrategia que deberá adoptar la Sociedad de Inversión para recomponer su cartera.</w:t>
      </w:r>
    </w:p>
    <w:p w:rsidR="00CA63EE" w:rsidRPr="00CA63EE" w:rsidRDefault="00CA63EE" w:rsidP="00CA63EE">
      <w:pPr>
        <w:jc w:val="both"/>
        <w:rPr>
          <w:rFonts w:ascii="Verdana" w:hAnsi="Verdana"/>
          <w:bCs/>
          <w:sz w:val="20"/>
        </w:rPr>
      </w:pPr>
      <w:r w:rsidRPr="00CA63EE">
        <w:rPr>
          <w:rFonts w:ascii="Verdana" w:hAnsi="Verdana"/>
          <w:bCs/>
          <w:sz w:val="20"/>
        </w:rPr>
        <w:t>El programa de recomposición de cartera deberá contener por lo menos la siguiente información:</w:t>
      </w:r>
    </w:p>
    <w:p w:rsidR="00CA63EE" w:rsidRPr="00CA63EE" w:rsidRDefault="00CA63EE" w:rsidP="00CA63EE">
      <w:pPr>
        <w:jc w:val="both"/>
        <w:rPr>
          <w:rFonts w:ascii="Verdana" w:hAnsi="Verdana"/>
          <w:bCs/>
          <w:sz w:val="20"/>
        </w:rPr>
      </w:pPr>
      <w:r w:rsidRPr="00CA63EE">
        <w:rPr>
          <w:rFonts w:ascii="Verdana" w:hAnsi="Verdana"/>
          <w:bCs/>
          <w:sz w:val="20"/>
        </w:rPr>
        <w:t>I.           Los Activos Objeto de Inversión que deberán enajenar o comprar;</w:t>
      </w:r>
    </w:p>
    <w:p w:rsidR="00CA63EE" w:rsidRPr="00CA63EE" w:rsidRDefault="00CA63EE" w:rsidP="00CA63EE">
      <w:pPr>
        <w:jc w:val="both"/>
        <w:rPr>
          <w:rFonts w:ascii="Verdana" w:hAnsi="Verdana"/>
          <w:bCs/>
          <w:sz w:val="20"/>
        </w:rPr>
      </w:pPr>
      <w:r w:rsidRPr="00CA63EE">
        <w:rPr>
          <w:rFonts w:ascii="Verdana" w:hAnsi="Verdana"/>
          <w:bCs/>
          <w:sz w:val="20"/>
        </w:rPr>
        <w:lastRenderedPageBreak/>
        <w:t>II.          La inversión de nuevos recursos, y</w:t>
      </w:r>
    </w:p>
    <w:p w:rsidR="00CA63EE" w:rsidRPr="00CA63EE" w:rsidRDefault="00CA63EE" w:rsidP="00CA63EE">
      <w:pPr>
        <w:jc w:val="both"/>
        <w:rPr>
          <w:rFonts w:ascii="Verdana" w:hAnsi="Verdana"/>
          <w:bCs/>
          <w:sz w:val="20"/>
        </w:rPr>
      </w:pPr>
      <w:r w:rsidRPr="00CA63EE">
        <w:rPr>
          <w:rFonts w:ascii="Verdana" w:hAnsi="Verdana"/>
          <w:bCs/>
          <w:sz w:val="20"/>
        </w:rPr>
        <w:t>III.          Su propuesta de plazo para la recomposición de la cartera.</w:t>
      </w:r>
    </w:p>
    <w:p w:rsidR="00CA63EE" w:rsidRPr="00CA63EE" w:rsidRDefault="00CA63EE" w:rsidP="00CA63EE">
      <w:pPr>
        <w:jc w:val="both"/>
        <w:rPr>
          <w:rFonts w:ascii="Verdana" w:hAnsi="Verdana"/>
          <w:bCs/>
          <w:sz w:val="20"/>
        </w:rPr>
      </w:pPr>
      <w:r w:rsidRPr="00CA63EE">
        <w:rPr>
          <w:rFonts w:ascii="Verdana" w:hAnsi="Verdana"/>
          <w:b/>
          <w:bCs/>
          <w:sz w:val="20"/>
        </w:rPr>
        <w:t>Artículo 169.- </w:t>
      </w:r>
      <w:r w:rsidRPr="00CA63EE">
        <w:rPr>
          <w:rFonts w:ascii="Verdana" w:hAnsi="Verdana"/>
          <w:bCs/>
          <w:sz w:val="20"/>
        </w:rPr>
        <w:t>En caso de eventos de extrema volatilidad en los mercados, en que en protección de los intereses de los Trabajadores sea conveniente mantener la Estrategia de Inversión determinada por el Comité de Inversión, las Sociedades de Inversión podrán presentar a la Comisión un programa de recomposición de cartera especial, a efecto de poder tener excesos en el límite del Diferencial del Valor en Riesgo Condicional, del Coeficiente de Liquidez o en su caso del Valor en Riesgo.</w:t>
      </w:r>
    </w:p>
    <w:p w:rsidR="00CA63EE" w:rsidRPr="00CA63EE" w:rsidRDefault="00CA63EE" w:rsidP="00CA63EE">
      <w:pPr>
        <w:jc w:val="both"/>
        <w:rPr>
          <w:rFonts w:ascii="Verdana" w:hAnsi="Verdana"/>
          <w:bCs/>
          <w:sz w:val="20"/>
        </w:rPr>
      </w:pPr>
      <w:r w:rsidRPr="00CA63EE">
        <w:rPr>
          <w:rFonts w:ascii="Verdana" w:hAnsi="Verdana"/>
          <w:bCs/>
          <w:sz w:val="20"/>
        </w:rPr>
        <w:t>Los programas de recomposición de cartera especiales a que se refiere el presente artículo tendrán una duración máxima de seis meses contados a partir de su no objeción, pudiendo ser prorrogable, y deberán sujetarse a los criterios que establezca la Comisión.</w:t>
      </w:r>
    </w:p>
    <w:p w:rsidR="00CA63EE" w:rsidRPr="00CA63EE" w:rsidRDefault="00CA63EE" w:rsidP="00CA63EE">
      <w:pPr>
        <w:jc w:val="both"/>
        <w:rPr>
          <w:rFonts w:ascii="Verdana" w:hAnsi="Verdana"/>
          <w:bCs/>
          <w:sz w:val="20"/>
        </w:rPr>
      </w:pPr>
      <w:r w:rsidRPr="00CA63EE">
        <w:rPr>
          <w:rFonts w:ascii="Verdana" w:hAnsi="Verdana"/>
          <w:bCs/>
          <w:sz w:val="20"/>
        </w:rPr>
        <w:t>Estos programas deberán aplicarse estrictamente por las Sociedades de Inversión.</w:t>
      </w:r>
    </w:p>
    <w:p w:rsidR="00CA63EE" w:rsidRPr="00CA63EE" w:rsidRDefault="00CA63EE" w:rsidP="00CA63EE">
      <w:pPr>
        <w:jc w:val="both"/>
        <w:rPr>
          <w:rFonts w:ascii="Verdana" w:hAnsi="Verdana"/>
          <w:bCs/>
          <w:sz w:val="20"/>
        </w:rPr>
      </w:pPr>
      <w:r w:rsidRPr="00CA63EE">
        <w:rPr>
          <w:rFonts w:ascii="Verdana" w:hAnsi="Verdana"/>
          <w:bCs/>
          <w:sz w:val="20"/>
        </w:rPr>
        <w:t>La prórroga a que hace referencia el presente artículo podrá otorgarse por el mismo plazo, las veces que sean necesarias hasta en tanto deban mantenerse los programas de recomposición de cartera.</w:t>
      </w:r>
    </w:p>
    <w:p w:rsidR="00CA63EE" w:rsidRPr="00CA63EE" w:rsidRDefault="00CA63EE" w:rsidP="00CA63EE">
      <w:pPr>
        <w:jc w:val="both"/>
        <w:rPr>
          <w:rFonts w:ascii="Verdana" w:hAnsi="Verdana"/>
          <w:bCs/>
          <w:sz w:val="20"/>
        </w:rPr>
      </w:pPr>
      <w:r w:rsidRPr="00CA63EE">
        <w:rPr>
          <w:rFonts w:ascii="Verdana" w:hAnsi="Verdana"/>
          <w:bCs/>
          <w:sz w:val="20"/>
        </w:rPr>
        <w:t>El exceso en el límite del Diferencial del Valor en Riesgo Condicional, del Coeficiente de Liquidez o en su caso del Valor en Riesgo ocurrido al amparo de un programa de recomposición de cartera especial autorizado y vigente, no computará para la afectación de la reserva especial a que se refiere el último párrafo del artículo 44 de la Ley.</w:t>
      </w:r>
    </w:p>
    <w:p w:rsidR="00CA63EE" w:rsidRPr="00CA63EE" w:rsidRDefault="00CA63EE" w:rsidP="00CA63EE">
      <w:pPr>
        <w:jc w:val="both"/>
        <w:rPr>
          <w:rFonts w:ascii="Verdana" w:hAnsi="Verdana"/>
          <w:bCs/>
          <w:sz w:val="20"/>
        </w:rPr>
      </w:pPr>
      <w:r w:rsidRPr="00CA63EE">
        <w:rPr>
          <w:rFonts w:ascii="Verdana" w:hAnsi="Verdana"/>
          <w:b/>
          <w:bCs/>
          <w:sz w:val="20"/>
        </w:rPr>
        <w:t>Artículo 170.- </w:t>
      </w:r>
      <w:r w:rsidRPr="00CA63EE">
        <w:rPr>
          <w:rFonts w:ascii="Verdana" w:hAnsi="Verdana"/>
          <w:bCs/>
          <w:sz w:val="20"/>
        </w:rPr>
        <w:t>Los Comités de Inversión y de Riesgos Financieros deberán hacer constar el programa de recomposición de cartera, en el Acta Pormenorizada que se levante en sus sesiones correspondientes.</w:t>
      </w:r>
    </w:p>
    <w:p w:rsidR="00CA63EE" w:rsidRPr="00CA63EE" w:rsidRDefault="00CA63EE" w:rsidP="00CA63EE">
      <w:pPr>
        <w:jc w:val="both"/>
        <w:rPr>
          <w:rFonts w:ascii="Verdana" w:hAnsi="Verdana"/>
          <w:bCs/>
          <w:sz w:val="20"/>
        </w:rPr>
      </w:pPr>
      <w:r w:rsidRPr="00CA63EE">
        <w:rPr>
          <w:rFonts w:ascii="Verdana" w:hAnsi="Verdana"/>
          <w:bCs/>
          <w:sz w:val="20"/>
        </w:rPr>
        <w:t>La Sociedad de Inversión, previo visto bueno del Comité de Riesgos Financieros, deberá enviar a la Comisión a través de su Comité de Inversión, el programa de recomposición de cartera, en un plazo no mayor a 20 días hábiles contados a partir de que se origine el incumplimiento.</w:t>
      </w:r>
    </w:p>
    <w:p w:rsidR="00CA63EE" w:rsidRPr="00CA63EE" w:rsidRDefault="00CA63EE" w:rsidP="00CA63EE">
      <w:pPr>
        <w:jc w:val="both"/>
        <w:rPr>
          <w:rFonts w:ascii="Verdana" w:hAnsi="Verdana"/>
          <w:bCs/>
          <w:sz w:val="20"/>
        </w:rPr>
      </w:pPr>
      <w:r w:rsidRPr="00CA63EE">
        <w:rPr>
          <w:rFonts w:ascii="Verdana" w:hAnsi="Verdana"/>
          <w:bCs/>
          <w:sz w:val="20"/>
        </w:rPr>
        <w:t>La Comisión, una vez recibido el programa de recomposición de cartera, podrá fijar el plazo en que la Sociedad de Inversión deberá recomponer su cartera, mismo que no podrá ser mayor a seis meses contado a partir de que se origine el incumplimiento, previa opinión del Comité de Análisis de Riesgos, salvo por lo previsto en el artículo anterior.</w:t>
      </w:r>
    </w:p>
    <w:p w:rsidR="00CA63EE" w:rsidRPr="00CA63EE" w:rsidRDefault="00CA63EE" w:rsidP="00CA63EE">
      <w:pPr>
        <w:jc w:val="both"/>
        <w:rPr>
          <w:rFonts w:ascii="Verdana" w:hAnsi="Verdana"/>
          <w:bCs/>
          <w:sz w:val="20"/>
        </w:rPr>
      </w:pPr>
      <w:r w:rsidRPr="00CA63EE">
        <w:rPr>
          <w:rFonts w:ascii="Verdana" w:hAnsi="Verdana"/>
          <w:b/>
          <w:bCs/>
          <w:sz w:val="20"/>
        </w:rPr>
        <w:t>Artículo 171.- </w:t>
      </w:r>
      <w:r w:rsidRPr="00CA63EE">
        <w:rPr>
          <w:rFonts w:ascii="Verdana" w:hAnsi="Verdana"/>
          <w:bCs/>
          <w:sz w:val="20"/>
        </w:rPr>
        <w:t>El cumplimiento del programa de recomposición de cartera será obligatorio para la Sociedad de Inversión de que se trate, cuando la Comisión fije un plazo de la recomposición de cartera.</w:t>
      </w:r>
    </w:p>
    <w:p w:rsidR="00CA63EE" w:rsidRPr="00CA63EE" w:rsidRDefault="00CA63EE" w:rsidP="00CA63EE">
      <w:pPr>
        <w:jc w:val="both"/>
        <w:rPr>
          <w:rFonts w:ascii="Verdana" w:hAnsi="Verdana"/>
          <w:bCs/>
          <w:sz w:val="20"/>
        </w:rPr>
      </w:pPr>
      <w:r w:rsidRPr="00CA63EE">
        <w:rPr>
          <w:rFonts w:ascii="Verdana" w:hAnsi="Verdana"/>
          <w:b/>
          <w:bCs/>
          <w:sz w:val="20"/>
        </w:rPr>
        <w:t>Artículo 172.- </w:t>
      </w:r>
      <w:r w:rsidRPr="00CA63EE">
        <w:rPr>
          <w:rFonts w:ascii="Verdana" w:hAnsi="Verdana"/>
          <w:bCs/>
          <w:sz w:val="20"/>
        </w:rPr>
        <w:t xml:space="preserve">Cuando la Sociedad de Inversión de que se trate, incumpla los límites previstos en el Régimen de Inversión Autorizado por exceder el límite del Diferencial </w:t>
      </w:r>
      <w:r w:rsidRPr="00CA63EE">
        <w:rPr>
          <w:rFonts w:ascii="Verdana" w:hAnsi="Verdana"/>
          <w:bCs/>
          <w:sz w:val="20"/>
        </w:rPr>
        <w:lastRenderedPageBreak/>
        <w:t>del Valor en Riesgo Condicional, del Coeficiente de Liquidez o en su caso del Valor en Riesgo y no se presente la notificación a que se refiere el artículo 166 anterior dentro del plazo previsto para tal efecto, la Administradora que la opere cubrirá las minusvalías diarias que se hayan presentado entre el día del incumplimiento y el día en que se presente la notificación.</w:t>
      </w:r>
    </w:p>
    <w:p w:rsidR="00CA63EE" w:rsidRPr="00CA63EE" w:rsidRDefault="00CA63EE" w:rsidP="00CA63EE">
      <w:pPr>
        <w:jc w:val="both"/>
        <w:rPr>
          <w:rFonts w:ascii="Verdana" w:hAnsi="Verdana"/>
          <w:bCs/>
          <w:sz w:val="20"/>
        </w:rPr>
      </w:pPr>
      <w:r w:rsidRPr="00CA63EE">
        <w:rPr>
          <w:rFonts w:ascii="Verdana" w:hAnsi="Verdana"/>
          <w:bCs/>
          <w:sz w:val="20"/>
        </w:rPr>
        <w:t>Asimismo, en caso de que la Sociedad de Inversión no envíe a la Comisión el programa de recomposición de cartera conforme a lo dispuesto en el artículo 170 anterior, dentro del plazo previsto al efecto, la Administradora que la opere cubrirá las minusvalías diarias que se hayan presentado entre el día del incumplimiento y el día en que se presente el citado programa de recomposición.</w:t>
      </w:r>
    </w:p>
    <w:p w:rsidR="00CA63EE" w:rsidRPr="00CA63EE" w:rsidRDefault="00CA63EE" w:rsidP="00CA63EE">
      <w:pPr>
        <w:jc w:val="both"/>
        <w:rPr>
          <w:rFonts w:ascii="Verdana" w:hAnsi="Verdana"/>
          <w:bCs/>
          <w:sz w:val="20"/>
        </w:rPr>
      </w:pPr>
      <w:r w:rsidRPr="00CA63EE">
        <w:rPr>
          <w:rFonts w:ascii="Verdana" w:hAnsi="Verdana"/>
          <w:bCs/>
          <w:sz w:val="20"/>
        </w:rPr>
        <w:t>Las minusvalías a que se refiere el presente artículo se cubrirán con cargo a la reserva especial constituida en términos de lo dispuesto por el artículo 28 de la Ley y, en caso de que ésta resulte insuficiente, lo deberá hacer con cargo a su capital social o patrimonio.</w:t>
      </w:r>
    </w:p>
    <w:p w:rsidR="00CA63EE" w:rsidRPr="00CA63EE" w:rsidRDefault="00CA63EE" w:rsidP="00CA63EE">
      <w:pPr>
        <w:jc w:val="both"/>
        <w:rPr>
          <w:rFonts w:ascii="Verdana" w:hAnsi="Verdana"/>
          <w:bCs/>
          <w:sz w:val="20"/>
        </w:rPr>
      </w:pPr>
      <w:r w:rsidRPr="00CA63EE">
        <w:rPr>
          <w:rFonts w:ascii="Verdana" w:hAnsi="Verdana"/>
          <w:b/>
          <w:bCs/>
          <w:sz w:val="20"/>
        </w:rPr>
        <w:t>Artículo 173.- </w:t>
      </w:r>
      <w:r w:rsidRPr="00CA63EE">
        <w:rPr>
          <w:rFonts w:ascii="Verdana" w:hAnsi="Verdana"/>
          <w:bCs/>
          <w:sz w:val="20"/>
        </w:rPr>
        <w:t>En caso de que una Sociedad de Inversión incumpla los límites previstos en el Régimen de Inversión Autorizado por exceder el límite del Diferencial del Valor en Riesgo Condicional, del Coeficiente de Liquidez o en su caso del Valor en Riesgo por causas que le sean imputables, se deberán cubrir las minusvalías diarias que se presenten hasta en tanto no presente el programa de recomposición de cartera correspondiente. En este caso, la Sociedad de Inversión no gozará de plazo alguno para la presentación de dicho programa.</w:t>
      </w:r>
    </w:p>
    <w:p w:rsidR="00CA63EE" w:rsidRPr="00CA63EE" w:rsidRDefault="00CA63EE" w:rsidP="00CA63EE">
      <w:pPr>
        <w:jc w:val="both"/>
        <w:rPr>
          <w:rFonts w:ascii="Verdana" w:hAnsi="Verdana"/>
          <w:bCs/>
          <w:sz w:val="20"/>
        </w:rPr>
      </w:pPr>
      <w:r w:rsidRPr="00CA63EE">
        <w:rPr>
          <w:rFonts w:ascii="Verdana" w:hAnsi="Verdana"/>
          <w:bCs/>
          <w:sz w:val="20"/>
        </w:rPr>
        <w:t>Las minusvalías referidas en el párrafo anterior se deberán cubrir con cargo a la reserva especial constituida por la Administradora que opere a la Sociedad de Inversión de que se trate en términos de lo dispuesto por el artículo 28 de la Ley y, en caso de que ésta resulte insuficiente, se deberán cubrir con cargo al capital social o patrimonio de dicha Administradora.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Se entenderá que una Sociedad de Inversión incumple el límite del Diferencial del Valor en Riesgo Condicional, del Coeficiente de Liquidez o en su caso del Valor en Riesgo por causas que le son imputables, cuando al utilizar la cartera de inversión que conforma la Sociedad de Inversión el día de la primera violación y los escenarios que se utilizaron para calcular el Diferencial del Valor en Riesgo Condicional, el Coeficiente de Liquidez o en su caso el Valor en Riesgo del día hábil anterior, se rebasa el citado límite del Diferencial del Valor en Riesgo Condicional, del Coeficiente de Liquidez o en su caso del Valor en Riesgo.</w:t>
      </w:r>
    </w:p>
    <w:p w:rsidR="00CA63EE" w:rsidRPr="00CA63EE" w:rsidRDefault="00CA63EE" w:rsidP="00CA63EE">
      <w:pPr>
        <w:jc w:val="both"/>
        <w:rPr>
          <w:rFonts w:ascii="Verdana" w:hAnsi="Verdana"/>
          <w:bCs/>
          <w:sz w:val="20"/>
        </w:rPr>
      </w:pPr>
      <w:r w:rsidRPr="00CA63EE">
        <w:rPr>
          <w:rFonts w:ascii="Verdana" w:hAnsi="Verdana"/>
          <w:bCs/>
          <w:sz w:val="20"/>
        </w:rPr>
        <w:t>En el caso de presentarse violaciones reiteradas y consecutivas, se asumirá que una Sociedad de Inversión incumple el límite de Diferencial del Valor en Riesgo Condicional, de Coeficiente de Liquidez o en su caso de Valor en Riesgo por causas que le son imputables en un día específico cuando ocurran las siguientes condiciones:</w:t>
      </w:r>
    </w:p>
    <w:p w:rsidR="00CA63EE" w:rsidRPr="00CA63EE" w:rsidRDefault="00CA63EE" w:rsidP="00CA63EE">
      <w:pPr>
        <w:jc w:val="both"/>
        <w:rPr>
          <w:rFonts w:ascii="Verdana" w:hAnsi="Verdana"/>
          <w:bCs/>
          <w:sz w:val="20"/>
        </w:rPr>
      </w:pPr>
      <w:r w:rsidRPr="00CA63EE">
        <w:rPr>
          <w:rFonts w:ascii="Verdana" w:hAnsi="Verdana"/>
          <w:bCs/>
          <w:sz w:val="20"/>
        </w:rPr>
        <w:lastRenderedPageBreak/>
        <w:t>I.           Se presentó una violación al límite del Diferencial del Valor en Riesgo Condicional, del Coeficiente de Liquidez o en su caso del Valor en Riesgo el día previo, y</w:t>
      </w:r>
    </w:p>
    <w:p w:rsidR="00CA63EE" w:rsidRPr="00CA63EE" w:rsidRDefault="00CA63EE" w:rsidP="00CA63EE">
      <w:pPr>
        <w:jc w:val="both"/>
        <w:rPr>
          <w:rFonts w:ascii="Verdana" w:hAnsi="Verdana"/>
          <w:bCs/>
          <w:sz w:val="20"/>
        </w:rPr>
      </w:pPr>
      <w:r w:rsidRPr="00CA63EE">
        <w:rPr>
          <w:rFonts w:ascii="Verdana" w:hAnsi="Verdana"/>
          <w:bCs/>
          <w:sz w:val="20"/>
        </w:rPr>
        <w:t>II.          Al utilizar la cartera de inversión que conforma la Sociedad de Inversión el día específico de la violación y los escenarios que se utilizaron para calcular el Diferencial del Valor en Riesgo Condicional, el Coeficiente de Liquidez o en su caso el Valor en Riesgo del día hábil anterior, se rebasa el límite del Diferencial del Valor en Riesgo Condicional, el Coeficiente de Liquidez o en su caso de Valor en Riesgo observado el día hábil anterior.</w:t>
      </w:r>
    </w:p>
    <w:p w:rsidR="00CA63EE" w:rsidRPr="00CA63EE" w:rsidRDefault="00CA63EE" w:rsidP="00CA63EE">
      <w:pPr>
        <w:jc w:val="both"/>
        <w:rPr>
          <w:rFonts w:ascii="Verdana" w:hAnsi="Verdana"/>
          <w:bCs/>
          <w:sz w:val="20"/>
        </w:rPr>
      </w:pPr>
      <w:r w:rsidRPr="00CA63EE">
        <w:rPr>
          <w:rFonts w:ascii="Verdana" w:hAnsi="Verdana"/>
          <w:bCs/>
          <w:sz w:val="20"/>
        </w:rPr>
        <w:t>Para efectos de los cómputos anteriores, el Comité de Análisis de Riesgos determinará los criterios que deberán observarse para el caso de que la cartera de la Sociedad de Inversión contenga activos no contemplados en los escenarios.</w:t>
      </w:r>
    </w:p>
    <w:p w:rsidR="00CA63EE" w:rsidRPr="00CA63EE" w:rsidRDefault="00CA63EE" w:rsidP="00CA63EE">
      <w:pPr>
        <w:jc w:val="both"/>
        <w:rPr>
          <w:rFonts w:ascii="Verdana" w:hAnsi="Verdana"/>
          <w:bCs/>
          <w:sz w:val="20"/>
        </w:rPr>
      </w:pPr>
      <w:r w:rsidRPr="00CA63EE">
        <w:rPr>
          <w:rFonts w:ascii="Verdana" w:hAnsi="Verdana"/>
          <w:b/>
          <w:bCs/>
          <w:sz w:val="20"/>
        </w:rPr>
        <w:t>Artículo 174.- </w:t>
      </w:r>
      <w:r w:rsidRPr="00CA63EE">
        <w:rPr>
          <w:rFonts w:ascii="Verdana" w:hAnsi="Verdana"/>
          <w:bCs/>
          <w:sz w:val="20"/>
        </w:rPr>
        <w:t>En caso de que no se presente a la Comisión el programa de recomposición de cartera correspondiente, se entenderá que existe reiteración para efectos de la sanción, por cada día que transcurra sin presentar dicho programa, con el consecuente agravamiento de la sanción en términos de la Ley.</w:t>
      </w:r>
    </w:p>
    <w:p w:rsidR="00CA63EE" w:rsidRPr="00CA63EE" w:rsidRDefault="00CA63EE" w:rsidP="00CA63EE">
      <w:pPr>
        <w:jc w:val="both"/>
        <w:rPr>
          <w:rFonts w:ascii="Verdana" w:hAnsi="Verdana"/>
          <w:bCs/>
          <w:sz w:val="20"/>
        </w:rPr>
      </w:pPr>
      <w:r w:rsidRPr="00CA63EE">
        <w:rPr>
          <w:rFonts w:ascii="Verdana" w:hAnsi="Verdana"/>
          <w:bCs/>
          <w:sz w:val="20"/>
        </w:rPr>
        <w:t>En caso de que los Mandatarios incumplan con el régimen de inversión será responsabilidad de la Administradora las minusvalías imputables que se generen ante el incumplimiento de los Mandatarios.</w:t>
      </w:r>
    </w:p>
    <w:p w:rsidR="00CA63EE" w:rsidRPr="00CA63EE" w:rsidRDefault="00CA63EE" w:rsidP="00CA63EE">
      <w:pPr>
        <w:jc w:val="both"/>
        <w:rPr>
          <w:rFonts w:ascii="Verdana" w:hAnsi="Verdana"/>
          <w:bCs/>
          <w:sz w:val="20"/>
        </w:rPr>
      </w:pPr>
      <w:r w:rsidRPr="00CA63EE">
        <w:rPr>
          <w:rFonts w:ascii="Verdana" w:hAnsi="Verdana"/>
          <w:b/>
          <w:bCs/>
          <w:sz w:val="20"/>
        </w:rPr>
        <w:t>TÍTULO XIII</w:t>
      </w:r>
    </w:p>
    <w:p w:rsidR="00CA63EE" w:rsidRPr="00CA63EE" w:rsidRDefault="00CA63EE" w:rsidP="00CA63EE">
      <w:pPr>
        <w:jc w:val="both"/>
        <w:rPr>
          <w:rFonts w:ascii="Verdana" w:hAnsi="Verdana"/>
          <w:bCs/>
          <w:sz w:val="20"/>
        </w:rPr>
      </w:pPr>
      <w:r w:rsidRPr="00CA63EE">
        <w:rPr>
          <w:rFonts w:ascii="Verdana" w:hAnsi="Verdana"/>
          <w:b/>
          <w:bCs/>
          <w:sz w:val="20"/>
        </w:rPr>
        <w:t>DE LOS PROSPECTOS DE INFORMACIÓN, FOLLETOS EXPLICATIVOS Y SU ACTUALIZACIÓN</w:t>
      </w:r>
    </w:p>
    <w:p w:rsidR="00CA63EE" w:rsidRPr="00CA63EE" w:rsidRDefault="00CA63EE" w:rsidP="00CA63EE">
      <w:pPr>
        <w:jc w:val="both"/>
        <w:rPr>
          <w:rFonts w:ascii="Verdana" w:hAnsi="Verdana"/>
          <w:bCs/>
          <w:sz w:val="20"/>
        </w:rPr>
      </w:pPr>
      <w:r w:rsidRPr="00CA63EE">
        <w:rPr>
          <w:rFonts w:ascii="Verdana" w:hAnsi="Verdana"/>
          <w:b/>
          <w:bCs/>
          <w:sz w:val="20"/>
        </w:rPr>
        <w:t>Artículo 175.- </w:t>
      </w:r>
      <w:r w:rsidRPr="00CA63EE">
        <w:rPr>
          <w:rFonts w:ascii="Verdana" w:hAnsi="Verdana"/>
          <w:bCs/>
          <w:sz w:val="20"/>
        </w:rPr>
        <w:t>Los prospectos de información que elaboren las Sociedades de Inversión deberán revelar la información relativa a su objeto, las políticas generales de inversión, las operaciones financieras que seguirán y los Riesgos Financieros de las carteras de inversión. Deberá incluir, en su caso, los objetivos planteados por la Administradora al contratar Mandatarios y los criterios para elegirlos. Dentro de las políticas generales de inversión deberá incluirse una descripción general del portafolio de referencia aplicable a la cartera de inversión del Activo Total de la Sociedad de Inversión. Los folletos explicativos serán aquellos que traten los puntos básicos de los prospectos de información y en los que se exponga su contenido con un lenguaje simple.</w:t>
      </w:r>
    </w:p>
    <w:p w:rsidR="00CA63EE" w:rsidRPr="00CA63EE" w:rsidRDefault="00CA63EE" w:rsidP="00CA63EE">
      <w:pPr>
        <w:jc w:val="both"/>
        <w:rPr>
          <w:rFonts w:ascii="Verdana" w:hAnsi="Verdana"/>
          <w:bCs/>
          <w:sz w:val="20"/>
        </w:rPr>
      </w:pPr>
      <w:r w:rsidRPr="00CA63EE">
        <w:rPr>
          <w:rFonts w:ascii="Verdana" w:hAnsi="Verdana"/>
          <w:bCs/>
          <w:sz w:val="20"/>
        </w:rPr>
        <w:t>Los folletos explicativos, así como las modificaciones o adendas de estos, deberán ser aprobados por el Órgano de Gobierno de la Administradora y revisados al menos por el Responsable del Área de Riesgos y por el Responsable de Área de Inversiones. Asimismo, la Administradora deberá mantener a disposición de la Comisión, evidencia de que el Contralor Normativo revisó el contenido de los folletos explicativos, y éste corresponde con lo aprobado por el Órgano de Gobierno de la propia Administradora.</w:t>
      </w:r>
    </w:p>
    <w:p w:rsidR="00CA63EE" w:rsidRPr="00CA63EE" w:rsidRDefault="00CA63EE" w:rsidP="00CA63EE">
      <w:pPr>
        <w:jc w:val="both"/>
        <w:rPr>
          <w:rFonts w:ascii="Verdana" w:hAnsi="Verdana"/>
          <w:bCs/>
          <w:sz w:val="20"/>
        </w:rPr>
      </w:pPr>
      <w:r w:rsidRPr="00CA63EE">
        <w:rPr>
          <w:rFonts w:ascii="Verdana" w:hAnsi="Verdana"/>
          <w:bCs/>
          <w:sz w:val="20"/>
        </w:rPr>
        <w:lastRenderedPageBreak/>
        <w:t>Los prospectos de información, en su caso las modificaciones o adendas de estos que deban ser presentados ante la Comisión para su autorización, deberán anexar los requisitos previstos en el artículo 177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Asimismo, los folletos explicativos y, en su caso las modificaciones o adendas de estos, deberán estar a disposición de la Comisión en todo momento.</w:t>
      </w:r>
    </w:p>
    <w:p w:rsidR="00CA63EE" w:rsidRPr="00CA63EE" w:rsidRDefault="00CA63EE" w:rsidP="00CA63EE">
      <w:pPr>
        <w:jc w:val="both"/>
        <w:rPr>
          <w:rFonts w:ascii="Verdana" w:hAnsi="Verdana"/>
          <w:bCs/>
          <w:sz w:val="20"/>
        </w:rPr>
      </w:pPr>
      <w:r w:rsidRPr="00CA63EE">
        <w:rPr>
          <w:rFonts w:ascii="Verdana" w:hAnsi="Verdana"/>
          <w:b/>
          <w:bCs/>
          <w:sz w:val="20"/>
        </w:rPr>
        <w:t>Artículo 176.- </w:t>
      </w:r>
      <w:r w:rsidRPr="00CA63EE">
        <w:rPr>
          <w:rFonts w:ascii="Verdana" w:hAnsi="Verdana"/>
          <w:bCs/>
          <w:sz w:val="20"/>
        </w:rPr>
        <w:t>Los prospectos de información y folletos explicativos, deberán sujetarse al contenido previsto en los Anexos P y Q. Asimismo, sujeto a las Disposiciones de carácter general que establecen el régimen de inversión al que deberán sujetarse las Sociedades de Inversión emitidas por la Comisión.</w:t>
      </w:r>
    </w:p>
    <w:p w:rsidR="00CA63EE" w:rsidRPr="00CA63EE" w:rsidRDefault="00CA63EE" w:rsidP="00CA63EE">
      <w:pPr>
        <w:jc w:val="both"/>
        <w:rPr>
          <w:rFonts w:ascii="Verdana" w:hAnsi="Verdana"/>
          <w:bCs/>
          <w:sz w:val="20"/>
        </w:rPr>
      </w:pPr>
      <w:r w:rsidRPr="00CA63EE">
        <w:rPr>
          <w:rFonts w:ascii="Verdana" w:hAnsi="Verdana"/>
          <w:bCs/>
          <w:sz w:val="20"/>
        </w:rPr>
        <w:t xml:space="preserve">La Comisión, al autorizar los prospectos de información de las Sociedades de Inversión que tengan por objeto exclusivo la inversión de fondos de previsión social podrá ordenar que se incorporen las previsiones respecto a las políticas de inversión, liquidez, selección y diversificación de activos, revelación de información, calidad crediticia, riesgo de mercado, </w:t>
      </w:r>
      <w:proofErr w:type="spellStart"/>
      <w:r w:rsidRPr="00CA63EE">
        <w:rPr>
          <w:rFonts w:ascii="Verdana" w:hAnsi="Verdana"/>
          <w:bCs/>
          <w:sz w:val="20"/>
        </w:rPr>
        <w:t>bursatilidad</w:t>
      </w:r>
      <w:proofErr w:type="spellEnd"/>
      <w:r w:rsidRPr="00CA63EE">
        <w:rPr>
          <w:rFonts w:ascii="Verdana" w:hAnsi="Verdana"/>
          <w:bCs/>
          <w:sz w:val="20"/>
        </w:rPr>
        <w:t>, y potenciales conflictos de interés que puedan materializarse en perjuicio de los beneficiarios del plan.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Artículo 177.-</w:t>
      </w:r>
      <w:r w:rsidRPr="00CA63EE">
        <w:rPr>
          <w:rFonts w:ascii="Verdana" w:hAnsi="Verdana"/>
          <w:bCs/>
          <w:sz w:val="20"/>
        </w:rPr>
        <w:t> El proyecto de prospecto de información así como las modificaciones o adendas de este que deban ser presentados ante la Comisión para su autorización en términos del presente Título, deberán anexar lo siguiente:</w:t>
      </w:r>
    </w:p>
    <w:p w:rsidR="00CA63EE" w:rsidRPr="00CA63EE" w:rsidRDefault="00CA63EE" w:rsidP="00CA63EE">
      <w:pPr>
        <w:jc w:val="both"/>
        <w:rPr>
          <w:rFonts w:ascii="Verdana" w:hAnsi="Verdana"/>
          <w:bCs/>
          <w:sz w:val="20"/>
        </w:rPr>
      </w:pPr>
      <w:r w:rsidRPr="00CA63EE">
        <w:rPr>
          <w:rFonts w:ascii="Verdana" w:hAnsi="Verdana"/>
          <w:bCs/>
          <w:sz w:val="20"/>
        </w:rPr>
        <w:t>I.           Un documento que señale las modificaciones realizadas y en versión electrónica, en el que se identifiquen cada uno de los cambios o adiciones realizados en el proyecto sometido a autorización respecto de la correspondiente versión vigente;</w:t>
      </w:r>
    </w:p>
    <w:p w:rsidR="00CA63EE" w:rsidRPr="00CA63EE" w:rsidRDefault="00CA63EE" w:rsidP="00CA63EE">
      <w:pPr>
        <w:jc w:val="both"/>
        <w:rPr>
          <w:rFonts w:ascii="Verdana" w:hAnsi="Verdana"/>
          <w:bCs/>
          <w:sz w:val="20"/>
        </w:rPr>
      </w:pPr>
      <w:r w:rsidRPr="00CA63EE">
        <w:rPr>
          <w:rFonts w:ascii="Verdana" w:hAnsi="Verdana"/>
          <w:bCs/>
          <w:sz w:val="20"/>
        </w:rPr>
        <w:t>II.          La aprobación de los ajustes a dichos documentos, efectuada por el Órgano de Gobierno de la Administradora, por medio del Acta Pormenorizada de la sesión del Órgano de Gobierno o de una constancia emitida por el secretario de dicho órgano, la cual deberá cumplir con lo previsto en el artículo 29 de la Ley. Dichas Actas Pormenorizadas deberán contar con el voto favorable de los Consejeros Independientes y deberán ser remitidas a la Comisión a más tardar 20 días hábiles posteriores a la celebración de la sesión del Órgano de Gobierno de la Administradora. En caso de no contar con la aprobación a que se refiere la presente fracción las Sociedades de Inversión deberán de sujetarse a lo previsto en el artículo 179, fracción I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III.          Evidencia que indique que las modificaciones fueron revisadas al menos por el Responsable del Área de Inversiones y por el Responsable del Área de Riesgos, en cuanto a su contenido y consistencia, y</w:t>
      </w:r>
    </w:p>
    <w:p w:rsidR="00CA63EE" w:rsidRPr="00CA63EE" w:rsidRDefault="00CA63EE" w:rsidP="00CA63EE">
      <w:pPr>
        <w:jc w:val="both"/>
        <w:rPr>
          <w:rFonts w:ascii="Verdana" w:hAnsi="Verdana"/>
          <w:bCs/>
          <w:sz w:val="20"/>
        </w:rPr>
      </w:pPr>
      <w:r w:rsidRPr="00CA63EE">
        <w:rPr>
          <w:rFonts w:ascii="Verdana" w:hAnsi="Verdana"/>
          <w:bCs/>
          <w:sz w:val="20"/>
        </w:rPr>
        <w:t>IV.         Evidencia que indique que el Contralor Normativo supervisó el contenido y éste corresponde con lo aprobado por el Órgano de Gobierno de la propia Administradora.</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178.- </w:t>
      </w:r>
      <w:r w:rsidRPr="00CA63EE">
        <w:rPr>
          <w:rFonts w:ascii="Verdana" w:hAnsi="Verdana"/>
          <w:bCs/>
          <w:sz w:val="20"/>
        </w:rPr>
        <w:t>Las Sociedades de Inversión deberán modificar el prospecto de información y folleto explicativo, o en su caso, las adendas de los mismos, y presentar a la Comisión, dentro de los 65 días hábiles siguientes a la entrada en vigor de:</w:t>
      </w:r>
    </w:p>
    <w:p w:rsidR="00CA63EE" w:rsidRPr="00CA63EE" w:rsidRDefault="00CA63EE" w:rsidP="00CA63EE">
      <w:pPr>
        <w:jc w:val="both"/>
        <w:rPr>
          <w:rFonts w:ascii="Verdana" w:hAnsi="Verdana"/>
          <w:bCs/>
          <w:sz w:val="20"/>
        </w:rPr>
      </w:pPr>
      <w:r w:rsidRPr="00CA63EE">
        <w:rPr>
          <w:rFonts w:ascii="Verdana" w:hAnsi="Verdana"/>
          <w:bCs/>
          <w:sz w:val="20"/>
        </w:rPr>
        <w:t>I.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II.          Las comisiones autorizadas para la Sociedad de Inversión, excepto cuando el prospecto de información y folleto explicativo, les sea expresamente autorizado, únicamente por lo que se refiere a la actualización de la comisión autorizada por la Junta de Gobierno, debiendo remitir un ejemplar de los mismos, previo a la entrada en vigor de la comisión autorizada, y</w:t>
      </w:r>
    </w:p>
    <w:p w:rsidR="00CA63EE" w:rsidRPr="00CA63EE" w:rsidRDefault="00CA63EE" w:rsidP="00CA63EE">
      <w:pPr>
        <w:jc w:val="both"/>
        <w:rPr>
          <w:rFonts w:ascii="Verdana" w:hAnsi="Verdana"/>
          <w:bCs/>
          <w:sz w:val="20"/>
        </w:rPr>
      </w:pPr>
      <w:r w:rsidRPr="00CA63EE">
        <w:rPr>
          <w:rFonts w:ascii="Verdana" w:hAnsi="Verdana"/>
          <w:bCs/>
          <w:sz w:val="20"/>
        </w:rPr>
        <w:t>III.          Cualquier otra disposición de carácter general que emita la Comisión que implique modificaciones a lo establecido en el prospecto de información y folleto explicativo de dicha Sociedad de Inversión.</w:t>
      </w:r>
    </w:p>
    <w:p w:rsidR="00CA63EE" w:rsidRPr="00CA63EE" w:rsidRDefault="00CA63EE" w:rsidP="00CA63EE">
      <w:pPr>
        <w:jc w:val="both"/>
        <w:rPr>
          <w:rFonts w:ascii="Verdana" w:hAnsi="Verdana"/>
          <w:bCs/>
          <w:sz w:val="20"/>
        </w:rPr>
      </w:pPr>
      <w:r w:rsidRPr="00CA63EE">
        <w:rPr>
          <w:rFonts w:ascii="Verdana" w:hAnsi="Verdana"/>
          <w:bCs/>
          <w:sz w:val="20"/>
        </w:rPr>
        <w:t>Para la modificación del prospecto de información y folleto explicativo, o en su caso, las adendas de los mismos, de conformidad con lo establecido en las fracciones I a III anteriores del presente artículo, deberá de aplicar lo siguiente:</w:t>
      </w:r>
    </w:p>
    <w:p w:rsidR="00CA63EE" w:rsidRPr="00CA63EE" w:rsidRDefault="00CA63EE" w:rsidP="00CA63EE">
      <w:pPr>
        <w:jc w:val="both"/>
        <w:rPr>
          <w:rFonts w:ascii="Verdana" w:hAnsi="Verdana"/>
          <w:bCs/>
          <w:sz w:val="20"/>
        </w:rPr>
      </w:pPr>
      <w:r w:rsidRPr="00CA63EE">
        <w:rPr>
          <w:rFonts w:ascii="Verdana" w:hAnsi="Verdana"/>
          <w:bCs/>
          <w:sz w:val="20"/>
        </w:rPr>
        <w:t xml:space="preserve">a)   Cuando se modifiquen las Disposiciones de carácter general que establecen el régimen de inversión al que deberán sujetarse las Sociedades de Inversión u otra disposición de carácter general que emita la Comisión que implique modificaciones a lo establecido en el prospecto de información y folleto explicativo de dicha Sociedad de Inversión, o las comisiones autorizadas, o los límites de concentración definidos por el Comité de </w:t>
      </w:r>
      <w:proofErr w:type="spellStart"/>
      <w:r w:rsidRPr="00CA63EE">
        <w:rPr>
          <w:rFonts w:ascii="Verdana" w:hAnsi="Verdana"/>
          <w:bCs/>
          <w:sz w:val="20"/>
        </w:rPr>
        <w:t>RiesgosFinancieros</w:t>
      </w:r>
      <w:proofErr w:type="spellEnd"/>
      <w:r w:rsidRPr="00CA63EE">
        <w:rPr>
          <w:rFonts w:ascii="Verdana" w:hAnsi="Verdana"/>
          <w:bCs/>
          <w:sz w:val="20"/>
        </w:rPr>
        <w:t>, establezcan restricciones mayores a las anteriormente vigentes, la Sociedad de Inversión deberá observarlas aun cuando dichas restricciones no se encuentren previstas en su prospecto de información;</w:t>
      </w:r>
    </w:p>
    <w:p w:rsidR="00CA63EE" w:rsidRPr="00CA63EE" w:rsidRDefault="00CA63EE" w:rsidP="00CA63EE">
      <w:pPr>
        <w:jc w:val="both"/>
        <w:rPr>
          <w:rFonts w:ascii="Verdana" w:hAnsi="Verdana"/>
          <w:bCs/>
          <w:sz w:val="20"/>
        </w:rPr>
      </w:pPr>
      <w:r w:rsidRPr="00CA63EE">
        <w:rPr>
          <w:rFonts w:ascii="Verdana" w:hAnsi="Verdana"/>
          <w:bCs/>
          <w:sz w:val="20"/>
        </w:rPr>
        <w:t>b)   Cuando las Disposiciones de carácter general que establecen el régimen de inversión al que deberán sujetarse las Sociedades de Inversión establezcan una nueva metodología para cuantificar características financieras de las carteras de inversión, la Sociedad de Inversión deberá observarla. En caso de que la metodología prevista en el prospecto de información sea compatible con la nueva metodología deberán observarse ambas, y</w:t>
      </w:r>
    </w:p>
    <w:p w:rsidR="00CA63EE" w:rsidRPr="00CA63EE" w:rsidRDefault="00CA63EE" w:rsidP="00CA63EE">
      <w:pPr>
        <w:jc w:val="both"/>
        <w:rPr>
          <w:rFonts w:ascii="Verdana" w:hAnsi="Verdana"/>
          <w:bCs/>
          <w:sz w:val="20"/>
        </w:rPr>
      </w:pPr>
      <w:r w:rsidRPr="00CA63EE">
        <w:rPr>
          <w:rFonts w:ascii="Verdana" w:hAnsi="Verdana"/>
          <w:bCs/>
          <w:sz w:val="20"/>
        </w:rPr>
        <w:t xml:space="preserve">c)   Cuando se modifiquen las Disposiciones de carácter general que establecen el régimen de inversión al que deberán sujetarse las Sociedades de Inversión u otra disposición de carácter general que emita la Comisión que implique modificaciones a lo establecido en el prospecto de información y folleto explicativo de dicha Sociedad de Inversión, o las comisiones autorizadas, o los límites de concentración definidos por el Comité de </w:t>
      </w:r>
      <w:proofErr w:type="spellStart"/>
      <w:r w:rsidRPr="00CA63EE">
        <w:rPr>
          <w:rFonts w:ascii="Verdana" w:hAnsi="Verdana"/>
          <w:bCs/>
          <w:sz w:val="20"/>
        </w:rPr>
        <w:t>RiesgosFinancieros</w:t>
      </w:r>
      <w:proofErr w:type="spellEnd"/>
      <w:r w:rsidRPr="00CA63EE">
        <w:rPr>
          <w:rFonts w:ascii="Verdana" w:hAnsi="Verdana"/>
          <w:bCs/>
          <w:sz w:val="20"/>
        </w:rPr>
        <w:t xml:space="preserve"> establezcan restricciones menores a las anteriormente vigentes, la Sociedad de Inversión no podrá adoptar las mismas, sino hasta que se encuentren previstas en su prospecto de información autorizado.</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179.- </w:t>
      </w:r>
      <w:r w:rsidRPr="00CA63EE">
        <w:rPr>
          <w:rFonts w:ascii="Verdana" w:hAnsi="Verdana"/>
          <w:bCs/>
          <w:sz w:val="20"/>
        </w:rPr>
        <w:t>Para la autorización del prospecto de información, así como las modificaciones o adendas de este, las Administradoras deberán de sujetarse al siguiente procedimiento:</w:t>
      </w:r>
    </w:p>
    <w:p w:rsidR="00CA63EE" w:rsidRPr="00CA63EE" w:rsidRDefault="00CA63EE" w:rsidP="00CA63EE">
      <w:pPr>
        <w:jc w:val="both"/>
        <w:rPr>
          <w:rFonts w:ascii="Verdana" w:hAnsi="Verdana"/>
          <w:bCs/>
          <w:sz w:val="20"/>
        </w:rPr>
      </w:pPr>
      <w:r w:rsidRPr="00CA63EE">
        <w:rPr>
          <w:rFonts w:ascii="Verdana" w:hAnsi="Verdana"/>
          <w:bCs/>
          <w:sz w:val="20"/>
        </w:rPr>
        <w:t xml:space="preserve">I.           Las Administradoras podrán someter a una autorización con condición resolutoria de la Comisión, el prospecto de información, o en su caso las modificaciones o adendas de este a partir de la entrada en vigor de lo previsto en el artículo anterior de las presentes Disposiciones, manifestando que en la siguiente sesión que celebre el Órgano de Gobierno de la Administradora, serán sometidos a la aprobación de dicho Órgano, de conformidad con </w:t>
      </w:r>
      <w:proofErr w:type="spellStart"/>
      <w:r w:rsidRPr="00CA63EE">
        <w:rPr>
          <w:rFonts w:ascii="Verdana" w:hAnsi="Verdana"/>
          <w:bCs/>
          <w:sz w:val="20"/>
        </w:rPr>
        <w:t>loestablecido</w:t>
      </w:r>
      <w:proofErr w:type="spellEnd"/>
      <w:r w:rsidRPr="00CA63EE">
        <w:rPr>
          <w:rFonts w:ascii="Verdana" w:hAnsi="Verdana"/>
          <w:bCs/>
          <w:sz w:val="20"/>
        </w:rPr>
        <w:t xml:space="preserve"> en el artículo 29 fracción III de la Ley y el artículo 175 anterior de las presentes Disposiciones. Una vez que se cuente con la aprobación del Órgano de Gobierno de la Administradora y cuenten con el voto favorable de los Consejeros Independientes, deberán remitir a la Comisión en un término de 20 días hábiles posteriores a la celebración de la sesión, el Acta Pormenorizada o la constancia emitida por el secretario de dicho Órgano;</w:t>
      </w:r>
    </w:p>
    <w:p w:rsidR="00CA63EE" w:rsidRPr="00CA63EE" w:rsidRDefault="00CA63EE" w:rsidP="00CA63EE">
      <w:pPr>
        <w:jc w:val="both"/>
        <w:rPr>
          <w:rFonts w:ascii="Verdana" w:hAnsi="Verdana"/>
          <w:bCs/>
          <w:sz w:val="20"/>
        </w:rPr>
      </w:pPr>
      <w:r w:rsidRPr="00CA63EE">
        <w:rPr>
          <w:rFonts w:ascii="Verdana" w:hAnsi="Verdana"/>
          <w:bCs/>
          <w:sz w:val="20"/>
        </w:rPr>
        <w:t xml:space="preserve">             En caso de que la Comisión no cuente con el Acta Pormenorizada de la sesión correspondiente o la constancia emitida por el secretario de dicho Órgano en términos del párrafo anterior, la autorización con condición resolutoria quedará sin efectos, por lo que la Administradora deberá sujetarse a lo dispuesto a los últimos prospectos de información autorizados por la Comisión sin condición resolutoria. En este supuesto, la Sociedad de Inversión operada por la Administradora se verá sujeta a las reglas de recomposición de cartera previstas en las </w:t>
      </w:r>
      <w:proofErr w:type="spellStart"/>
      <w:r w:rsidRPr="00CA63EE">
        <w:rPr>
          <w:rFonts w:ascii="Verdana" w:hAnsi="Verdana"/>
          <w:bCs/>
          <w:sz w:val="20"/>
        </w:rPr>
        <w:t>presentesDisposiciones</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II.          La Comisión contará con un plazo de 40 días hábiles a partir de la recepción de la solicitud de autorización del prospecto de información, o en su caso las modificaciones o adendas de este, para autorizarlo. Si transcurrido dicho plazo, la Comisión no emite autorización ni realiza observación alguna se tendrá por autorizados los documentos referidos en el presente párrafo, y</w:t>
      </w:r>
    </w:p>
    <w:p w:rsidR="00CA63EE" w:rsidRPr="00CA63EE" w:rsidRDefault="00CA63EE" w:rsidP="00CA63EE">
      <w:pPr>
        <w:jc w:val="both"/>
        <w:rPr>
          <w:rFonts w:ascii="Verdana" w:hAnsi="Verdana"/>
          <w:bCs/>
          <w:sz w:val="20"/>
        </w:rPr>
      </w:pPr>
      <w:r w:rsidRPr="00CA63EE">
        <w:rPr>
          <w:rFonts w:ascii="Verdana" w:hAnsi="Verdana"/>
          <w:bCs/>
          <w:sz w:val="20"/>
        </w:rPr>
        <w:t>III.          No será autorizado el prospecto de información, o en su caso las modificaciones o adendas de este, cuando la información entregada a la Comisión no cumpla con la calidad y características requeridas en el presente Título y en el Anexo P,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Las autorizaciones de la Comisión se otorgarán únicamente sobre las modificaciones o adiciones identificadas de conformidad con lo previsto en el artículo 177, fracción I de las presentes Disposiciones, por lo que cualquier modificación o adición no identificada se tendrá por no autorizada.</w:t>
      </w:r>
    </w:p>
    <w:p w:rsidR="00CA63EE" w:rsidRPr="00CA63EE" w:rsidRDefault="00CA63EE" w:rsidP="00CA63EE">
      <w:pPr>
        <w:jc w:val="both"/>
        <w:rPr>
          <w:rFonts w:ascii="Verdana" w:hAnsi="Verdana"/>
          <w:bCs/>
          <w:sz w:val="20"/>
        </w:rPr>
      </w:pPr>
      <w:r w:rsidRPr="00CA63EE">
        <w:rPr>
          <w:rFonts w:ascii="Verdana" w:hAnsi="Verdana"/>
          <w:bCs/>
          <w:sz w:val="20"/>
        </w:rPr>
        <w:t>En caso de que la Sociedad de Inversión remita a la Comisión solicitud de alcance mediante la cual realice modificaciones o precisiones adicionales a la solicitud previamente enviada, la Comisión contará con el plazo previsto en la fracción II anterior, computándolo a partir de la fecha de entrega del alcance.</w:t>
      </w:r>
    </w:p>
    <w:p w:rsidR="00CA63EE" w:rsidRPr="00CA63EE" w:rsidRDefault="00CA63EE" w:rsidP="00CA63EE">
      <w:pPr>
        <w:jc w:val="both"/>
        <w:rPr>
          <w:rFonts w:ascii="Verdana" w:hAnsi="Verdana"/>
          <w:bCs/>
          <w:sz w:val="20"/>
        </w:rPr>
      </w:pPr>
      <w:r w:rsidRPr="00CA63EE">
        <w:rPr>
          <w:rFonts w:ascii="Verdana" w:hAnsi="Verdana"/>
          <w:b/>
          <w:bCs/>
          <w:sz w:val="20"/>
        </w:rPr>
        <w:t>Artículo 180.- </w:t>
      </w:r>
      <w:r w:rsidRPr="00CA63EE">
        <w:rPr>
          <w:rFonts w:ascii="Verdana" w:hAnsi="Verdana"/>
          <w:bCs/>
          <w:sz w:val="20"/>
        </w:rPr>
        <w:t>La Administradora no deberá entregar al público inversionista ningún prospecto de información que no se encuentre autorizado por la Comisión.</w:t>
      </w:r>
    </w:p>
    <w:p w:rsidR="00CA63EE" w:rsidRPr="00CA63EE" w:rsidRDefault="00CA63EE" w:rsidP="00CA63EE">
      <w:pPr>
        <w:jc w:val="both"/>
        <w:rPr>
          <w:rFonts w:ascii="Verdana" w:hAnsi="Verdana"/>
          <w:bCs/>
          <w:sz w:val="20"/>
        </w:rPr>
      </w:pPr>
      <w:r w:rsidRPr="00CA63EE">
        <w:rPr>
          <w:rFonts w:ascii="Verdana" w:hAnsi="Verdana"/>
          <w:b/>
          <w:bCs/>
          <w:sz w:val="20"/>
        </w:rPr>
        <w:lastRenderedPageBreak/>
        <w:t>Artículo 181.- </w:t>
      </w:r>
      <w:r w:rsidRPr="00CA63EE">
        <w:rPr>
          <w:rFonts w:ascii="Verdana" w:hAnsi="Verdana"/>
          <w:bCs/>
          <w:sz w:val="20"/>
        </w:rPr>
        <w:t>Los prospectos de información autorizados, así como los folletos explicativos actualizados, deberán estar en todo momento a disposición del público inversionista, en las oficinas y sucursales de la Administradora que opera la Sociedad de Inversión de que se trate o bien en la página de Internet de la Administradora, debiéndose ajustar a los formatos previstos en los Anexos P y Q según corresponda, de las presentes Disposiciones. Para efectos del presente artículo será suficiente que la Administradora provea los documentos en versión electrónica.</w:t>
      </w:r>
    </w:p>
    <w:p w:rsidR="00CA63EE" w:rsidRPr="00CA63EE" w:rsidRDefault="00CA63EE" w:rsidP="00CA63EE">
      <w:pPr>
        <w:jc w:val="both"/>
        <w:rPr>
          <w:rFonts w:ascii="Verdana" w:hAnsi="Verdana"/>
          <w:bCs/>
          <w:sz w:val="20"/>
        </w:rPr>
      </w:pPr>
      <w:r w:rsidRPr="00CA63EE">
        <w:rPr>
          <w:rFonts w:ascii="Verdana" w:hAnsi="Verdana"/>
          <w:bCs/>
          <w:sz w:val="20"/>
        </w:rPr>
        <w:t>Los prospectos de información de las Sociedades de Inversión que tengan por objeto exclusivo la inversión de fondos de previsión social deberán cumplir con los requisitos que establece el artículo 47 bis de la Ley, a excepción de lo establecido por la fracción VIII de dicho artículo. Para estas Sociedades de Inversión las Administradoras podrán observar los contenidos del formato que se prevé en el Anexo P de las presentes Disposiciones. En el caso de que decidan no apegarse, el contenido del formato deberá ser definido por el Comité de Inversión y descrito en las correspondientes Actas Pormenorizadas, dicha información deberá estar a disposición de la Comisión.</w:t>
      </w:r>
    </w:p>
    <w:p w:rsidR="00CA63EE" w:rsidRPr="00CA63EE" w:rsidRDefault="00CA63EE" w:rsidP="00CA63EE">
      <w:pPr>
        <w:jc w:val="both"/>
        <w:rPr>
          <w:rFonts w:ascii="Verdana" w:hAnsi="Verdana"/>
          <w:bCs/>
          <w:sz w:val="20"/>
        </w:rPr>
      </w:pPr>
      <w:r w:rsidRPr="00CA63EE">
        <w:rPr>
          <w:rFonts w:ascii="Verdana" w:hAnsi="Verdana"/>
          <w:b/>
          <w:bCs/>
          <w:sz w:val="20"/>
        </w:rPr>
        <w:t>TÍTULO XIV</w:t>
      </w:r>
    </w:p>
    <w:p w:rsidR="00CA63EE" w:rsidRPr="00CA63EE" w:rsidRDefault="00CA63EE" w:rsidP="00CA63EE">
      <w:pPr>
        <w:jc w:val="both"/>
        <w:rPr>
          <w:rFonts w:ascii="Verdana" w:hAnsi="Verdana"/>
          <w:bCs/>
          <w:sz w:val="20"/>
        </w:rPr>
      </w:pPr>
      <w:r w:rsidRPr="00CA63EE">
        <w:rPr>
          <w:rFonts w:ascii="Verdana" w:hAnsi="Verdana"/>
          <w:b/>
          <w:bCs/>
          <w:sz w:val="20"/>
        </w:rPr>
        <w:t>DE LA ELECCIÓN DE LA INVERSIÓN DE LOS RECURSOS DE LA SUBCUENTA DEL SEGURO DE</w:t>
      </w:r>
      <w:r w:rsidRPr="00CA63EE">
        <w:rPr>
          <w:rFonts w:ascii="Verdana" w:hAnsi="Verdana"/>
          <w:bCs/>
          <w:sz w:val="20"/>
        </w:rPr>
        <w:br/>
      </w:r>
      <w:r w:rsidRPr="00CA63EE">
        <w:rPr>
          <w:rFonts w:ascii="Verdana" w:hAnsi="Verdana"/>
          <w:b/>
          <w:bCs/>
          <w:sz w:val="20"/>
        </w:rPr>
        <w:t>RETIRO, SUBCUENTA DE AHORRO PARA EL RETIRO Y EL AHORRO VOLUNTARIO</w:t>
      </w:r>
    </w:p>
    <w:p w:rsidR="00CA63EE" w:rsidRPr="00CA63EE" w:rsidRDefault="00CA63EE" w:rsidP="00CA63EE">
      <w:pPr>
        <w:jc w:val="both"/>
        <w:rPr>
          <w:rFonts w:ascii="Verdana" w:hAnsi="Verdana"/>
          <w:bCs/>
          <w:sz w:val="20"/>
        </w:rPr>
      </w:pPr>
      <w:r w:rsidRPr="00CA63EE">
        <w:rPr>
          <w:rFonts w:ascii="Verdana" w:hAnsi="Verdana"/>
          <w:b/>
          <w:bCs/>
          <w:sz w:val="20"/>
        </w:rPr>
        <w:t>Artículo 182.-</w:t>
      </w:r>
      <w:r w:rsidRPr="00CA63EE">
        <w:rPr>
          <w:rFonts w:ascii="Verdana" w:hAnsi="Verdana"/>
          <w:bCs/>
          <w:sz w:val="20"/>
        </w:rPr>
        <w:t> Los Trabajadores, cuyos recursos pensionarios sean gestionados por las Sociedades de Inversión, podrán elegir que los recursos se inviertan en una Sociedad de Inversión Básica distinta a aquélla en la que deban invertirse los recursos, de conformidad con lo previsto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cuanto al Ahorro Voluntario, los Trabajadores podrán elegir que cada subcuenta o tipo de aportación que integra el Ahorro Voluntario, se invierta en cualquiera de las Sociedades de Inversión Básicas o Sociedades de Inversión Adicionales operadas por la Administradora. En este supuesto, la decisión que tomen los Trabajadores respecto a la inversión de cada Subcuenta o tipo de aportación será independiente y en ningún caso implicará que los demás recursos deban invertirse de la misma forma. Los recursos que integren el Ahorro Voluntario no estarán sujetos a las reglas emitidas por la Comisión referentes a la transferencia de recursos de una Sociedad de Inversión a otra ni a las previstas en las disposiciones de carácter general en materia de operaciones de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En caso de que los Trabajadores no elijan la forma en que se inviertan los recursos, dichos recursos deberán ser invertidos en la Sociedad de Inversión que determine la Administradora, de acuerdo a lo establecido en los prospectos de información de cada Sociedad de Inversión que opere.</w:t>
      </w:r>
    </w:p>
    <w:p w:rsidR="00CA63EE" w:rsidRPr="00CA63EE" w:rsidRDefault="00CA63EE" w:rsidP="00CA63EE">
      <w:pPr>
        <w:jc w:val="both"/>
        <w:rPr>
          <w:rFonts w:ascii="Verdana" w:hAnsi="Verdana"/>
          <w:bCs/>
          <w:sz w:val="20"/>
        </w:rPr>
      </w:pPr>
      <w:r w:rsidRPr="00CA63EE">
        <w:rPr>
          <w:rFonts w:ascii="Verdana" w:hAnsi="Verdana"/>
          <w:b/>
          <w:bCs/>
          <w:sz w:val="20"/>
        </w:rPr>
        <w:lastRenderedPageBreak/>
        <w:t>TÍTULO XV</w:t>
      </w:r>
    </w:p>
    <w:p w:rsidR="00CA63EE" w:rsidRPr="00CA63EE" w:rsidRDefault="00CA63EE" w:rsidP="00CA63EE">
      <w:pPr>
        <w:jc w:val="both"/>
        <w:rPr>
          <w:rFonts w:ascii="Verdana" w:hAnsi="Verdana"/>
          <w:bCs/>
          <w:sz w:val="20"/>
        </w:rPr>
      </w:pPr>
      <w:r w:rsidRPr="00CA63EE">
        <w:rPr>
          <w:rFonts w:ascii="Verdana" w:hAnsi="Verdana"/>
          <w:b/>
          <w:bCs/>
          <w:sz w:val="20"/>
        </w:rPr>
        <w:t>DISPOSICIONES FINALES</w:t>
      </w:r>
    </w:p>
    <w:p w:rsidR="00CA63EE" w:rsidRPr="00CA63EE" w:rsidRDefault="00CA63EE" w:rsidP="00CA63EE">
      <w:pPr>
        <w:jc w:val="both"/>
        <w:rPr>
          <w:rFonts w:ascii="Verdana" w:hAnsi="Verdana"/>
          <w:bCs/>
          <w:sz w:val="20"/>
        </w:rPr>
      </w:pPr>
      <w:r w:rsidRPr="00CA63EE">
        <w:rPr>
          <w:rFonts w:ascii="Verdana" w:hAnsi="Verdana"/>
          <w:b/>
          <w:bCs/>
          <w:sz w:val="20"/>
        </w:rPr>
        <w:t>Artículo 183.-</w:t>
      </w:r>
      <w:r w:rsidRPr="00CA63EE">
        <w:rPr>
          <w:rFonts w:ascii="Verdana" w:hAnsi="Verdana"/>
          <w:bCs/>
          <w:sz w:val="20"/>
        </w:rPr>
        <w:t> Las Sociedades de Inversión para el envío y recepción de documentos digitales deberán sujetarse al procedimiento para el envío de documentos digitales y notificaciones por correo electrónico de los Participantes en los Sistemas de Ahorro para el Retiro establecido en las Disposiciones de carácter general en materia de operaciones de los Sistemas de Ahorro para el Retiro.</w:t>
      </w:r>
    </w:p>
    <w:p w:rsidR="00CA63EE" w:rsidRPr="00CA63EE" w:rsidRDefault="00CA63EE" w:rsidP="00CA63EE">
      <w:pPr>
        <w:jc w:val="both"/>
        <w:rPr>
          <w:rFonts w:ascii="Verdana" w:hAnsi="Verdana"/>
          <w:bCs/>
          <w:sz w:val="20"/>
        </w:rPr>
      </w:pPr>
      <w:r w:rsidRPr="00CA63EE">
        <w:rPr>
          <w:rFonts w:ascii="Verdana" w:hAnsi="Verdana"/>
          <w:b/>
          <w:bCs/>
          <w:sz w:val="20"/>
        </w:rPr>
        <w:t>Artículo 184.-</w:t>
      </w:r>
      <w:r w:rsidRPr="00CA63EE">
        <w:rPr>
          <w:rFonts w:ascii="Verdana" w:hAnsi="Verdana"/>
          <w:bCs/>
          <w:sz w:val="20"/>
        </w:rPr>
        <w:t> Las Administradoras deberán enfatizar el control e información sobre las inversiones en valores del Contralor Normativo y de los Funcionarios que en razón de su cargo o posición tenga acceso a información de las inversiones de los recursos de las cuentas individuales; lo anterior, de conformidad con lo previsto en el artículo 67 de la Ley; asimismo, deberán prohibir que las personas antes mencionadas puedan valerse directa o indirectamente de la información reservada, para obtener para sí o para otros, ventajas mediante la compra o venta de valores.</w:t>
      </w:r>
    </w:p>
    <w:p w:rsidR="00CA63EE" w:rsidRPr="00CA63EE" w:rsidRDefault="00CA63EE" w:rsidP="00CA63EE">
      <w:pPr>
        <w:jc w:val="both"/>
        <w:rPr>
          <w:rFonts w:ascii="Verdana" w:hAnsi="Verdana"/>
          <w:bCs/>
          <w:sz w:val="20"/>
        </w:rPr>
      </w:pPr>
      <w:r w:rsidRPr="00CA63EE">
        <w:rPr>
          <w:rFonts w:ascii="Verdana" w:hAnsi="Verdana"/>
          <w:b/>
          <w:bCs/>
          <w:sz w:val="20"/>
        </w:rPr>
        <w:t>Artículo 185.- </w:t>
      </w:r>
      <w:r w:rsidRPr="00CA63EE">
        <w:rPr>
          <w:rFonts w:ascii="Verdana" w:hAnsi="Verdana"/>
          <w:bCs/>
          <w:sz w:val="20"/>
        </w:rPr>
        <w:t>En caso de que la Administradora, a través de las Sociedades de Inversión que opera, pretenda realizar operaciones de préstamo de valores con acciones representativas del capital social de Instituciones de Crédito, deberá contar previamente con la no objeción de la Comisión. La no objeción, será por un plazo de tres años y podrá ser renovada por un periodo igual, siempre que la Administradora solicite la renovación seis meses antes de que concluya su vigencia.</w:t>
      </w:r>
    </w:p>
    <w:p w:rsidR="00CA63EE" w:rsidRPr="00CA63EE" w:rsidRDefault="00CA63EE" w:rsidP="00CA63EE">
      <w:pPr>
        <w:jc w:val="both"/>
        <w:rPr>
          <w:rFonts w:ascii="Verdana" w:hAnsi="Verdana"/>
          <w:b/>
          <w:bCs/>
          <w:sz w:val="20"/>
        </w:rPr>
      </w:pPr>
      <w:r w:rsidRPr="00CA63EE">
        <w:rPr>
          <w:rFonts w:ascii="Verdana" w:hAnsi="Verdana"/>
          <w:b/>
          <w:bCs/>
          <w:sz w:val="20"/>
        </w:rPr>
        <w:t>TRANSITORIOS</w:t>
      </w:r>
    </w:p>
    <w:p w:rsidR="00CA63EE" w:rsidRPr="00CA63EE" w:rsidRDefault="00CA63EE" w:rsidP="00CA63EE">
      <w:pPr>
        <w:jc w:val="both"/>
        <w:rPr>
          <w:rFonts w:ascii="Verdana" w:hAnsi="Verdana"/>
          <w:bCs/>
          <w:sz w:val="20"/>
        </w:rPr>
      </w:pPr>
      <w:r w:rsidRPr="00CA63EE">
        <w:rPr>
          <w:rFonts w:ascii="Verdana" w:hAnsi="Verdana"/>
          <w:b/>
          <w:bCs/>
          <w:sz w:val="20"/>
        </w:rPr>
        <w:t>ARTÍCULO PRIMERO. </w:t>
      </w:r>
      <w:r w:rsidRPr="00CA63EE">
        <w:rPr>
          <w:rFonts w:ascii="Verdana" w:hAnsi="Verdana"/>
          <w:bCs/>
          <w:sz w:val="20"/>
        </w:rPr>
        <w:t>Las presentes Disposiciones de carácter general entrarán en vigor el día hábil siguiente de su publicación en el Diario Oficial de la Federación, con excepción de lo siguiente:</w:t>
      </w:r>
    </w:p>
    <w:p w:rsidR="00CA63EE" w:rsidRPr="00CA63EE" w:rsidRDefault="00CA63EE" w:rsidP="00CA63EE">
      <w:pPr>
        <w:jc w:val="both"/>
        <w:rPr>
          <w:rFonts w:ascii="Verdana" w:hAnsi="Verdana"/>
          <w:bCs/>
          <w:sz w:val="20"/>
        </w:rPr>
      </w:pPr>
      <w:r w:rsidRPr="00CA63EE">
        <w:rPr>
          <w:rFonts w:ascii="Verdana" w:hAnsi="Verdana"/>
          <w:bCs/>
          <w:sz w:val="20"/>
        </w:rPr>
        <w:t>I.           Los Comités de Inversión deberán actualizar sus portafolios de referencia a los lineamientos previstos en el artículo 36 de las presentes disposiciones en un plazo máximo de 180 días naturales posteriores a la publicación de las presentes disposiciones en el Diario Oficial de la Federación. Asimismo, los Manuales de Inversión y de Políticas y Procedimientos para la Administración del Riesgo Financiero, deberán incorporar los ajustes correspondientes.</w:t>
      </w:r>
    </w:p>
    <w:p w:rsidR="00CA63EE" w:rsidRPr="00CA63EE" w:rsidRDefault="00CA63EE" w:rsidP="00CA63EE">
      <w:pPr>
        <w:jc w:val="both"/>
        <w:rPr>
          <w:rFonts w:ascii="Verdana" w:hAnsi="Verdana"/>
          <w:bCs/>
          <w:sz w:val="20"/>
        </w:rPr>
      </w:pPr>
      <w:r w:rsidRPr="00CA63EE">
        <w:rPr>
          <w:rFonts w:ascii="Verdana" w:hAnsi="Verdana"/>
          <w:bCs/>
          <w:sz w:val="20"/>
        </w:rPr>
        <w:t>             Lo anterior, sin perjuicio de la no objeción que tengan del portafolio de referencia, de conformidad con las Disposiciones de carácter general en materia financiera de los Sistemas de Ahorro para el Retiro, publicadas en el Diario Oficial de la Federación 26 de enero de 2018;</w:t>
      </w:r>
    </w:p>
    <w:p w:rsidR="00CA63EE" w:rsidRPr="00CA63EE" w:rsidRDefault="00CA63EE" w:rsidP="00CA63EE">
      <w:pPr>
        <w:jc w:val="both"/>
        <w:rPr>
          <w:rFonts w:ascii="Verdana" w:hAnsi="Verdana"/>
          <w:bCs/>
          <w:sz w:val="20"/>
        </w:rPr>
      </w:pPr>
      <w:r w:rsidRPr="00CA63EE">
        <w:rPr>
          <w:rFonts w:ascii="Verdana" w:hAnsi="Verdana"/>
          <w:bCs/>
          <w:sz w:val="20"/>
        </w:rPr>
        <w:t>II.          Para que las Administradoras operen como Custodios, deberán obtener la no objeción de la Comisión en un plazo de 270 días naturales posteriores a la publicación de las presentes disposiciones en el Diario Oficial de la Federación, y solicitar la no objeción de la Comisión en un plazo de 180 días naturales posteriores a la publicación de las presentes disposiciones en el Diario Oficial de la Federación.</w:t>
      </w:r>
    </w:p>
    <w:p w:rsidR="00CA63EE" w:rsidRPr="00CA63EE" w:rsidRDefault="00CA63EE" w:rsidP="00CA63EE">
      <w:pPr>
        <w:jc w:val="both"/>
        <w:rPr>
          <w:rFonts w:ascii="Verdana" w:hAnsi="Verdana"/>
          <w:bCs/>
          <w:sz w:val="20"/>
        </w:rPr>
      </w:pPr>
      <w:r w:rsidRPr="00CA63EE">
        <w:rPr>
          <w:rFonts w:ascii="Verdana" w:hAnsi="Verdana"/>
          <w:bCs/>
          <w:sz w:val="20"/>
        </w:rPr>
        <w:lastRenderedPageBreak/>
        <w:t>             Las Administradoras que a la fecha de entrada en vigor de las presentes Disposiciones, ya operan como Custodios, podrán seguir operando, sin perjuicio de que deben obtener la no objeción de la Comisión y solicitar la no objeción, de conformidad con lo previsto en el párrafo anterior;</w:t>
      </w:r>
    </w:p>
    <w:p w:rsidR="00CA63EE" w:rsidRPr="00CA63EE" w:rsidRDefault="00CA63EE" w:rsidP="00CA63EE">
      <w:pPr>
        <w:jc w:val="both"/>
        <w:rPr>
          <w:rFonts w:ascii="Verdana" w:hAnsi="Verdana"/>
          <w:bCs/>
          <w:sz w:val="20"/>
        </w:rPr>
      </w:pPr>
      <w:r w:rsidRPr="00CA63EE">
        <w:rPr>
          <w:rFonts w:ascii="Verdana" w:hAnsi="Verdana"/>
          <w:bCs/>
          <w:sz w:val="20"/>
        </w:rPr>
        <w:t>III.          Para las modificaciones previstas en el Anexo P de las presentes disposiciones, por única ocasión las Sociedades de Inversión deberán modificar sus prospectos de información, y las Administradoras deberán solicitar la autorización de la Comisión, en un plazo de 180 días naturales posteriores a la publicación de las presentes disposiciones en el Diario Oficial de la Federación, y</w:t>
      </w:r>
    </w:p>
    <w:p w:rsidR="00CA63EE" w:rsidRPr="00CA63EE" w:rsidRDefault="00CA63EE" w:rsidP="00CA63EE">
      <w:pPr>
        <w:jc w:val="both"/>
        <w:rPr>
          <w:rFonts w:ascii="Verdana" w:hAnsi="Verdana"/>
          <w:bCs/>
          <w:sz w:val="20"/>
        </w:rPr>
      </w:pPr>
      <w:r w:rsidRPr="00CA63EE">
        <w:rPr>
          <w:rFonts w:ascii="Verdana" w:hAnsi="Verdana"/>
          <w:bCs/>
          <w:sz w:val="20"/>
        </w:rPr>
        <w:t>IV.         Para las modificaciones previstas en el Anexo Q de las presentes disposiciones, por única ocasión las Sociedades de Inversión deberán modificar sus folletos explicativos, y deberán mantenerlos a disposición de la Comisión debidamente actualizados a partir de los 180 días naturales posteriores a la publicación de las presentes disposiciones en el Diario Oficial de la</w:t>
      </w:r>
    </w:p>
    <w:p w:rsidR="00CA63EE" w:rsidRPr="00CA63EE" w:rsidRDefault="00CA63EE" w:rsidP="00CA63EE">
      <w:pPr>
        <w:jc w:val="both"/>
        <w:rPr>
          <w:rFonts w:ascii="Verdana" w:hAnsi="Verdana"/>
          <w:bCs/>
          <w:sz w:val="20"/>
        </w:rPr>
      </w:pPr>
      <w:r w:rsidRPr="00CA63EE">
        <w:rPr>
          <w:rFonts w:ascii="Verdana" w:hAnsi="Verdana"/>
          <w:bCs/>
          <w:sz w:val="20"/>
        </w:rPr>
        <w:t>Federación.</w:t>
      </w:r>
    </w:p>
    <w:p w:rsidR="00CA63EE" w:rsidRPr="00CA63EE" w:rsidRDefault="00CA63EE" w:rsidP="00CA63EE">
      <w:pPr>
        <w:jc w:val="both"/>
        <w:rPr>
          <w:rFonts w:ascii="Verdana" w:hAnsi="Verdana"/>
          <w:bCs/>
          <w:sz w:val="20"/>
        </w:rPr>
      </w:pPr>
      <w:r w:rsidRPr="00CA63EE">
        <w:rPr>
          <w:rFonts w:ascii="Verdana" w:hAnsi="Verdana"/>
          <w:b/>
          <w:bCs/>
          <w:sz w:val="20"/>
        </w:rPr>
        <w:t>ARTÍCULO SEGUNDO.</w:t>
      </w:r>
      <w:r w:rsidRPr="00CA63EE">
        <w:rPr>
          <w:rFonts w:ascii="Verdana" w:hAnsi="Verdana"/>
          <w:bCs/>
          <w:sz w:val="20"/>
        </w:rPr>
        <w:t> Se abrogan las "Disposiciones de carácter general en materia financiera de los Sistemas de Ahorro para el Retiro", publicadas en el Diario Oficial de la Federación el 26 de enero de 2018.</w:t>
      </w:r>
    </w:p>
    <w:p w:rsidR="00CA63EE" w:rsidRPr="00CA63EE" w:rsidRDefault="00CA63EE" w:rsidP="00CA63EE">
      <w:pPr>
        <w:jc w:val="both"/>
        <w:rPr>
          <w:rFonts w:ascii="Verdana" w:hAnsi="Verdana"/>
          <w:bCs/>
          <w:sz w:val="20"/>
        </w:rPr>
      </w:pPr>
      <w:r w:rsidRPr="00CA63EE">
        <w:rPr>
          <w:rFonts w:ascii="Verdana" w:hAnsi="Verdana"/>
          <w:bCs/>
          <w:sz w:val="20"/>
        </w:rPr>
        <w:t>Asimismo, con la publicación de las presentes Disposiciones se deroga toda disposición emitida por la Comisión que resulte contraria al presente ordenamiento.</w:t>
      </w:r>
    </w:p>
    <w:p w:rsidR="00CA63EE" w:rsidRPr="00CA63EE" w:rsidRDefault="00CA63EE" w:rsidP="00CA63EE">
      <w:pPr>
        <w:jc w:val="both"/>
        <w:rPr>
          <w:rFonts w:ascii="Verdana" w:hAnsi="Verdana"/>
          <w:bCs/>
          <w:sz w:val="20"/>
        </w:rPr>
      </w:pPr>
      <w:r w:rsidRPr="00CA63EE">
        <w:rPr>
          <w:rFonts w:ascii="Verdana" w:hAnsi="Verdana"/>
          <w:b/>
          <w:bCs/>
          <w:sz w:val="20"/>
        </w:rPr>
        <w:t>ARTÍCULO TERCERO. </w:t>
      </w:r>
      <w:r w:rsidRPr="00CA63EE">
        <w:rPr>
          <w:rFonts w:ascii="Verdana" w:hAnsi="Verdana"/>
          <w:bCs/>
          <w:sz w:val="20"/>
        </w:rPr>
        <w:t>Para efectos del cumplimiento a lo previsto en las fracciones I a III de la disposición Segunda Transitoria de las Disposiciones de carácter general que establecen el régimen de inversión al que deberán sujetarse las Sociedad de Inversión, las Administradoras deberán tener documentados los contenidos de las referidas fracciones en los manuales de inversión y políticas y procedimientos para la administración del riesgo financiero, así como formar parte del Plan de Funciones del Contralor Normativo.</w:t>
      </w:r>
    </w:p>
    <w:p w:rsidR="00CA63EE" w:rsidRPr="00CA63EE" w:rsidRDefault="00CA63EE" w:rsidP="00CA63EE">
      <w:pPr>
        <w:jc w:val="both"/>
        <w:rPr>
          <w:rFonts w:ascii="Verdana" w:hAnsi="Verdana"/>
          <w:bCs/>
          <w:sz w:val="20"/>
        </w:rPr>
      </w:pPr>
      <w:r w:rsidRPr="00CA63EE">
        <w:rPr>
          <w:rFonts w:ascii="Verdana" w:hAnsi="Verdana"/>
          <w:bCs/>
          <w:sz w:val="20"/>
        </w:rPr>
        <w:t xml:space="preserve">Para efectos del cumplimiento a lo previsto en relación con las reservas especiales de las Sociedades de Inversión en la disposición Segunda Transitoria de las Disposiciones de carácter general que establecen el régimen patrimonial al que se sujetarán las Administradoras, el </w:t>
      </w:r>
      <w:proofErr w:type="spellStart"/>
      <w:r w:rsidRPr="00CA63EE">
        <w:rPr>
          <w:rFonts w:ascii="Verdana" w:hAnsi="Verdana"/>
          <w:bCs/>
          <w:sz w:val="20"/>
        </w:rPr>
        <w:t>Pensionissste</w:t>
      </w:r>
      <w:proofErr w:type="spellEnd"/>
      <w:r w:rsidRPr="00CA63EE">
        <w:rPr>
          <w:rFonts w:ascii="Verdana" w:hAnsi="Verdana"/>
          <w:bCs/>
          <w:sz w:val="20"/>
        </w:rPr>
        <w:t xml:space="preserve"> y las Sociedades de Inversión y la reserva especial, las Administradoras:</w:t>
      </w:r>
    </w:p>
    <w:p w:rsidR="00CA63EE" w:rsidRPr="00CA63EE" w:rsidRDefault="00CA63EE" w:rsidP="00CA63EE">
      <w:pPr>
        <w:jc w:val="both"/>
        <w:rPr>
          <w:rFonts w:ascii="Verdana" w:hAnsi="Verdana"/>
          <w:bCs/>
          <w:sz w:val="20"/>
        </w:rPr>
      </w:pPr>
      <w:r w:rsidRPr="00CA63EE">
        <w:rPr>
          <w:rFonts w:ascii="Verdana" w:hAnsi="Verdana"/>
          <w:bCs/>
          <w:sz w:val="20"/>
        </w:rPr>
        <w:t>I.           Deberán acreditar el cumplimiento de lo previsto en el primer párrafo del presente artículo;</w:t>
      </w:r>
    </w:p>
    <w:p w:rsidR="00CA63EE" w:rsidRPr="00CA63EE" w:rsidRDefault="00CA63EE" w:rsidP="00CA63EE">
      <w:pPr>
        <w:jc w:val="both"/>
        <w:rPr>
          <w:rFonts w:ascii="Verdana" w:hAnsi="Verdana"/>
          <w:bCs/>
          <w:sz w:val="20"/>
        </w:rPr>
      </w:pPr>
      <w:r w:rsidRPr="00CA63EE">
        <w:rPr>
          <w:rFonts w:ascii="Verdana" w:hAnsi="Verdana"/>
          <w:bCs/>
          <w:sz w:val="20"/>
        </w:rPr>
        <w:t>II.          No deberán tener observaciones pendientes de solventar en materia financiera realizadas por la Comisión con fines de verificar el cumplimiento de los contenidos previstos en el párrafo anterior para las fracciones II y III de la disposición Segunda Transitoria de las Disposiciones de carácter general que establecen el régimen de inversión al que deberán sujetarse las Sociedad de Inversión, y</w:t>
      </w:r>
    </w:p>
    <w:p w:rsidR="00CA63EE" w:rsidRPr="00CA63EE" w:rsidRDefault="00CA63EE" w:rsidP="00CA63EE">
      <w:pPr>
        <w:jc w:val="both"/>
        <w:rPr>
          <w:rFonts w:ascii="Verdana" w:hAnsi="Verdana"/>
          <w:bCs/>
          <w:sz w:val="20"/>
        </w:rPr>
      </w:pPr>
      <w:r w:rsidRPr="00CA63EE">
        <w:rPr>
          <w:rFonts w:ascii="Verdana" w:hAnsi="Verdana"/>
          <w:bCs/>
          <w:sz w:val="20"/>
        </w:rPr>
        <w:lastRenderedPageBreak/>
        <w:t>III.          Deberán acreditar el cumplimiento a lo previsto en el Título II, Capítulo II, el artículo 14 y el Título III, Capítulo IV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 Comisión en ejercicio de sus facultades de supervisión determinará los términos en los que se deba reconstituir la reserva especial cuando se incumpla alguna de las condiciones previstas en el presente artículo.</w:t>
      </w:r>
    </w:p>
    <w:p w:rsidR="00CA63EE" w:rsidRPr="00CA63EE" w:rsidRDefault="00CA63EE" w:rsidP="00CA63EE">
      <w:pPr>
        <w:jc w:val="both"/>
        <w:rPr>
          <w:rFonts w:ascii="Verdana" w:hAnsi="Verdana"/>
          <w:bCs/>
          <w:sz w:val="20"/>
        </w:rPr>
      </w:pPr>
      <w:r w:rsidRPr="00CA63EE">
        <w:rPr>
          <w:rFonts w:ascii="Verdana" w:hAnsi="Verdana"/>
          <w:b/>
          <w:bCs/>
          <w:sz w:val="20"/>
        </w:rPr>
        <w:t>ARTÍCULO CUARTO. </w:t>
      </w:r>
      <w:r w:rsidRPr="00CA63EE">
        <w:rPr>
          <w:rFonts w:ascii="Verdana" w:hAnsi="Verdana"/>
          <w:bCs/>
          <w:sz w:val="20"/>
        </w:rPr>
        <w:t>Las Sociedades de Inversión observarán los siguientes criterios de diversificación hasta en tanto la Comisión verifique que se implementaron cabalmente las metodologías y elementos de medición para la evaluación crediticia adicional a la provista por las instituciones calificadoras de valores a la que se refiere el artículo 3, fracciones XIII y XIV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a)    Hasta un 5% del Activo Total de la Sociedad de Inversión en Instrumentos de Deuda y Valores Extranjeros de Deuda que ostenten las calificaciones previstas en los Anexos A, F y J de las Disposiciones de carácter general que establecen el régimen de inversión al que deberán sujetarse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Cs/>
          <w:sz w:val="20"/>
        </w:rPr>
        <w:t>b)    Hasta un 3% del Activo Total de la Sociedad de Inversión en Instrumentos de Deuda que ostenten las calificaciones previstas en los Anexos B y G de las presentes Disposiciones de carácter general que establecen el régimen de inversión al que deberán sujetarse las sociedades de inversión especializadas de fondos para el retiro, y</w:t>
      </w:r>
    </w:p>
    <w:p w:rsidR="00CA63EE" w:rsidRPr="00CA63EE" w:rsidRDefault="00CA63EE" w:rsidP="00CA63EE">
      <w:pPr>
        <w:jc w:val="both"/>
        <w:rPr>
          <w:rFonts w:ascii="Verdana" w:hAnsi="Verdana"/>
          <w:bCs/>
          <w:sz w:val="20"/>
        </w:rPr>
      </w:pPr>
      <w:r w:rsidRPr="00CA63EE">
        <w:rPr>
          <w:rFonts w:ascii="Verdana" w:hAnsi="Verdana"/>
          <w:bCs/>
          <w:sz w:val="20"/>
        </w:rPr>
        <w:t>c)     Hasta un 2% del Activo Total de la Sociedad de Inversión en Instrumentos de Deuda que ostenten las calificaciones previstas en el Anexo C de las presentes Disposiciones de carácter general que establecen el régimen de inversión al que deberán sujetarse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Cs/>
          <w:sz w:val="20"/>
        </w:rPr>
        <w:t>d)    Hasta un 1% del Activo Total de la Sociedad de Inversión en Instrumentos de Deuda que ostenten las calificaciones previstas en el Anexo D de las presentes Disposiciones de carácter general que establecen el régimen de inversión al que deberán sujetarse las sociedades de inversión especializadas de fondos para el retiro.</w:t>
      </w:r>
    </w:p>
    <w:p w:rsidR="00CA63EE" w:rsidRPr="00CA63EE" w:rsidRDefault="00CA63EE" w:rsidP="00CA63EE">
      <w:pPr>
        <w:jc w:val="both"/>
        <w:rPr>
          <w:rFonts w:ascii="Verdana" w:hAnsi="Verdana"/>
          <w:bCs/>
          <w:sz w:val="20"/>
        </w:rPr>
      </w:pPr>
      <w:r w:rsidRPr="00CA63EE">
        <w:rPr>
          <w:rFonts w:ascii="Verdana" w:hAnsi="Verdana"/>
          <w:bCs/>
          <w:sz w:val="20"/>
        </w:rPr>
        <w:t>Para efectos de computar el valor de las inversiones realizadas con cada Contraparte o emisor de acuerdo con la presente disposición, se estará a lo establecido en las Disposiciones de carácter general que establecen el régimen de inversión al que deberán sujetarse las sociedades de inversión especializadas de fondos para el retiro y anexo G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Ciudad de México, a 9 de noviembre de 2018.- El Presidente de la Comisión Nacional del Sistema de Ahorro para el </w:t>
      </w:r>
      <w:proofErr w:type="spellStart"/>
      <w:r w:rsidRPr="00CA63EE">
        <w:rPr>
          <w:rFonts w:ascii="Verdana" w:hAnsi="Verdana"/>
          <w:bCs/>
          <w:sz w:val="20"/>
        </w:rPr>
        <w:t>Retiro</w:t>
      </w:r>
      <w:proofErr w:type="gramStart"/>
      <w:r w:rsidRPr="00CA63EE">
        <w:rPr>
          <w:rFonts w:ascii="Verdana" w:hAnsi="Verdana"/>
          <w:bCs/>
          <w:sz w:val="20"/>
        </w:rPr>
        <w:t>,</w:t>
      </w:r>
      <w:r w:rsidRPr="00CA63EE">
        <w:rPr>
          <w:rFonts w:ascii="Verdana" w:hAnsi="Verdana"/>
          <w:b/>
          <w:bCs/>
          <w:sz w:val="20"/>
        </w:rPr>
        <w:t>Carlos</w:t>
      </w:r>
      <w:proofErr w:type="spellEnd"/>
      <w:proofErr w:type="gramEnd"/>
      <w:r w:rsidRPr="00CA63EE">
        <w:rPr>
          <w:rFonts w:ascii="Verdana" w:hAnsi="Verdana"/>
          <w:b/>
          <w:bCs/>
          <w:sz w:val="20"/>
        </w:rPr>
        <w:t xml:space="preserve"> Ramírez Fuentes</w:t>
      </w:r>
      <w:r w:rsidRPr="00CA63EE">
        <w:rPr>
          <w:rFonts w:ascii="Verdana" w:hAnsi="Verdana"/>
          <w:bCs/>
          <w:sz w:val="20"/>
        </w:rPr>
        <w:t>.- Rúbrica.</w:t>
      </w:r>
    </w:p>
    <w:p w:rsidR="00CA63EE" w:rsidRPr="00CA63EE" w:rsidRDefault="00CA63EE" w:rsidP="00CA63EE">
      <w:pPr>
        <w:jc w:val="both"/>
        <w:rPr>
          <w:rFonts w:ascii="Verdana" w:hAnsi="Verdana"/>
          <w:b/>
          <w:bCs/>
          <w:sz w:val="20"/>
        </w:rPr>
      </w:pPr>
      <w:r w:rsidRPr="00CA63EE">
        <w:rPr>
          <w:rFonts w:ascii="Verdana" w:hAnsi="Verdana"/>
          <w:b/>
          <w:bCs/>
          <w:sz w:val="20"/>
        </w:rPr>
        <w:t>ANEXO A</w:t>
      </w:r>
    </w:p>
    <w:p w:rsidR="00CA63EE" w:rsidRPr="00CA63EE" w:rsidRDefault="00CA63EE" w:rsidP="00CA63EE">
      <w:pPr>
        <w:jc w:val="both"/>
        <w:rPr>
          <w:rFonts w:ascii="Verdana" w:hAnsi="Verdana"/>
          <w:bCs/>
          <w:sz w:val="20"/>
        </w:rPr>
      </w:pPr>
      <w:r w:rsidRPr="00CA63EE">
        <w:rPr>
          <w:rFonts w:ascii="Verdana" w:hAnsi="Verdana"/>
          <w:b/>
          <w:bCs/>
          <w:sz w:val="20"/>
        </w:rPr>
        <w:t>Escenarios fijos que computan en el Diferencial del Valor en Riesgo Condicional</w:t>
      </w:r>
    </w:p>
    <w:p w:rsidR="00CA63EE" w:rsidRPr="00CA63EE" w:rsidRDefault="00CA63EE" w:rsidP="00CA63EE">
      <w:pPr>
        <w:jc w:val="both"/>
        <w:rPr>
          <w:rFonts w:ascii="Verdana" w:hAnsi="Verdana"/>
          <w:bCs/>
          <w:sz w:val="20"/>
        </w:rPr>
      </w:pPr>
      <w:r w:rsidRPr="00CA63EE">
        <w:rPr>
          <w:rFonts w:ascii="Verdana" w:hAnsi="Verdana"/>
          <w:bCs/>
          <w:sz w:val="20"/>
        </w:rPr>
        <w:lastRenderedPageBreak/>
        <w:t>Los escenarios de las siguientes 5 fechas disyuntas que permanecerán fijos dentro de los 1000 escenarios utilizados en el cómputo del Diferencial del Valor en Riesgo Condicional: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18"/>
        <w:gridCol w:w="1988"/>
      </w:tblGrid>
      <w:tr w:rsidR="00CA63EE" w:rsidRPr="00CA63EE" w:rsidTr="00CA63EE">
        <w:tc>
          <w:tcPr>
            <w:tcW w:w="400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divId w:val="93597904"/>
              <w:rPr>
                <w:rFonts w:ascii="Verdana" w:hAnsi="Verdana"/>
                <w:bCs/>
                <w:sz w:val="20"/>
              </w:rPr>
            </w:pPr>
            <w:r w:rsidRPr="00CA63EE">
              <w:rPr>
                <w:rFonts w:ascii="Verdana" w:hAnsi="Verdana"/>
                <w:bCs/>
                <w:sz w:val="20"/>
              </w:rPr>
              <w:t>Escenarios</w:t>
            </w:r>
          </w:p>
        </w:tc>
      </w:tr>
      <w:tr w:rsidR="00CA63EE" w:rsidRPr="00CA63EE" w:rsidTr="00CA63EE">
        <w:tc>
          <w:tcPr>
            <w:tcW w:w="2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22 de octubre de 2008</w:t>
            </w:r>
          </w:p>
        </w:tc>
        <w:tc>
          <w:tcPr>
            <w:tcW w:w="1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20 de febrero de 2009</w:t>
            </w:r>
          </w:p>
        </w:tc>
      </w:tr>
      <w:tr w:rsidR="00CA63EE" w:rsidRPr="00CA63EE" w:rsidTr="00CA63EE">
        <w:tc>
          <w:tcPr>
            <w:tcW w:w="2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23 de octubre de 2008</w:t>
            </w:r>
          </w:p>
        </w:tc>
        <w:tc>
          <w:tcPr>
            <w:tcW w:w="1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23 de febrero de 2009</w:t>
            </w:r>
          </w:p>
        </w:tc>
      </w:tr>
      <w:tr w:rsidR="00CA63EE" w:rsidRPr="00CA63EE" w:rsidTr="00CA63EE">
        <w:tc>
          <w:tcPr>
            <w:tcW w:w="2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24 de octubre de 2008</w:t>
            </w:r>
          </w:p>
        </w:tc>
        <w:tc>
          <w:tcPr>
            <w:tcW w:w="1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 Comisión mantendrá actualizada la relación de escenarios fijos que deben considerarse en el cómputo del Diferencial de Valor en Riesgos Condicional, a través de la publicación en su página de Internet. Será responsabilidad de las Administradoras dar cumplimiento a los criterios aprobados por el Comité de Análisis de Riesgos, así como darle seguimiento a cualquier actualización y publicación que se presente respecto de la relación de escenarios fijos que deben considerarse en el cómputo del Diferencial de Valor en Riesgos Condicional.</w:t>
      </w:r>
    </w:p>
    <w:p w:rsidR="00CA63EE" w:rsidRPr="00CA63EE" w:rsidRDefault="00CA63EE" w:rsidP="00CA63EE">
      <w:pPr>
        <w:jc w:val="both"/>
        <w:rPr>
          <w:rFonts w:ascii="Verdana" w:hAnsi="Verdana"/>
          <w:b/>
          <w:bCs/>
          <w:sz w:val="20"/>
        </w:rPr>
      </w:pPr>
      <w:r w:rsidRPr="00CA63EE">
        <w:rPr>
          <w:rFonts w:ascii="Verdana" w:hAnsi="Verdana"/>
          <w:b/>
          <w:bCs/>
          <w:sz w:val="20"/>
        </w:rPr>
        <w:t>ANEXO B</w:t>
      </w:r>
    </w:p>
    <w:p w:rsidR="00CA63EE" w:rsidRPr="00CA63EE" w:rsidRDefault="00CA63EE" w:rsidP="00CA63EE">
      <w:pPr>
        <w:jc w:val="both"/>
        <w:rPr>
          <w:rFonts w:ascii="Verdana" w:hAnsi="Verdana"/>
          <w:bCs/>
          <w:sz w:val="20"/>
        </w:rPr>
      </w:pPr>
      <w:r w:rsidRPr="00CA63EE">
        <w:rPr>
          <w:rFonts w:ascii="Verdana" w:hAnsi="Verdana"/>
          <w:b/>
          <w:bCs/>
          <w:sz w:val="20"/>
        </w:rPr>
        <w:t>De los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
          <w:bCs/>
          <w:sz w:val="20"/>
        </w:rPr>
        <w:t>Capítulo I</w:t>
      </w:r>
    </w:p>
    <w:p w:rsidR="00CA63EE" w:rsidRPr="00CA63EE" w:rsidRDefault="00CA63EE" w:rsidP="00CA63EE">
      <w:pPr>
        <w:jc w:val="both"/>
        <w:rPr>
          <w:rFonts w:ascii="Verdana" w:hAnsi="Verdana"/>
          <w:bCs/>
          <w:sz w:val="20"/>
        </w:rPr>
      </w:pPr>
      <w:r w:rsidRPr="00CA63EE">
        <w:rPr>
          <w:rFonts w:ascii="Verdana" w:hAnsi="Verdana"/>
          <w:b/>
          <w:bCs/>
          <w:sz w:val="20"/>
        </w:rPr>
        <w:t>Elementos que deben prever las políticas definidas por los Comités de Inversión para realizar</w:t>
      </w:r>
      <w:r w:rsidRPr="00CA63EE">
        <w:rPr>
          <w:rFonts w:ascii="Verdana" w:hAnsi="Verdana"/>
          <w:bCs/>
          <w:sz w:val="20"/>
        </w:rPr>
        <w:br/>
      </w:r>
      <w:r w:rsidRPr="00CA63EE">
        <w:rPr>
          <w:rFonts w:ascii="Verdana" w:hAnsi="Verdana"/>
          <w:b/>
          <w:bCs/>
          <w:sz w:val="20"/>
        </w:rPr>
        <w:t>inversiones en Instrumentos Estructurados, FIBRAS y Certificados Bursátiles Vinculados a Proyectos</w:t>
      </w:r>
      <w:r w:rsidRPr="00CA63EE">
        <w:rPr>
          <w:rFonts w:ascii="Verdana" w:hAnsi="Verdana"/>
          <w:bCs/>
          <w:sz w:val="20"/>
        </w:rPr>
        <w:br/>
      </w:r>
      <w:r w:rsidRPr="00CA63EE">
        <w:rPr>
          <w:rFonts w:ascii="Verdana" w:hAnsi="Verdana"/>
          <w:b/>
          <w:bCs/>
          <w:sz w:val="20"/>
        </w:rPr>
        <w:t>Reales</w:t>
      </w:r>
    </w:p>
    <w:p w:rsidR="00CA63EE" w:rsidRPr="00CA63EE" w:rsidRDefault="00CA63EE" w:rsidP="00CA63EE">
      <w:pPr>
        <w:jc w:val="both"/>
        <w:rPr>
          <w:rFonts w:ascii="Verdana" w:hAnsi="Verdana"/>
          <w:bCs/>
          <w:sz w:val="20"/>
        </w:rPr>
      </w:pPr>
      <w:r w:rsidRPr="00CA63EE">
        <w:rPr>
          <w:rFonts w:ascii="Verdana" w:hAnsi="Verdana"/>
          <w:bCs/>
          <w:sz w:val="20"/>
        </w:rPr>
        <w:t>I.           De la elegibilidad del administrador de Instrumentos Estructurados:</w:t>
      </w:r>
    </w:p>
    <w:p w:rsidR="00CA63EE" w:rsidRPr="00CA63EE" w:rsidRDefault="00CA63EE" w:rsidP="00CA63EE">
      <w:pPr>
        <w:jc w:val="both"/>
        <w:rPr>
          <w:rFonts w:ascii="Verdana" w:hAnsi="Verdana"/>
          <w:bCs/>
          <w:sz w:val="20"/>
        </w:rPr>
      </w:pPr>
      <w:r w:rsidRPr="00CA63EE">
        <w:rPr>
          <w:rFonts w:ascii="Verdana" w:hAnsi="Verdana"/>
          <w:bCs/>
          <w:sz w:val="20"/>
        </w:rPr>
        <w:t>a)   Independencia. Determinar políticas relacionadas con la independencia del equipo de administración del Instrumento Estructurado respecto a los fideicomitentes, aportantes, originadores u operadores, de los activos que conforman la inversión subyacente;</w:t>
      </w:r>
    </w:p>
    <w:p w:rsidR="00CA63EE" w:rsidRPr="00CA63EE" w:rsidRDefault="00CA63EE" w:rsidP="00CA63EE">
      <w:pPr>
        <w:jc w:val="both"/>
        <w:rPr>
          <w:rFonts w:ascii="Verdana" w:hAnsi="Verdana"/>
          <w:bCs/>
          <w:sz w:val="20"/>
        </w:rPr>
      </w:pPr>
      <w:r w:rsidRPr="00CA63EE">
        <w:rPr>
          <w:rFonts w:ascii="Verdana" w:hAnsi="Verdana"/>
          <w:bCs/>
          <w:sz w:val="20"/>
        </w:rPr>
        <w:t xml:space="preserve">b)   Capacidades. Definir parámetros para evaluar las capacidades del equipo de administración del Instrumento Estructurado con base en el estatus de los negocios de administración de recursos financieros enfocados a la operación de fondos y fondos de fondos, concluidos y en curso, incluyendo aquéllos cuyo objeto es el financiamiento de </w:t>
      </w:r>
      <w:r w:rsidRPr="00CA63EE">
        <w:rPr>
          <w:rFonts w:ascii="Verdana" w:hAnsi="Verdana"/>
          <w:bCs/>
          <w:sz w:val="20"/>
        </w:rPr>
        <w:lastRenderedPageBreak/>
        <w:t>proyectos reales, entre los cuales se encuentran los fondos de capital privado, de capital semilla, de financiamiento de proyectos, de infraestructura y de bienes raíces. Dichos parámetros deberán considerar países, regiones y sectores económicos en los que se plantee gestionar las inversiones. Asimismo, deberá determinar con cuántos años de experiencia y monto de recursos administrados debe contar el equipo de administración del Instrumento Estructurado en los elementos descritos en el presente inciso;</w:t>
      </w:r>
    </w:p>
    <w:p w:rsidR="00CA63EE" w:rsidRPr="00CA63EE" w:rsidRDefault="00CA63EE" w:rsidP="00CA63EE">
      <w:pPr>
        <w:jc w:val="both"/>
        <w:rPr>
          <w:rFonts w:ascii="Verdana" w:hAnsi="Verdana"/>
          <w:bCs/>
          <w:sz w:val="20"/>
        </w:rPr>
      </w:pPr>
      <w:r w:rsidRPr="00CA63EE">
        <w:rPr>
          <w:rFonts w:ascii="Verdana" w:hAnsi="Verdana"/>
          <w:bCs/>
          <w:sz w:val="20"/>
        </w:rPr>
        <w:t>c)   Cuando existan funcionarios clave determinar la experiencia con la que deben contar dadas las labores que a cada quien le corresponda, y</w:t>
      </w:r>
    </w:p>
    <w:p w:rsidR="00CA63EE" w:rsidRPr="00CA63EE" w:rsidRDefault="00CA63EE" w:rsidP="00CA63EE">
      <w:pPr>
        <w:jc w:val="both"/>
        <w:rPr>
          <w:rFonts w:ascii="Verdana" w:hAnsi="Verdana"/>
          <w:bCs/>
          <w:sz w:val="20"/>
        </w:rPr>
      </w:pPr>
      <w:r w:rsidRPr="00CA63EE">
        <w:rPr>
          <w:rFonts w:ascii="Verdana" w:hAnsi="Verdana"/>
          <w:bCs/>
          <w:sz w:val="20"/>
        </w:rPr>
        <w:t>d)   Probidad del equipo. Conocer y definir políticas en caso de que el equipo de administración del Instrumento Estructurado, o algunos de sus integrantes, tenga investigaciones pendientes ante alguno de los reguladores de los Países Elegibles para Inversiones por motivos relacionados con el incumplimiento de las normas financieras de los países en que operan, fraudes de sus funcionarios o ex-funcionarios o incumplimiento de su</w:t>
      </w:r>
    </w:p>
    <w:p w:rsidR="00CA63EE" w:rsidRPr="00CA63EE" w:rsidRDefault="00CA63EE" w:rsidP="00CA63EE">
      <w:pPr>
        <w:jc w:val="both"/>
        <w:rPr>
          <w:rFonts w:ascii="Verdana" w:hAnsi="Verdana"/>
          <w:bCs/>
          <w:sz w:val="20"/>
        </w:rPr>
      </w:pPr>
      <w:proofErr w:type="gramStart"/>
      <w:r w:rsidRPr="00CA63EE">
        <w:rPr>
          <w:rFonts w:ascii="Verdana" w:hAnsi="Verdana"/>
          <w:bCs/>
          <w:sz w:val="20"/>
        </w:rPr>
        <w:t>responsabilidad</w:t>
      </w:r>
      <w:proofErr w:type="gramEnd"/>
      <w:r w:rsidRPr="00CA63EE">
        <w:rPr>
          <w:rFonts w:ascii="Verdana" w:hAnsi="Verdana"/>
          <w:bCs/>
          <w:sz w:val="20"/>
        </w:rPr>
        <w:t xml:space="preserve"> fiduciaria.</w:t>
      </w:r>
    </w:p>
    <w:p w:rsidR="00CA63EE" w:rsidRPr="00CA63EE" w:rsidRDefault="00CA63EE" w:rsidP="00CA63EE">
      <w:pPr>
        <w:jc w:val="both"/>
        <w:rPr>
          <w:rFonts w:ascii="Verdana" w:hAnsi="Verdana"/>
          <w:bCs/>
          <w:sz w:val="20"/>
        </w:rPr>
      </w:pPr>
      <w:r w:rsidRPr="00CA63EE">
        <w:rPr>
          <w:rFonts w:ascii="Verdana" w:hAnsi="Verdana"/>
          <w:bCs/>
          <w:sz w:val="20"/>
        </w:rPr>
        <w:t>II.          De la elegibilidad del administrador de las FIBRAS:</w:t>
      </w:r>
    </w:p>
    <w:p w:rsidR="00CA63EE" w:rsidRPr="00CA63EE" w:rsidRDefault="00CA63EE" w:rsidP="00CA63EE">
      <w:pPr>
        <w:jc w:val="both"/>
        <w:rPr>
          <w:rFonts w:ascii="Verdana" w:hAnsi="Verdana"/>
          <w:bCs/>
          <w:sz w:val="20"/>
        </w:rPr>
      </w:pPr>
      <w:r w:rsidRPr="00CA63EE">
        <w:rPr>
          <w:rFonts w:ascii="Verdana" w:hAnsi="Verdana"/>
          <w:bCs/>
          <w:sz w:val="20"/>
        </w:rPr>
        <w:t>a)   Independencia. Determinar políticas relacionadas con la independencia del equipo de administración del instrumento referido en la presente fracción respecto a los fideicomitentes, aportantes, originadores y operadores de los activos que conforman la inversión subyacente;</w:t>
      </w:r>
    </w:p>
    <w:p w:rsidR="00CA63EE" w:rsidRPr="00CA63EE" w:rsidRDefault="00CA63EE" w:rsidP="00CA63EE">
      <w:pPr>
        <w:jc w:val="both"/>
        <w:rPr>
          <w:rFonts w:ascii="Verdana" w:hAnsi="Verdana"/>
          <w:bCs/>
          <w:sz w:val="20"/>
        </w:rPr>
      </w:pPr>
      <w:r w:rsidRPr="00CA63EE">
        <w:rPr>
          <w:rFonts w:ascii="Verdana" w:hAnsi="Verdana"/>
          <w:bCs/>
          <w:sz w:val="20"/>
        </w:rPr>
        <w:t xml:space="preserve">b)   Capacidades. Definir parámetros para evaluar las capacidades del equipo de administración del instrumento referido en la presente fracción con base en el estatus de los negocios de administración de recursos financieros enfocados a la operación de vehículos cuyo objeto es el financiamiento de activos o proyectos reales, entre los cuales se encuentran los vehículos de financiamiento de proyectos de infraestructura y de bienes raíces. Dichos parámetros deberán considerar países, regiones y sectores económicos en los que </w:t>
      </w:r>
      <w:proofErr w:type="spellStart"/>
      <w:r w:rsidRPr="00CA63EE">
        <w:rPr>
          <w:rFonts w:ascii="Verdana" w:hAnsi="Verdana"/>
          <w:bCs/>
          <w:sz w:val="20"/>
        </w:rPr>
        <w:t>seplantee</w:t>
      </w:r>
      <w:proofErr w:type="spellEnd"/>
      <w:r w:rsidRPr="00CA63EE">
        <w:rPr>
          <w:rFonts w:ascii="Verdana" w:hAnsi="Verdana"/>
          <w:bCs/>
          <w:sz w:val="20"/>
        </w:rPr>
        <w:t xml:space="preserve"> gestionar las inversiones. Asimismo, deberá determinar con cuántos años de experiencia y monto de recursos administrados debe contar el equipo de administración del instrumento referido en la presente fracción en los elementos descritos en el presente inciso;</w:t>
      </w:r>
    </w:p>
    <w:p w:rsidR="00CA63EE" w:rsidRPr="00CA63EE" w:rsidRDefault="00CA63EE" w:rsidP="00CA63EE">
      <w:pPr>
        <w:jc w:val="both"/>
        <w:rPr>
          <w:rFonts w:ascii="Verdana" w:hAnsi="Verdana"/>
          <w:bCs/>
          <w:sz w:val="20"/>
        </w:rPr>
      </w:pPr>
      <w:r w:rsidRPr="00CA63EE">
        <w:rPr>
          <w:rFonts w:ascii="Verdana" w:hAnsi="Verdana"/>
          <w:bCs/>
          <w:sz w:val="20"/>
        </w:rPr>
        <w:t>c)   Cuando existan funcionarios clave determinar la experiencia con la que deben contar dadas las labores que a cada quien le corresponda, y</w:t>
      </w:r>
    </w:p>
    <w:p w:rsidR="00CA63EE" w:rsidRPr="00CA63EE" w:rsidRDefault="00CA63EE" w:rsidP="00CA63EE">
      <w:pPr>
        <w:jc w:val="both"/>
        <w:rPr>
          <w:rFonts w:ascii="Verdana" w:hAnsi="Verdana"/>
          <w:bCs/>
          <w:sz w:val="20"/>
        </w:rPr>
      </w:pPr>
      <w:r w:rsidRPr="00CA63EE">
        <w:rPr>
          <w:rFonts w:ascii="Verdana" w:hAnsi="Verdana"/>
          <w:bCs/>
          <w:sz w:val="20"/>
        </w:rPr>
        <w:t xml:space="preserve">d)   Probidad del equipo. Conocer y definir políticas en caso de que el equipo de administración del instrumento referido en la presente fracción tenga investigaciones pendientes ante alguno de los reguladores de los Países Elegibles para Inversiones por motivos relacionados con el incumplimiento de las normas financieras de los países en que operan o fraudes de sus funcionarios o ex-funcionarios o incumplimiento de su </w:t>
      </w:r>
      <w:proofErr w:type="spellStart"/>
      <w:r w:rsidRPr="00CA63EE">
        <w:rPr>
          <w:rFonts w:ascii="Verdana" w:hAnsi="Verdana"/>
          <w:bCs/>
          <w:sz w:val="20"/>
        </w:rPr>
        <w:t>responsabilidadfiduciaria</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lastRenderedPageBreak/>
        <w:t>III.          De la elegibilidad del fideicomitente, operador, o en su caso del aportante de activos reales o proyectos reales o de derechos de cobro sobre los ingresos que estos generen, de los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a)   Independencia. Determinar políticas relacionadas con la independencia entre el fideicomitente o aportante de los activos o proyectos reales subyacentes, el operador, y en su caso valuador;</w:t>
      </w:r>
    </w:p>
    <w:p w:rsidR="00CA63EE" w:rsidRPr="00CA63EE" w:rsidRDefault="00CA63EE" w:rsidP="00CA63EE">
      <w:pPr>
        <w:jc w:val="both"/>
        <w:rPr>
          <w:rFonts w:ascii="Verdana" w:hAnsi="Verdana"/>
          <w:bCs/>
          <w:sz w:val="20"/>
        </w:rPr>
      </w:pPr>
      <w:r w:rsidRPr="00CA63EE">
        <w:rPr>
          <w:rFonts w:ascii="Verdana" w:hAnsi="Verdana"/>
          <w:bCs/>
          <w:sz w:val="20"/>
        </w:rPr>
        <w:t>b)   Capacidades. Definir parámetros para evaluar las capacidades del operador, y en su caso administrador, de los activos o proyectos reales subyacentes, incluyendo la experiencia en la operación y administración de activos y proyectos reales, así como el sector, región o sector económico en los que se plantee gestionar las inversiones, y</w:t>
      </w:r>
    </w:p>
    <w:p w:rsidR="00CA63EE" w:rsidRPr="00CA63EE" w:rsidRDefault="00CA63EE" w:rsidP="00CA63EE">
      <w:pPr>
        <w:jc w:val="both"/>
        <w:rPr>
          <w:rFonts w:ascii="Verdana" w:hAnsi="Verdana"/>
          <w:bCs/>
          <w:sz w:val="20"/>
        </w:rPr>
      </w:pPr>
      <w:r w:rsidRPr="00CA63EE">
        <w:rPr>
          <w:rFonts w:ascii="Verdana" w:hAnsi="Verdana"/>
          <w:bCs/>
          <w:sz w:val="20"/>
        </w:rPr>
        <w:t xml:space="preserve">c)   Probidad del equipo. Conocer y definir políticas en caso de que el fideicomitente o aportante, así como el operador o administrador de los activos o proyectos reales subyacentes o bien directivos de las entidades anteriores, tengan investigaciones pendientes ante alguno de los reguladores de los Países Elegibles para Inversiones por motivos relacionados con el incumplimiento de las normas financieras de los países en </w:t>
      </w:r>
      <w:proofErr w:type="spellStart"/>
      <w:r w:rsidRPr="00CA63EE">
        <w:rPr>
          <w:rFonts w:ascii="Verdana" w:hAnsi="Verdana"/>
          <w:bCs/>
          <w:sz w:val="20"/>
        </w:rPr>
        <w:t>queoperan</w:t>
      </w:r>
      <w:proofErr w:type="spellEnd"/>
      <w:r w:rsidRPr="00CA63EE">
        <w:rPr>
          <w:rFonts w:ascii="Verdana" w:hAnsi="Verdana"/>
          <w:bCs/>
          <w:sz w:val="20"/>
        </w:rPr>
        <w:t xml:space="preserve"> o fraudes de sus funcionarios o ex-funcionarios o incumplimiento de su responsabilidad fiduciaria.</w:t>
      </w:r>
    </w:p>
    <w:p w:rsidR="00CA63EE" w:rsidRPr="00CA63EE" w:rsidRDefault="00CA63EE" w:rsidP="00CA63EE">
      <w:pPr>
        <w:jc w:val="both"/>
        <w:rPr>
          <w:rFonts w:ascii="Verdana" w:hAnsi="Verdana"/>
          <w:bCs/>
          <w:sz w:val="20"/>
        </w:rPr>
      </w:pPr>
      <w:r w:rsidRPr="00CA63EE">
        <w:rPr>
          <w:rFonts w:ascii="Verdana" w:hAnsi="Verdana"/>
          <w:bCs/>
          <w:sz w:val="20"/>
        </w:rPr>
        <w:t xml:space="preserve">IV.         De la elegibilidad del </w:t>
      </w:r>
      <w:proofErr w:type="spellStart"/>
      <w:r w:rsidRPr="00CA63EE">
        <w:rPr>
          <w:rFonts w:ascii="Verdana" w:hAnsi="Verdana"/>
          <w:bCs/>
          <w:sz w:val="20"/>
        </w:rPr>
        <w:t>co</w:t>
      </w:r>
      <w:proofErr w:type="spellEnd"/>
      <w:r w:rsidRPr="00CA63EE">
        <w:rPr>
          <w:rFonts w:ascii="Verdana" w:hAnsi="Verdana"/>
          <w:bCs/>
          <w:sz w:val="20"/>
        </w:rPr>
        <w:t>-inversionista de los Certificados Bursátiles Fiduciarios de Proyectos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a)   Para efectos del cómputo de inversión en los proyectos financiados por los Certificados Bursátiles Fiduciarios de Proyectos de Inversión referido en el Anexo U de las presentes Disposiciones, se considerará como </w:t>
      </w:r>
      <w:proofErr w:type="spellStart"/>
      <w:r w:rsidRPr="00CA63EE">
        <w:rPr>
          <w:rFonts w:ascii="Verdana" w:hAnsi="Verdana"/>
          <w:bCs/>
          <w:sz w:val="20"/>
        </w:rPr>
        <w:t>co</w:t>
      </w:r>
      <w:proofErr w:type="spellEnd"/>
      <w:r w:rsidRPr="00CA63EE">
        <w:rPr>
          <w:rFonts w:ascii="Verdana" w:hAnsi="Verdana"/>
          <w:bCs/>
          <w:sz w:val="20"/>
        </w:rPr>
        <w:t>-inversionistas elegibles, distintos de las Sociedades de Inversión, los que defina el Comité de Inversión conforme al artículo 30, facción II, numeral i bis de las presentes disposiciones y que se encuentren previstos en el prospecto de inversión;</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b)   En caso de que el </w:t>
      </w:r>
      <w:proofErr w:type="spellStart"/>
      <w:r w:rsidRPr="00CA63EE">
        <w:rPr>
          <w:rFonts w:ascii="Verdana" w:hAnsi="Verdana"/>
          <w:bCs/>
          <w:sz w:val="20"/>
        </w:rPr>
        <w:t>co</w:t>
      </w:r>
      <w:proofErr w:type="spellEnd"/>
      <w:r w:rsidRPr="00CA63EE">
        <w:rPr>
          <w:rFonts w:ascii="Verdana" w:hAnsi="Verdana"/>
          <w:bCs/>
          <w:sz w:val="20"/>
        </w:rPr>
        <w:t>-inversionista sea quien defina la tesis de inversión el Comité de Inversión deberá acreditar:</w:t>
      </w:r>
    </w:p>
    <w:p w:rsidR="00CA63EE" w:rsidRPr="00CA63EE" w:rsidRDefault="00CA63EE" w:rsidP="00CA63EE">
      <w:pPr>
        <w:jc w:val="both"/>
        <w:rPr>
          <w:rFonts w:ascii="Verdana" w:hAnsi="Verdana"/>
          <w:bCs/>
          <w:sz w:val="20"/>
        </w:rPr>
      </w:pPr>
      <w:r w:rsidRPr="00CA63EE">
        <w:rPr>
          <w:rFonts w:ascii="Verdana" w:hAnsi="Verdana"/>
          <w:bCs/>
          <w:sz w:val="20"/>
        </w:rPr>
        <w:t>i.    Que es un administrador de fondos de capital privado, fondo de pensión, fondo soberano, socio operador o empresas productivas del estado, y</w:t>
      </w:r>
    </w:p>
    <w:p w:rsidR="00CA63EE" w:rsidRPr="00CA63EE" w:rsidRDefault="00CA63EE" w:rsidP="00CA63EE">
      <w:pPr>
        <w:jc w:val="both"/>
        <w:rPr>
          <w:rFonts w:ascii="Verdana" w:hAnsi="Verdana"/>
          <w:bCs/>
          <w:sz w:val="20"/>
        </w:rPr>
      </w:pPr>
      <w:r w:rsidRPr="00CA63EE">
        <w:rPr>
          <w:rFonts w:ascii="Verdana" w:hAnsi="Verdana"/>
          <w:bCs/>
          <w:sz w:val="20"/>
        </w:rPr>
        <w:t xml:space="preserve">ii.    Que acredite que Cuenta con experiencia en inversiones o desarrollo de proyectos en los que apruebe invertir el Instrumento Estructurado del que es </w:t>
      </w:r>
      <w:proofErr w:type="spellStart"/>
      <w:r w:rsidRPr="00CA63EE">
        <w:rPr>
          <w:rFonts w:ascii="Verdana" w:hAnsi="Verdana"/>
          <w:bCs/>
          <w:sz w:val="20"/>
        </w:rPr>
        <w:t>co</w:t>
      </w:r>
      <w:proofErr w:type="spellEnd"/>
      <w:r w:rsidRPr="00CA63EE">
        <w:rPr>
          <w:rFonts w:ascii="Verdana" w:hAnsi="Verdana"/>
          <w:bCs/>
          <w:sz w:val="20"/>
        </w:rPr>
        <w:t>-inversionista.</w:t>
      </w:r>
    </w:p>
    <w:p w:rsidR="00CA63EE" w:rsidRPr="00CA63EE" w:rsidRDefault="00CA63EE" w:rsidP="00CA63EE">
      <w:pPr>
        <w:jc w:val="both"/>
        <w:rPr>
          <w:rFonts w:ascii="Verdana" w:hAnsi="Verdana"/>
          <w:bCs/>
          <w:sz w:val="20"/>
        </w:rPr>
      </w:pPr>
      <w:r w:rsidRPr="00CA63EE">
        <w:rPr>
          <w:rFonts w:ascii="Verdana" w:hAnsi="Verdana"/>
          <w:bCs/>
          <w:sz w:val="20"/>
        </w:rPr>
        <w:t xml:space="preserve">             En caso de que el </w:t>
      </w:r>
      <w:proofErr w:type="spellStart"/>
      <w:r w:rsidRPr="00CA63EE">
        <w:rPr>
          <w:rFonts w:ascii="Verdana" w:hAnsi="Verdana"/>
          <w:bCs/>
          <w:sz w:val="20"/>
        </w:rPr>
        <w:t>co</w:t>
      </w:r>
      <w:proofErr w:type="spellEnd"/>
      <w:r w:rsidRPr="00CA63EE">
        <w:rPr>
          <w:rFonts w:ascii="Verdana" w:hAnsi="Verdana"/>
          <w:bCs/>
          <w:sz w:val="20"/>
        </w:rPr>
        <w:t>-inversionista sea un administrador de fondos de capital privado o bien sea un administrador de un instrumento previsto en el inciso a) de la disposición Segunda, fracción LI de las Disposiciones de carácter general que establecen el régimen de inversión al que deberán sujetarse las Sociedades de Inversión, deberá cumplir con lo previsto en la fracción I del capítulo I y la fracción I del capítulo II del presente anexo.</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             Para acreditar la experiencia del </w:t>
      </w:r>
      <w:proofErr w:type="spellStart"/>
      <w:r w:rsidRPr="00CA63EE">
        <w:rPr>
          <w:rFonts w:ascii="Verdana" w:hAnsi="Verdana"/>
          <w:bCs/>
          <w:sz w:val="20"/>
        </w:rPr>
        <w:t>co</w:t>
      </w:r>
      <w:proofErr w:type="spellEnd"/>
      <w:r w:rsidRPr="00CA63EE">
        <w:rPr>
          <w:rFonts w:ascii="Verdana" w:hAnsi="Verdana"/>
          <w:bCs/>
          <w:sz w:val="20"/>
        </w:rPr>
        <w:t xml:space="preserve">-inversionista y los criterios de elegibilidad previstos en el presente anexo, se podrán considerar empresas filiales, subsidiarias o la entidad controladora (conocida en inglés como "holding") del </w:t>
      </w:r>
      <w:proofErr w:type="spellStart"/>
      <w:r w:rsidRPr="00CA63EE">
        <w:rPr>
          <w:rFonts w:ascii="Verdana" w:hAnsi="Verdana"/>
          <w:bCs/>
          <w:sz w:val="20"/>
        </w:rPr>
        <w:t>co</w:t>
      </w:r>
      <w:proofErr w:type="spellEnd"/>
      <w:r w:rsidRPr="00CA63EE">
        <w:rPr>
          <w:rFonts w:ascii="Verdana" w:hAnsi="Verdana"/>
          <w:bCs/>
          <w:sz w:val="20"/>
        </w:rPr>
        <w:t xml:space="preserve">-inversionista, siempre que, para el caso de las filiales o subsidiarias del </w:t>
      </w:r>
      <w:proofErr w:type="spellStart"/>
      <w:r w:rsidRPr="00CA63EE">
        <w:rPr>
          <w:rFonts w:ascii="Verdana" w:hAnsi="Verdana"/>
          <w:bCs/>
          <w:sz w:val="20"/>
        </w:rPr>
        <w:t>co</w:t>
      </w:r>
      <w:proofErr w:type="spellEnd"/>
      <w:r w:rsidRPr="00CA63EE">
        <w:rPr>
          <w:rFonts w:ascii="Verdana" w:hAnsi="Verdana"/>
          <w:bCs/>
          <w:sz w:val="20"/>
        </w:rPr>
        <w:t xml:space="preserve">-inversionista el capital social pertenezca en su totalidad al </w:t>
      </w:r>
      <w:proofErr w:type="spellStart"/>
      <w:r w:rsidRPr="00CA63EE">
        <w:rPr>
          <w:rFonts w:ascii="Verdana" w:hAnsi="Verdana"/>
          <w:bCs/>
          <w:sz w:val="20"/>
        </w:rPr>
        <w:t>co</w:t>
      </w:r>
      <w:proofErr w:type="spellEnd"/>
      <w:r w:rsidRPr="00CA63EE">
        <w:rPr>
          <w:rFonts w:ascii="Verdana" w:hAnsi="Verdana"/>
          <w:bCs/>
          <w:sz w:val="20"/>
        </w:rPr>
        <w:t xml:space="preserve">-inversionista y cuando se acredite a través de la entidad controladora se deberá demostrar que en todo momento el </w:t>
      </w:r>
      <w:proofErr w:type="spellStart"/>
      <w:r w:rsidRPr="00CA63EE">
        <w:rPr>
          <w:rFonts w:ascii="Verdana" w:hAnsi="Verdana"/>
          <w:bCs/>
          <w:sz w:val="20"/>
        </w:rPr>
        <w:t>co</w:t>
      </w:r>
      <w:proofErr w:type="spellEnd"/>
      <w:r w:rsidRPr="00CA63EE">
        <w:rPr>
          <w:rFonts w:ascii="Verdana" w:hAnsi="Verdana"/>
          <w:bCs/>
          <w:sz w:val="20"/>
        </w:rPr>
        <w:t xml:space="preserve">-inversionista observa reglas de gobierno corporativo, de ética, de </w:t>
      </w:r>
      <w:proofErr w:type="spellStart"/>
      <w:r w:rsidRPr="00CA63EE">
        <w:rPr>
          <w:rFonts w:ascii="Verdana" w:hAnsi="Verdana"/>
          <w:bCs/>
          <w:sz w:val="20"/>
        </w:rPr>
        <w:t>revelaciónde</w:t>
      </w:r>
      <w:proofErr w:type="spellEnd"/>
      <w:r w:rsidRPr="00CA63EE">
        <w:rPr>
          <w:rFonts w:ascii="Verdana" w:hAnsi="Verdana"/>
          <w:bCs/>
          <w:sz w:val="20"/>
        </w:rPr>
        <w:t> información, así como procedimientos de análisis de inversiones y emplea fuentes de información para estos fines, aprobados por la entidad controladora.</w:t>
      </w:r>
    </w:p>
    <w:p w:rsidR="00CA63EE" w:rsidRPr="00CA63EE" w:rsidRDefault="00CA63EE" w:rsidP="00CA63EE">
      <w:pPr>
        <w:jc w:val="both"/>
        <w:rPr>
          <w:rFonts w:ascii="Verdana" w:hAnsi="Verdana"/>
          <w:bCs/>
          <w:sz w:val="20"/>
        </w:rPr>
      </w:pPr>
      <w:r w:rsidRPr="00CA63EE">
        <w:rPr>
          <w:rFonts w:ascii="Verdana" w:hAnsi="Verdana"/>
          <w:b/>
          <w:bCs/>
          <w:sz w:val="20"/>
        </w:rPr>
        <w:t>Capítulo II</w:t>
      </w:r>
    </w:p>
    <w:p w:rsidR="00CA63EE" w:rsidRPr="00CA63EE" w:rsidRDefault="00CA63EE" w:rsidP="00CA63EE">
      <w:pPr>
        <w:jc w:val="both"/>
        <w:rPr>
          <w:rFonts w:ascii="Verdana" w:hAnsi="Verdana"/>
          <w:bCs/>
          <w:sz w:val="20"/>
        </w:rPr>
      </w:pPr>
      <w:r w:rsidRPr="00CA63EE">
        <w:rPr>
          <w:rFonts w:ascii="Verdana" w:hAnsi="Verdana"/>
          <w:b/>
          <w:bCs/>
          <w:sz w:val="20"/>
        </w:rPr>
        <w:t>Elementos que deben contener los cuestionarios de selección de Instrumentos Estructurados,</w:t>
      </w:r>
      <w:r w:rsidRPr="00CA63EE">
        <w:rPr>
          <w:rFonts w:ascii="Verdana" w:hAnsi="Verdana"/>
          <w:bCs/>
          <w:sz w:val="20"/>
        </w:rPr>
        <w:br/>
      </w:r>
      <w:r w:rsidRPr="00CA63EE">
        <w:rPr>
          <w:rFonts w:ascii="Verdana" w:hAnsi="Verdana"/>
          <w:b/>
          <w:bCs/>
          <w:sz w:val="20"/>
        </w:rPr>
        <w:t>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El Comité de Inversión o bien el Comité de Riesgos Financieros deberán incluir en el cuestionario como mínimo los siguientes elementos:</w:t>
      </w:r>
    </w:p>
    <w:p w:rsidR="00CA63EE" w:rsidRPr="00CA63EE" w:rsidRDefault="00CA63EE" w:rsidP="00CA63EE">
      <w:pPr>
        <w:jc w:val="both"/>
        <w:rPr>
          <w:rFonts w:ascii="Verdana" w:hAnsi="Verdana"/>
          <w:bCs/>
          <w:sz w:val="20"/>
        </w:rPr>
      </w:pPr>
      <w:r w:rsidRPr="00CA63EE">
        <w:rPr>
          <w:rFonts w:ascii="Verdana" w:hAnsi="Verdana"/>
          <w:bCs/>
          <w:sz w:val="20"/>
        </w:rPr>
        <w:t>El cuestionario deberá contener las preguntas necesarias para poder evaluar la satisfacción de las políticas previstas en el capítulo anterior del presente Anexo. En particular deberá contener preguntas que permitan verificar que el administrador, o en el caso del Certificado Bursátil Vinculado a Proyectos Reales</w:t>
      </w:r>
      <w:r w:rsidRPr="00CA63EE">
        <w:rPr>
          <w:rFonts w:ascii="Verdana" w:hAnsi="Verdana"/>
          <w:b/>
          <w:bCs/>
          <w:sz w:val="20"/>
        </w:rPr>
        <w:t> </w:t>
      </w:r>
      <w:r w:rsidRPr="00CA63EE">
        <w:rPr>
          <w:rFonts w:ascii="Verdana" w:hAnsi="Verdana"/>
          <w:bCs/>
          <w:sz w:val="20"/>
        </w:rPr>
        <w:t>la figura correspondiente, cuente con una evaluación sobre los riesgos legales, técnicos, políticos y sociales a los que estén expuestas las inversiones subyacentes de los activos que conformarán los Instrumentos Estructurados, FIBRAS y Certificados Bursátiles Vinculados a Proyectos Reales.</w:t>
      </w:r>
    </w:p>
    <w:p w:rsidR="00CA63EE" w:rsidRPr="00CA63EE" w:rsidRDefault="00CA63EE" w:rsidP="00CA63EE">
      <w:pPr>
        <w:jc w:val="both"/>
        <w:rPr>
          <w:rFonts w:ascii="Verdana" w:hAnsi="Verdana"/>
          <w:bCs/>
          <w:sz w:val="20"/>
        </w:rPr>
      </w:pPr>
      <w:r w:rsidRPr="00CA63EE">
        <w:rPr>
          <w:rFonts w:ascii="Verdana" w:hAnsi="Verdana"/>
          <w:bCs/>
          <w:sz w:val="20"/>
        </w:rPr>
        <w:t>I.           Para los Instrumentos Estructurados y las FIBRAS, se deberá conocer lo siguiente acerca del administrador del instrumento:</w:t>
      </w:r>
    </w:p>
    <w:p w:rsidR="00CA63EE" w:rsidRPr="00CA63EE" w:rsidRDefault="00CA63EE" w:rsidP="00CA63EE">
      <w:pPr>
        <w:jc w:val="both"/>
        <w:rPr>
          <w:rFonts w:ascii="Verdana" w:hAnsi="Verdana"/>
          <w:bCs/>
          <w:sz w:val="20"/>
        </w:rPr>
      </w:pPr>
      <w:r w:rsidRPr="00CA63EE">
        <w:rPr>
          <w:rFonts w:ascii="Verdana" w:hAnsi="Verdana"/>
          <w:bCs/>
          <w:sz w:val="20"/>
        </w:rPr>
        <w:t>a)   Información general del equipo de administración de los instrumentos referidos en la presente fracción: principales clientes; principales inversionistas en instrumentos de inversión anteriores; independencia del administrador respecto de las posibles Administradoras contratantes;</w:t>
      </w:r>
    </w:p>
    <w:p w:rsidR="00CA63EE" w:rsidRPr="00CA63EE" w:rsidRDefault="00CA63EE" w:rsidP="00CA63EE">
      <w:pPr>
        <w:jc w:val="both"/>
        <w:rPr>
          <w:rFonts w:ascii="Verdana" w:hAnsi="Verdana"/>
          <w:bCs/>
          <w:sz w:val="20"/>
        </w:rPr>
      </w:pPr>
      <w:r w:rsidRPr="00CA63EE">
        <w:rPr>
          <w:rFonts w:ascii="Verdana" w:hAnsi="Verdana"/>
          <w:bCs/>
          <w:sz w:val="20"/>
        </w:rPr>
        <w:t xml:space="preserve">b)   Equipo ejecutivo: Biografías de los miembros del equipo ejecutivo del administrador incluyendo educación, experiencia profesional y puesto actual en la compañía; breve descripción de las ventajas competitivas del equipo ejecutivo; descripción del esquema de compensación del equipo ejecutivo del instrumento; experiencia del equipo administrativo trabajando en conjunto; medidas de apego a los criterios de inversión y riesgos definidos y aprobados por los respectivos órganos de gobierno; identificación de los funcionarios, ejecutivos y oficiales de primer nivel y su política de remuneración; mecanismos de revelación de los cambios de nombramientos de los funcionarios hasta segundo nivel del administrador; criterios de transparencia, integridad y de confidencialidad aplicados por el equipo de administración; descripción de los mecanismos para revelar los cambios en los nombramientos de los funcionarios </w:t>
      </w:r>
      <w:r w:rsidRPr="00CA63EE">
        <w:rPr>
          <w:rFonts w:ascii="Verdana" w:hAnsi="Verdana"/>
          <w:bCs/>
          <w:sz w:val="20"/>
        </w:rPr>
        <w:lastRenderedPageBreak/>
        <w:t>de primer nivel del equipo de administración, y en su caso del asesor; criterios de sustitución y condiciones de finiquito del equipo de</w:t>
      </w:r>
    </w:p>
    <w:p w:rsidR="00CA63EE" w:rsidRPr="00CA63EE" w:rsidRDefault="00CA63EE" w:rsidP="00CA63EE">
      <w:pPr>
        <w:jc w:val="both"/>
        <w:rPr>
          <w:rFonts w:ascii="Verdana" w:hAnsi="Verdana"/>
          <w:bCs/>
          <w:sz w:val="20"/>
        </w:rPr>
      </w:pPr>
      <w:proofErr w:type="gramStart"/>
      <w:r w:rsidRPr="00CA63EE">
        <w:rPr>
          <w:rFonts w:ascii="Verdana" w:hAnsi="Verdana"/>
          <w:bCs/>
          <w:sz w:val="20"/>
        </w:rPr>
        <w:t>administración</w:t>
      </w:r>
      <w:proofErr w:type="gramEnd"/>
      <w:r w:rsidRPr="00CA63EE">
        <w:rPr>
          <w:rFonts w:ascii="Verdana" w:hAnsi="Verdana"/>
          <w:bCs/>
          <w:sz w:val="20"/>
        </w:rPr>
        <w:t>, y en su caso, del asesor.</w:t>
      </w:r>
    </w:p>
    <w:p w:rsidR="00CA63EE" w:rsidRPr="00CA63EE" w:rsidRDefault="00CA63EE" w:rsidP="00CA63EE">
      <w:pPr>
        <w:jc w:val="both"/>
        <w:rPr>
          <w:rFonts w:ascii="Verdana" w:hAnsi="Verdana"/>
          <w:bCs/>
          <w:sz w:val="20"/>
        </w:rPr>
      </w:pPr>
      <w:r w:rsidRPr="00CA63EE">
        <w:rPr>
          <w:rFonts w:ascii="Verdana" w:hAnsi="Verdana"/>
          <w:bCs/>
          <w:sz w:val="20"/>
        </w:rPr>
        <w:t xml:space="preserve">c)   Órganos de gobierno: Estructura, conformación y funciones de los órganos de gobierno del equipo de administración y en su caso del asesor; mecanismos para la conformación de comités para la gestión de los instrumentos a que se refiere la presente fracción; conformación y criterios de selección de los miembros de los órganos de gobierno independientes y grupo de control; biografías de los miembros de los órganos de </w:t>
      </w:r>
      <w:proofErr w:type="spellStart"/>
      <w:r w:rsidRPr="00CA63EE">
        <w:rPr>
          <w:rFonts w:ascii="Verdana" w:hAnsi="Verdana"/>
          <w:bCs/>
          <w:sz w:val="20"/>
        </w:rPr>
        <w:t>gobierno;facultades</w:t>
      </w:r>
      <w:proofErr w:type="spellEnd"/>
      <w:r w:rsidRPr="00CA63EE">
        <w:rPr>
          <w:rFonts w:ascii="Verdana" w:hAnsi="Verdana"/>
          <w:bCs/>
          <w:sz w:val="20"/>
        </w:rPr>
        <w:t>, descripción del proceso de toma de decisiones estratégicas y derechos de veto;</w:t>
      </w:r>
    </w:p>
    <w:p w:rsidR="00CA63EE" w:rsidRPr="00CA63EE" w:rsidRDefault="00CA63EE" w:rsidP="00CA63EE">
      <w:pPr>
        <w:jc w:val="both"/>
        <w:rPr>
          <w:rFonts w:ascii="Verdana" w:hAnsi="Verdana"/>
          <w:bCs/>
          <w:sz w:val="20"/>
        </w:rPr>
      </w:pPr>
      <w:r w:rsidRPr="00CA63EE">
        <w:rPr>
          <w:rFonts w:ascii="Verdana" w:hAnsi="Verdana"/>
          <w:bCs/>
          <w:sz w:val="20"/>
        </w:rPr>
        <w:t>d)   Responsable del cumplimiento de normatividad en la compañía: Nombre y datos de contacto; descripción de cualquier conflicto de interés actual o potencial; información sobre la existencia de algún procedimiento legal en proceso en contra de la compañía o de algún miembro del equipo ejecutivo; políticas de resolución y mitigación de conflictos de interés; indicar si algún miembro del equipo ejecutivo está involucrado con alguna compañía con la que pueda existir un conflicto de interés; y las políticas de operación con personas relacionadas;</w:t>
      </w:r>
    </w:p>
    <w:p w:rsidR="00CA63EE" w:rsidRPr="00CA63EE" w:rsidRDefault="00CA63EE" w:rsidP="00CA63EE">
      <w:pPr>
        <w:jc w:val="both"/>
        <w:rPr>
          <w:rFonts w:ascii="Verdana" w:hAnsi="Verdana"/>
          <w:bCs/>
          <w:sz w:val="20"/>
        </w:rPr>
      </w:pPr>
      <w:r w:rsidRPr="00CA63EE">
        <w:rPr>
          <w:rFonts w:ascii="Verdana" w:hAnsi="Verdana"/>
          <w:bCs/>
          <w:sz w:val="20"/>
        </w:rPr>
        <w:t xml:space="preserve">e)   Asesorías externas: Información sobre uso de consultores profesionales relacionados con auditoría, impuestos, finanzas, y legal; descripción de las funciones de los consultores profesionales; información de contacto del auditor; información sobre la existencia de alguna relación/afiliación del auditor a alguno de los negocios del instrumento; políticas referentes a auditorías externas sobre la situación de la gestión de los recursos y resolución de potenciales conflictos de interés; información sobre subcontratación de terceros para </w:t>
      </w:r>
      <w:proofErr w:type="spellStart"/>
      <w:r w:rsidRPr="00CA63EE">
        <w:rPr>
          <w:rFonts w:ascii="Verdana" w:hAnsi="Verdana"/>
          <w:bCs/>
          <w:sz w:val="20"/>
        </w:rPr>
        <w:t>laadministración</w:t>
      </w:r>
      <w:proofErr w:type="spellEnd"/>
      <w:r w:rsidRPr="00CA63EE">
        <w:rPr>
          <w:rFonts w:ascii="Verdana" w:hAnsi="Verdana"/>
          <w:bCs/>
          <w:sz w:val="20"/>
        </w:rPr>
        <w:t xml:space="preserve"> de riesgos;</w:t>
      </w:r>
    </w:p>
    <w:p w:rsidR="00CA63EE" w:rsidRPr="00CA63EE" w:rsidRDefault="00CA63EE" w:rsidP="00CA63EE">
      <w:pPr>
        <w:jc w:val="both"/>
        <w:rPr>
          <w:rFonts w:ascii="Verdana" w:hAnsi="Verdana"/>
          <w:bCs/>
          <w:sz w:val="20"/>
        </w:rPr>
      </w:pPr>
      <w:r w:rsidRPr="00CA63EE">
        <w:rPr>
          <w:rFonts w:ascii="Verdana" w:hAnsi="Verdana"/>
          <w:bCs/>
          <w:sz w:val="20"/>
        </w:rPr>
        <w:t xml:space="preserve">f)    Información del Instrumento de inversión disponible para los inversionistas en términos de la Ley del Mercado de Valores y de las Disposiciones de carácter general aplicables a las emisoras de valores y a otros participantes del mercado de valores, expedidas por la Comisión Nacional Bancaria y de Valores: Política para adquirir o asumir créditos; préstamos o financiamientos con cargo al fideicomiso; límites de apalancamiento, política </w:t>
      </w:r>
      <w:proofErr w:type="spellStart"/>
      <w:r w:rsidRPr="00CA63EE">
        <w:rPr>
          <w:rFonts w:ascii="Verdana" w:hAnsi="Verdana"/>
          <w:bCs/>
          <w:sz w:val="20"/>
        </w:rPr>
        <w:t>deuso</w:t>
      </w:r>
      <w:proofErr w:type="spellEnd"/>
      <w:r w:rsidRPr="00CA63EE">
        <w:rPr>
          <w:rFonts w:ascii="Verdana" w:hAnsi="Verdana"/>
          <w:bCs/>
          <w:sz w:val="20"/>
        </w:rPr>
        <w:t xml:space="preserve"> de instrumentos derivados y; en el caso de los Instrumentos Estructurados, se deberán considerar las políticas de administración de la liquidez hasta en tanto los recursos de las llamadas de capital o de </w:t>
      </w:r>
      <w:proofErr w:type="spellStart"/>
      <w:r w:rsidRPr="00CA63EE">
        <w:rPr>
          <w:rFonts w:ascii="Verdana" w:hAnsi="Verdana"/>
          <w:bCs/>
          <w:sz w:val="20"/>
        </w:rPr>
        <w:t>prefondeo</w:t>
      </w:r>
      <w:proofErr w:type="spellEnd"/>
      <w:r w:rsidRPr="00CA63EE">
        <w:rPr>
          <w:rFonts w:ascii="Verdana" w:hAnsi="Verdana"/>
          <w:bCs/>
          <w:sz w:val="20"/>
        </w:rPr>
        <w:t xml:space="preserve"> se canalicen a las inversiones subyacentes objeto del Instrumento Estructurado;</w:t>
      </w:r>
    </w:p>
    <w:p w:rsidR="00CA63EE" w:rsidRPr="00CA63EE" w:rsidRDefault="00CA63EE" w:rsidP="00CA63EE">
      <w:pPr>
        <w:jc w:val="both"/>
        <w:rPr>
          <w:rFonts w:ascii="Verdana" w:hAnsi="Verdana"/>
          <w:bCs/>
          <w:sz w:val="20"/>
        </w:rPr>
      </w:pPr>
      <w:r w:rsidRPr="00CA63EE">
        <w:rPr>
          <w:rFonts w:ascii="Verdana" w:hAnsi="Verdana"/>
          <w:bCs/>
          <w:sz w:val="20"/>
        </w:rPr>
        <w:t xml:space="preserve">g)   Administración, operación y monitoreo del instrumento: Descripción del proceso de selección de una inversión; descripción del proceso de supervisión de las inversiones de la cartera de inversión; tipo de reportes enviados a los inversionistas; frecuencia de reporteo de información del instrumento a los inversionistas; periodicidad del envío de información a detalle de las inversiones realizadas; descripción de la política del administrador referente a reuniones entre los funcionarios del fondo y los posibles inversionistas institucionales; indicar las políticas de diversificación de las inversiones, por fideicomitente o aportante, por operador de los proyectos, por sector económico, por regiones geográficas, por etapa de desarrollo del </w:t>
      </w:r>
      <w:r w:rsidRPr="00CA63EE">
        <w:rPr>
          <w:rFonts w:ascii="Verdana" w:hAnsi="Verdana"/>
          <w:bCs/>
          <w:sz w:val="20"/>
        </w:rPr>
        <w:lastRenderedPageBreak/>
        <w:t>proyecto, entre otros; infraestructura en sistemas y modelos con que cuenta el equipo de administración para realizar el procesamiento de las operaciones, la valuación y el control de riesgos; políticas de valuación de los activos que conforman el patrimonio del fideicomiso, incluyendo la experiencia e independencia del valuador independiente, en cuanto a la experiencia, los insumos empleados y políticas de rotación del experto independiente, políticas de auditoría específicas para el Instrumento Estructurado o FIBRAS;</w:t>
      </w:r>
    </w:p>
    <w:p w:rsidR="00CA63EE" w:rsidRPr="00CA63EE" w:rsidRDefault="00CA63EE" w:rsidP="00CA63EE">
      <w:pPr>
        <w:jc w:val="both"/>
        <w:rPr>
          <w:rFonts w:ascii="Verdana" w:hAnsi="Verdana"/>
          <w:bCs/>
          <w:sz w:val="20"/>
        </w:rPr>
      </w:pPr>
      <w:r w:rsidRPr="00CA63EE">
        <w:rPr>
          <w:rFonts w:ascii="Verdana" w:hAnsi="Verdana"/>
          <w:bCs/>
          <w:sz w:val="20"/>
        </w:rPr>
        <w:t>h)   Para los Instrumentos Estructurados, evaluación del apego a los estándares internacionales emitidos por la "</w:t>
      </w:r>
      <w:proofErr w:type="spellStart"/>
      <w:r w:rsidRPr="00CA63EE">
        <w:rPr>
          <w:rFonts w:ascii="Verdana" w:hAnsi="Verdana"/>
          <w:bCs/>
          <w:sz w:val="20"/>
        </w:rPr>
        <w:t>Institutional</w:t>
      </w:r>
      <w:proofErr w:type="spellEnd"/>
      <w:r w:rsidRPr="00CA63EE">
        <w:rPr>
          <w:rFonts w:ascii="Verdana" w:hAnsi="Verdana"/>
          <w:bCs/>
          <w:sz w:val="20"/>
        </w:rPr>
        <w:t xml:space="preserve"> </w:t>
      </w:r>
      <w:proofErr w:type="spellStart"/>
      <w:r w:rsidRPr="00CA63EE">
        <w:rPr>
          <w:rFonts w:ascii="Verdana" w:hAnsi="Verdana"/>
          <w:bCs/>
          <w:sz w:val="20"/>
        </w:rPr>
        <w:t>Limited</w:t>
      </w:r>
      <w:proofErr w:type="spellEnd"/>
      <w:r w:rsidRPr="00CA63EE">
        <w:rPr>
          <w:rFonts w:ascii="Verdana" w:hAnsi="Verdana"/>
          <w:bCs/>
          <w:sz w:val="20"/>
        </w:rPr>
        <w:t xml:space="preserve"> </w:t>
      </w:r>
      <w:proofErr w:type="spellStart"/>
      <w:r w:rsidRPr="00CA63EE">
        <w:rPr>
          <w:rFonts w:ascii="Verdana" w:hAnsi="Verdana"/>
          <w:bCs/>
          <w:sz w:val="20"/>
        </w:rPr>
        <w:t>Partner</w:t>
      </w:r>
      <w:proofErr w:type="spellEnd"/>
      <w:r w:rsidRPr="00CA63EE">
        <w:rPr>
          <w:rFonts w:ascii="Verdana" w:hAnsi="Verdana"/>
          <w:bCs/>
          <w:sz w:val="20"/>
        </w:rPr>
        <w:t xml:space="preserve"> </w:t>
      </w:r>
      <w:proofErr w:type="spellStart"/>
      <w:r w:rsidRPr="00CA63EE">
        <w:rPr>
          <w:rFonts w:ascii="Verdana" w:hAnsi="Verdana"/>
          <w:bCs/>
          <w:sz w:val="20"/>
        </w:rPr>
        <w:t>Association</w:t>
      </w:r>
      <w:proofErr w:type="spellEnd"/>
      <w:r w:rsidRPr="00CA63EE">
        <w:rPr>
          <w:rFonts w:ascii="Verdana" w:hAnsi="Verdana"/>
          <w:bCs/>
          <w:sz w:val="20"/>
        </w:rPr>
        <w:t>", ILPA, por su acrónimo en el idioma inglés y conocidos en el idioma español como la Asociación de Inversionistas Institucionales, u otros análogos en referencia 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    Revelación de información;</w:t>
      </w:r>
    </w:p>
    <w:p w:rsidR="00CA63EE" w:rsidRPr="00CA63EE" w:rsidRDefault="00CA63EE" w:rsidP="00CA63EE">
      <w:pPr>
        <w:jc w:val="both"/>
        <w:rPr>
          <w:rFonts w:ascii="Verdana" w:hAnsi="Verdana"/>
          <w:bCs/>
          <w:sz w:val="20"/>
        </w:rPr>
      </w:pPr>
      <w:r w:rsidRPr="00CA63EE">
        <w:rPr>
          <w:rFonts w:ascii="Verdana" w:hAnsi="Verdana"/>
          <w:bCs/>
          <w:sz w:val="20"/>
        </w:rPr>
        <w:t>ii.    Prácticas de valuación, y</w:t>
      </w:r>
    </w:p>
    <w:p w:rsidR="00CA63EE" w:rsidRPr="00CA63EE" w:rsidRDefault="00CA63EE" w:rsidP="00CA63EE">
      <w:pPr>
        <w:jc w:val="both"/>
        <w:rPr>
          <w:rFonts w:ascii="Verdana" w:hAnsi="Verdana"/>
          <w:bCs/>
          <w:sz w:val="20"/>
        </w:rPr>
      </w:pPr>
      <w:r w:rsidRPr="00CA63EE">
        <w:rPr>
          <w:rFonts w:ascii="Verdana" w:hAnsi="Verdana"/>
          <w:bCs/>
          <w:sz w:val="20"/>
        </w:rPr>
        <w:t>iii.   Análisis de las inversiones subyacentes y del fondo;</w:t>
      </w:r>
    </w:p>
    <w:p w:rsidR="00CA63EE" w:rsidRPr="00CA63EE" w:rsidRDefault="00CA63EE" w:rsidP="00CA63EE">
      <w:pPr>
        <w:jc w:val="both"/>
        <w:rPr>
          <w:rFonts w:ascii="Verdana" w:hAnsi="Verdana"/>
          <w:bCs/>
          <w:sz w:val="20"/>
        </w:rPr>
      </w:pPr>
      <w:r w:rsidRPr="00CA63EE">
        <w:rPr>
          <w:rFonts w:ascii="Verdana" w:hAnsi="Verdana"/>
          <w:bCs/>
          <w:sz w:val="20"/>
        </w:rPr>
        <w:t>i)    Costos y gastos: Gastos de emisión estimados; comisiones por administración; comisión por mantenimiento; comisión por incentivo; comisión preferente; comisión de venta; otras comisiones del instrumento; gastos adicionales en los que podría incurrir el instrumento; indicar si cuentan con algún sistema de compensaciones compartido con otra compañía, y</w:t>
      </w:r>
    </w:p>
    <w:p w:rsidR="00CA63EE" w:rsidRPr="00CA63EE" w:rsidRDefault="00CA63EE" w:rsidP="00CA63EE">
      <w:pPr>
        <w:jc w:val="both"/>
        <w:rPr>
          <w:rFonts w:ascii="Verdana" w:hAnsi="Verdana"/>
          <w:bCs/>
          <w:sz w:val="20"/>
        </w:rPr>
      </w:pPr>
      <w:r w:rsidRPr="00CA63EE">
        <w:rPr>
          <w:rFonts w:ascii="Verdana" w:hAnsi="Verdana"/>
          <w:bCs/>
          <w:sz w:val="20"/>
        </w:rPr>
        <w:t>j)    Las políticas de revelación, mitigación y resolución de conflictos de interés del propio administrador, así como las aplicables a los conflictos de interés de otros participantes en el Instrumento Estructurado o FIBRA del que el Administrador tenga conocimiento. En el caso de los Instrumentos Estructurados, la Administradora deberá solicitar el código de ética del administrador del instrumento.</w:t>
      </w:r>
    </w:p>
    <w:p w:rsidR="00CA63EE" w:rsidRPr="00CA63EE" w:rsidRDefault="00CA63EE" w:rsidP="00CA63EE">
      <w:pPr>
        <w:jc w:val="both"/>
        <w:rPr>
          <w:rFonts w:ascii="Verdana" w:hAnsi="Verdana"/>
          <w:bCs/>
          <w:sz w:val="20"/>
        </w:rPr>
      </w:pPr>
      <w:r w:rsidRPr="00CA63EE">
        <w:rPr>
          <w:rFonts w:ascii="Verdana" w:hAnsi="Verdana"/>
          <w:bCs/>
          <w:sz w:val="20"/>
        </w:rPr>
        <w:t>k)   Políticas para la selección de inversiones que consideren los riesgos de desastres naturales.</w:t>
      </w:r>
    </w:p>
    <w:p w:rsidR="00CA63EE" w:rsidRPr="00CA63EE" w:rsidRDefault="00CA63EE" w:rsidP="00CA63EE">
      <w:pPr>
        <w:jc w:val="both"/>
        <w:rPr>
          <w:rFonts w:ascii="Verdana" w:hAnsi="Verdana"/>
          <w:bCs/>
          <w:sz w:val="20"/>
        </w:rPr>
      </w:pPr>
      <w:r w:rsidRPr="00CA63EE">
        <w:rPr>
          <w:rFonts w:ascii="Verdana" w:hAnsi="Verdana"/>
          <w:bCs/>
          <w:sz w:val="20"/>
        </w:rPr>
        <w:t>II.          Para los Certificados Bursátiles Vinculados a Proyectos Reales se observará lo siguiente:</w:t>
      </w:r>
    </w:p>
    <w:p w:rsidR="00CA63EE" w:rsidRPr="00CA63EE" w:rsidRDefault="00CA63EE" w:rsidP="00CA63EE">
      <w:pPr>
        <w:jc w:val="both"/>
        <w:rPr>
          <w:rFonts w:ascii="Verdana" w:hAnsi="Verdana"/>
          <w:bCs/>
          <w:sz w:val="20"/>
        </w:rPr>
      </w:pPr>
      <w:r w:rsidRPr="00CA63EE">
        <w:rPr>
          <w:rFonts w:ascii="Verdana" w:hAnsi="Verdana"/>
          <w:bCs/>
          <w:sz w:val="20"/>
        </w:rPr>
        <w:t>a)   Información general del fideicomitente, operador, o en su caso del aportante de activos reales y proyectos reales o de derechos de cobro sobre los ingresos que estos generen, como la operación de otros activos o proyectos reales, principales competidores, independencia del administrador respecto de las posibles Administradoras contratantes, entre otros;</w:t>
      </w:r>
    </w:p>
    <w:p w:rsidR="00CA63EE" w:rsidRPr="00CA63EE" w:rsidRDefault="00CA63EE" w:rsidP="00CA63EE">
      <w:pPr>
        <w:jc w:val="both"/>
        <w:rPr>
          <w:rFonts w:ascii="Verdana" w:hAnsi="Verdana"/>
          <w:bCs/>
          <w:sz w:val="20"/>
        </w:rPr>
      </w:pPr>
      <w:r w:rsidRPr="00CA63EE">
        <w:rPr>
          <w:rFonts w:ascii="Verdana" w:hAnsi="Verdana"/>
          <w:bCs/>
          <w:sz w:val="20"/>
        </w:rPr>
        <w:t>b)   Órganos de gobierno: Estructura, conformación y funciones de los órganos de gobierno de las entidades involucradas en la operación de los activos subyacentes;</w:t>
      </w:r>
    </w:p>
    <w:p w:rsidR="00CA63EE" w:rsidRPr="00CA63EE" w:rsidRDefault="00CA63EE" w:rsidP="00CA63EE">
      <w:pPr>
        <w:jc w:val="both"/>
        <w:rPr>
          <w:rFonts w:ascii="Verdana" w:hAnsi="Verdana"/>
          <w:bCs/>
          <w:sz w:val="20"/>
        </w:rPr>
      </w:pPr>
      <w:r w:rsidRPr="00CA63EE">
        <w:rPr>
          <w:rFonts w:ascii="Verdana" w:hAnsi="Verdana"/>
          <w:bCs/>
          <w:sz w:val="20"/>
        </w:rPr>
        <w:t xml:space="preserve">c)   Información del Certificado Bursátil Vinculado a Proyectos Reales: Características de los activos reales o proyectos reales o en su caso los derechos de cobro sobre los </w:t>
      </w:r>
      <w:r w:rsidRPr="00CA63EE">
        <w:rPr>
          <w:rFonts w:ascii="Verdana" w:hAnsi="Verdana"/>
          <w:bCs/>
          <w:sz w:val="20"/>
        </w:rPr>
        <w:lastRenderedPageBreak/>
        <w:t xml:space="preserve">ingresos que estos generen; Factores de Riesgo, incluyendo desastres naturales; descripción del rendimiento esperado (rangos) del instrumento; política sobre créditos, préstamos o financiamientos con cargo al fideicomiso; límites de apalancamiento, política de uso </w:t>
      </w:r>
      <w:proofErr w:type="spellStart"/>
      <w:r w:rsidRPr="00CA63EE">
        <w:rPr>
          <w:rFonts w:ascii="Verdana" w:hAnsi="Verdana"/>
          <w:bCs/>
          <w:sz w:val="20"/>
        </w:rPr>
        <w:t>deinstrumentos</w:t>
      </w:r>
      <w:proofErr w:type="spellEnd"/>
      <w:r w:rsidRPr="00CA63EE">
        <w:rPr>
          <w:rFonts w:ascii="Verdana" w:hAnsi="Verdana"/>
          <w:bCs/>
          <w:sz w:val="20"/>
        </w:rPr>
        <w:t xml:space="preserve"> derivados;</w:t>
      </w:r>
    </w:p>
    <w:p w:rsidR="00CA63EE" w:rsidRPr="00CA63EE" w:rsidRDefault="00CA63EE" w:rsidP="00CA63EE">
      <w:pPr>
        <w:jc w:val="both"/>
        <w:rPr>
          <w:rFonts w:ascii="Verdana" w:hAnsi="Verdana"/>
          <w:bCs/>
          <w:sz w:val="20"/>
        </w:rPr>
      </w:pPr>
      <w:r w:rsidRPr="00CA63EE">
        <w:rPr>
          <w:rFonts w:ascii="Verdana" w:hAnsi="Verdana"/>
          <w:bCs/>
          <w:sz w:val="20"/>
        </w:rPr>
        <w:t>d)   Descripción de cualquier conflicto de interés actual o potencial; información sobre la existencia de algún procedimiento legal en proceso en contra de la compañía o de algún miembro del equipo directivo; políticas de resolución y mitigación de conflictos de interés; indicar si existen conflicto de interés potenciales; políticas de operación con personas relacionadas, y</w:t>
      </w:r>
    </w:p>
    <w:p w:rsidR="00CA63EE" w:rsidRPr="00CA63EE" w:rsidRDefault="00CA63EE" w:rsidP="00CA63EE">
      <w:pPr>
        <w:jc w:val="both"/>
        <w:rPr>
          <w:rFonts w:ascii="Verdana" w:hAnsi="Verdana"/>
          <w:bCs/>
          <w:sz w:val="20"/>
        </w:rPr>
      </w:pPr>
      <w:r w:rsidRPr="00CA63EE">
        <w:rPr>
          <w:rFonts w:ascii="Verdana" w:hAnsi="Verdana"/>
          <w:bCs/>
          <w:sz w:val="20"/>
        </w:rPr>
        <w:t>e)   Costos y gastos: Gastos de emisión estimados y otros gastos adicionales en los que podría incurrir el Certificado Bursátil Vinculado a Proyectos Reales.</w:t>
      </w:r>
    </w:p>
    <w:p w:rsidR="00CA63EE" w:rsidRPr="00CA63EE" w:rsidRDefault="00CA63EE" w:rsidP="00CA63EE">
      <w:pPr>
        <w:jc w:val="both"/>
        <w:rPr>
          <w:rFonts w:ascii="Verdana" w:hAnsi="Verdana"/>
          <w:bCs/>
          <w:sz w:val="20"/>
        </w:rPr>
      </w:pPr>
      <w:r w:rsidRPr="00CA63EE">
        <w:rPr>
          <w:rFonts w:ascii="Verdana" w:hAnsi="Verdana"/>
          <w:bCs/>
          <w:sz w:val="20"/>
        </w:rPr>
        <w:t xml:space="preserve">III.          Para los Certificados Bursátiles Fiduciarios de Proyectos de Inversión, adicionalmente a lo previsto en la fracción I del presente capítulo la cual deberá ser aplicable únicamente sobre el administrador del instrumento, se deberá conocer acerca del </w:t>
      </w:r>
      <w:proofErr w:type="spellStart"/>
      <w:r w:rsidRPr="00CA63EE">
        <w:rPr>
          <w:rFonts w:ascii="Verdana" w:hAnsi="Verdana"/>
          <w:bCs/>
          <w:sz w:val="20"/>
        </w:rPr>
        <w:t>co</w:t>
      </w:r>
      <w:proofErr w:type="spellEnd"/>
      <w:r w:rsidRPr="00CA63EE">
        <w:rPr>
          <w:rFonts w:ascii="Verdana" w:hAnsi="Verdana"/>
          <w:bCs/>
          <w:sz w:val="20"/>
        </w:rPr>
        <w:t>-inversionista lo siguiente cuando éste defina la tesis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a)   Información general del </w:t>
      </w:r>
      <w:proofErr w:type="spellStart"/>
      <w:r w:rsidRPr="00CA63EE">
        <w:rPr>
          <w:rFonts w:ascii="Verdana" w:hAnsi="Verdana"/>
          <w:bCs/>
          <w:sz w:val="20"/>
        </w:rPr>
        <w:t>co</w:t>
      </w:r>
      <w:proofErr w:type="spellEnd"/>
      <w:r w:rsidRPr="00CA63EE">
        <w:rPr>
          <w:rFonts w:ascii="Verdana" w:hAnsi="Verdana"/>
          <w:bCs/>
          <w:sz w:val="20"/>
        </w:rPr>
        <w:t>-inversionista del Certificados Bursátiles Fiduciarios de Proyectos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b)   Equipo ejecutivo del </w:t>
      </w:r>
      <w:proofErr w:type="spellStart"/>
      <w:r w:rsidRPr="00CA63EE">
        <w:rPr>
          <w:rFonts w:ascii="Verdana" w:hAnsi="Verdana"/>
          <w:bCs/>
          <w:sz w:val="20"/>
        </w:rPr>
        <w:t>co</w:t>
      </w:r>
      <w:proofErr w:type="spellEnd"/>
      <w:r w:rsidRPr="00CA63EE">
        <w:rPr>
          <w:rFonts w:ascii="Verdana" w:hAnsi="Verdana"/>
          <w:bCs/>
          <w:sz w:val="20"/>
        </w:rPr>
        <w:t xml:space="preserve">-inversionista y, en su caso, análisis de la empresa filial o subsidiaria del </w:t>
      </w:r>
      <w:proofErr w:type="spellStart"/>
      <w:r w:rsidRPr="00CA63EE">
        <w:rPr>
          <w:rFonts w:ascii="Verdana" w:hAnsi="Verdana"/>
          <w:bCs/>
          <w:sz w:val="20"/>
        </w:rPr>
        <w:t>co</w:t>
      </w:r>
      <w:proofErr w:type="spellEnd"/>
      <w:r w:rsidRPr="00CA63EE">
        <w:rPr>
          <w:rFonts w:ascii="Verdana" w:hAnsi="Verdana"/>
          <w:bCs/>
          <w:sz w:val="20"/>
        </w:rPr>
        <w:t>-inversionista que se encargará de la aprobación de proyectos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c)   Descripción de cualquier conflicto de interés actual o potencial del </w:t>
      </w:r>
      <w:proofErr w:type="spellStart"/>
      <w:r w:rsidRPr="00CA63EE">
        <w:rPr>
          <w:rFonts w:ascii="Verdana" w:hAnsi="Verdana"/>
          <w:bCs/>
          <w:sz w:val="20"/>
        </w:rPr>
        <w:t>co</w:t>
      </w:r>
      <w:proofErr w:type="spellEnd"/>
      <w:r w:rsidRPr="00CA63EE">
        <w:rPr>
          <w:rFonts w:ascii="Verdana" w:hAnsi="Verdana"/>
          <w:bCs/>
          <w:sz w:val="20"/>
        </w:rPr>
        <w:t>-inversionista, sus filiales o subsidiarias operativas con respecto a las inversiones del instrumento en cuestión;</w:t>
      </w:r>
    </w:p>
    <w:p w:rsidR="00CA63EE" w:rsidRPr="00CA63EE" w:rsidRDefault="00CA63EE" w:rsidP="00CA63EE">
      <w:pPr>
        <w:jc w:val="both"/>
        <w:rPr>
          <w:rFonts w:ascii="Verdana" w:hAnsi="Verdana"/>
          <w:bCs/>
          <w:sz w:val="20"/>
        </w:rPr>
      </w:pPr>
      <w:r w:rsidRPr="00CA63EE">
        <w:rPr>
          <w:rFonts w:ascii="Verdana" w:hAnsi="Verdana"/>
          <w:bCs/>
          <w:sz w:val="20"/>
        </w:rPr>
        <w:t xml:space="preserve">d)   Políticas del </w:t>
      </w:r>
      <w:proofErr w:type="spellStart"/>
      <w:r w:rsidRPr="00CA63EE">
        <w:rPr>
          <w:rFonts w:ascii="Verdana" w:hAnsi="Verdana"/>
          <w:bCs/>
          <w:sz w:val="20"/>
        </w:rPr>
        <w:t>co</w:t>
      </w:r>
      <w:proofErr w:type="spellEnd"/>
      <w:r w:rsidRPr="00CA63EE">
        <w:rPr>
          <w:rFonts w:ascii="Verdana" w:hAnsi="Verdana"/>
          <w:bCs/>
          <w:sz w:val="20"/>
        </w:rPr>
        <w:t>-inversionista referentes a la administración, operación y monitoreo del instrumento:</w:t>
      </w:r>
    </w:p>
    <w:p w:rsidR="00CA63EE" w:rsidRPr="00CA63EE" w:rsidRDefault="00CA63EE" w:rsidP="00CA63EE">
      <w:pPr>
        <w:jc w:val="both"/>
        <w:rPr>
          <w:rFonts w:ascii="Verdana" w:hAnsi="Verdana"/>
          <w:bCs/>
          <w:sz w:val="20"/>
        </w:rPr>
      </w:pPr>
      <w:r w:rsidRPr="00CA63EE">
        <w:rPr>
          <w:rFonts w:ascii="Verdana" w:hAnsi="Verdana"/>
          <w:bCs/>
          <w:sz w:val="20"/>
        </w:rPr>
        <w:t xml:space="preserve">e)   Descripción de políticas del </w:t>
      </w:r>
      <w:proofErr w:type="spellStart"/>
      <w:r w:rsidRPr="00CA63EE">
        <w:rPr>
          <w:rFonts w:ascii="Verdana" w:hAnsi="Verdana"/>
          <w:bCs/>
          <w:sz w:val="20"/>
        </w:rPr>
        <w:t>co</w:t>
      </w:r>
      <w:proofErr w:type="spellEnd"/>
      <w:r w:rsidRPr="00CA63EE">
        <w:rPr>
          <w:rFonts w:ascii="Verdana" w:hAnsi="Verdana"/>
          <w:bCs/>
          <w:sz w:val="20"/>
        </w:rPr>
        <w:t>-inversionista referente 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    Revelación de información;</w:t>
      </w:r>
    </w:p>
    <w:p w:rsidR="00CA63EE" w:rsidRPr="00CA63EE" w:rsidRDefault="00CA63EE" w:rsidP="00CA63EE">
      <w:pPr>
        <w:jc w:val="both"/>
        <w:rPr>
          <w:rFonts w:ascii="Verdana" w:hAnsi="Verdana"/>
          <w:bCs/>
          <w:sz w:val="20"/>
        </w:rPr>
      </w:pPr>
      <w:r w:rsidRPr="00CA63EE">
        <w:rPr>
          <w:rFonts w:ascii="Verdana" w:hAnsi="Verdana"/>
          <w:bCs/>
          <w:sz w:val="20"/>
        </w:rPr>
        <w:t>ii.    Prácticas de valuación, y</w:t>
      </w:r>
    </w:p>
    <w:p w:rsidR="00CA63EE" w:rsidRPr="00CA63EE" w:rsidRDefault="00CA63EE" w:rsidP="00CA63EE">
      <w:pPr>
        <w:jc w:val="both"/>
        <w:rPr>
          <w:rFonts w:ascii="Verdana" w:hAnsi="Verdana"/>
          <w:bCs/>
          <w:sz w:val="20"/>
        </w:rPr>
      </w:pPr>
      <w:r w:rsidRPr="00CA63EE">
        <w:rPr>
          <w:rFonts w:ascii="Verdana" w:hAnsi="Verdana"/>
          <w:bCs/>
          <w:sz w:val="20"/>
        </w:rPr>
        <w:t>iii.   Análisis de las inversiones subyacentes y del fondo.</w:t>
      </w:r>
    </w:p>
    <w:p w:rsidR="00CA63EE" w:rsidRPr="00CA63EE" w:rsidRDefault="00CA63EE" w:rsidP="00CA63EE">
      <w:pPr>
        <w:jc w:val="both"/>
        <w:rPr>
          <w:rFonts w:ascii="Verdana" w:hAnsi="Verdana"/>
          <w:bCs/>
          <w:sz w:val="20"/>
        </w:rPr>
      </w:pPr>
      <w:r w:rsidRPr="00CA63EE">
        <w:rPr>
          <w:rFonts w:ascii="Verdana" w:hAnsi="Verdana"/>
          <w:bCs/>
          <w:sz w:val="20"/>
        </w:rPr>
        <w:t xml:space="preserve">f)    Código de ética del </w:t>
      </w:r>
      <w:proofErr w:type="spellStart"/>
      <w:r w:rsidRPr="00CA63EE">
        <w:rPr>
          <w:rFonts w:ascii="Verdana" w:hAnsi="Verdana"/>
          <w:bCs/>
          <w:sz w:val="20"/>
        </w:rPr>
        <w:t>co</w:t>
      </w:r>
      <w:proofErr w:type="spellEnd"/>
      <w:r w:rsidRPr="00CA63EE">
        <w:rPr>
          <w:rFonts w:ascii="Verdana" w:hAnsi="Verdana"/>
          <w:bCs/>
          <w:sz w:val="20"/>
        </w:rPr>
        <w:t>-inversionista.</w:t>
      </w:r>
    </w:p>
    <w:p w:rsidR="00CA63EE" w:rsidRPr="00CA63EE" w:rsidRDefault="00CA63EE" w:rsidP="00CA63EE">
      <w:pPr>
        <w:jc w:val="both"/>
        <w:rPr>
          <w:rFonts w:ascii="Verdana" w:hAnsi="Verdana"/>
          <w:bCs/>
          <w:sz w:val="20"/>
        </w:rPr>
      </w:pPr>
      <w:r w:rsidRPr="00CA63EE">
        <w:rPr>
          <w:rFonts w:ascii="Verdana" w:hAnsi="Verdana"/>
          <w:bCs/>
          <w:sz w:val="20"/>
        </w:rPr>
        <w:t xml:space="preserve">             En el caso de que el </w:t>
      </w:r>
      <w:proofErr w:type="spellStart"/>
      <w:r w:rsidRPr="00CA63EE">
        <w:rPr>
          <w:rFonts w:ascii="Verdana" w:hAnsi="Verdana"/>
          <w:bCs/>
          <w:sz w:val="20"/>
        </w:rPr>
        <w:t>co</w:t>
      </w:r>
      <w:proofErr w:type="spellEnd"/>
      <w:r w:rsidRPr="00CA63EE">
        <w:rPr>
          <w:rFonts w:ascii="Verdana" w:hAnsi="Verdana"/>
          <w:bCs/>
          <w:sz w:val="20"/>
        </w:rPr>
        <w:t>-inversionista sea un administrador de fondos de capital privado deberá cumplir con lo previsto en la fracción I del presente capítulo, quedando sin aplicación lo previsto en los incisos a) a f) del presente capítulo.</w:t>
      </w:r>
    </w:p>
    <w:p w:rsidR="00CA63EE" w:rsidRPr="00CA63EE" w:rsidRDefault="00CA63EE" w:rsidP="00CA63EE">
      <w:pPr>
        <w:jc w:val="both"/>
        <w:rPr>
          <w:rFonts w:ascii="Verdana" w:hAnsi="Verdana"/>
          <w:b/>
          <w:bCs/>
          <w:sz w:val="20"/>
        </w:rPr>
      </w:pPr>
      <w:r w:rsidRPr="00CA63EE">
        <w:rPr>
          <w:rFonts w:ascii="Verdana" w:hAnsi="Verdana"/>
          <w:b/>
          <w:bCs/>
          <w:sz w:val="20"/>
        </w:rPr>
        <w:t>ANEXO C</w:t>
      </w:r>
    </w:p>
    <w:p w:rsidR="00CA63EE" w:rsidRPr="00CA63EE" w:rsidRDefault="00CA63EE" w:rsidP="00CA63EE">
      <w:pPr>
        <w:jc w:val="both"/>
        <w:rPr>
          <w:rFonts w:ascii="Verdana" w:hAnsi="Verdana"/>
          <w:bCs/>
          <w:sz w:val="20"/>
        </w:rPr>
      </w:pPr>
      <w:r w:rsidRPr="00CA63EE">
        <w:rPr>
          <w:rFonts w:ascii="Verdana" w:hAnsi="Verdana"/>
          <w:b/>
          <w:bCs/>
          <w:sz w:val="20"/>
        </w:rPr>
        <w:lastRenderedPageBreak/>
        <w:t>Elementos mínimos que deberán incluirse en el análisis de las empresas</w:t>
      </w:r>
    </w:p>
    <w:p w:rsidR="00CA63EE" w:rsidRPr="00CA63EE" w:rsidRDefault="00CA63EE" w:rsidP="00CA63EE">
      <w:pPr>
        <w:jc w:val="both"/>
        <w:rPr>
          <w:rFonts w:ascii="Verdana" w:hAnsi="Verdana"/>
          <w:bCs/>
          <w:sz w:val="20"/>
        </w:rPr>
      </w:pPr>
      <w:r w:rsidRPr="00CA63EE">
        <w:rPr>
          <w:rFonts w:ascii="Verdana" w:hAnsi="Verdana"/>
          <w:bCs/>
          <w:sz w:val="20"/>
        </w:rPr>
        <w:t>I.           El Comité de Inversión deberá definir y aprobar una Estrategia de Inversión en acciones individuales, que se considere entre otros elementos los objetivos, el horizonte de inversión, las políticas de desviación, apalancamiento y liquidez.</w:t>
      </w:r>
    </w:p>
    <w:p w:rsidR="00CA63EE" w:rsidRPr="00CA63EE" w:rsidRDefault="00CA63EE" w:rsidP="00CA63EE">
      <w:pPr>
        <w:jc w:val="both"/>
        <w:rPr>
          <w:rFonts w:ascii="Verdana" w:hAnsi="Verdana"/>
          <w:bCs/>
          <w:sz w:val="20"/>
        </w:rPr>
      </w:pPr>
      <w:r w:rsidRPr="00CA63EE">
        <w:rPr>
          <w:rFonts w:ascii="Verdana" w:hAnsi="Verdana"/>
          <w:bCs/>
          <w:sz w:val="20"/>
        </w:rPr>
        <w:t>II.          Contar con un análisis de variables fundamentales que comprenda cuando menos los siguientes elementos:</w:t>
      </w:r>
    </w:p>
    <w:p w:rsidR="00CA63EE" w:rsidRPr="00CA63EE" w:rsidRDefault="00CA63EE" w:rsidP="00CA63EE">
      <w:pPr>
        <w:jc w:val="both"/>
        <w:rPr>
          <w:rFonts w:ascii="Verdana" w:hAnsi="Verdana"/>
          <w:bCs/>
          <w:sz w:val="20"/>
        </w:rPr>
      </w:pPr>
      <w:r w:rsidRPr="00CA63EE">
        <w:rPr>
          <w:rFonts w:ascii="Verdana" w:hAnsi="Verdana"/>
          <w:bCs/>
          <w:sz w:val="20"/>
        </w:rPr>
        <w:t>a)   Descripción general de la compañía emisora;</w:t>
      </w:r>
    </w:p>
    <w:p w:rsidR="00CA63EE" w:rsidRPr="00CA63EE" w:rsidRDefault="00CA63EE" w:rsidP="00CA63EE">
      <w:pPr>
        <w:jc w:val="both"/>
        <w:rPr>
          <w:rFonts w:ascii="Verdana" w:hAnsi="Verdana"/>
          <w:bCs/>
          <w:sz w:val="20"/>
        </w:rPr>
      </w:pPr>
      <w:r w:rsidRPr="00CA63EE">
        <w:rPr>
          <w:rFonts w:ascii="Verdana" w:hAnsi="Verdana"/>
          <w:bCs/>
          <w:sz w:val="20"/>
        </w:rPr>
        <w:t>b)   Características de las series en que invierte la Sociedad de Inversión:</w:t>
      </w:r>
    </w:p>
    <w:p w:rsidR="00CA63EE" w:rsidRPr="00CA63EE" w:rsidRDefault="00CA63EE" w:rsidP="00CA63EE">
      <w:pPr>
        <w:jc w:val="both"/>
        <w:rPr>
          <w:rFonts w:ascii="Verdana" w:hAnsi="Verdana"/>
          <w:bCs/>
          <w:sz w:val="20"/>
        </w:rPr>
      </w:pPr>
      <w:r w:rsidRPr="00CA63EE">
        <w:rPr>
          <w:rFonts w:ascii="Verdana" w:hAnsi="Verdana"/>
          <w:bCs/>
          <w:sz w:val="20"/>
        </w:rPr>
        <w:t>i.    Derechos y restricciones de los tenedores;</w:t>
      </w:r>
    </w:p>
    <w:p w:rsidR="00CA63EE" w:rsidRPr="00CA63EE" w:rsidRDefault="00CA63EE" w:rsidP="00CA63EE">
      <w:pPr>
        <w:jc w:val="both"/>
        <w:rPr>
          <w:rFonts w:ascii="Verdana" w:hAnsi="Verdana"/>
          <w:bCs/>
          <w:sz w:val="20"/>
        </w:rPr>
      </w:pPr>
      <w:r w:rsidRPr="00CA63EE">
        <w:rPr>
          <w:rFonts w:ascii="Verdana" w:hAnsi="Verdana"/>
          <w:bCs/>
          <w:sz w:val="20"/>
        </w:rPr>
        <w:t>ii.    Liquidez, y</w:t>
      </w:r>
    </w:p>
    <w:p w:rsidR="00CA63EE" w:rsidRPr="00CA63EE" w:rsidRDefault="00CA63EE" w:rsidP="00CA63EE">
      <w:pPr>
        <w:jc w:val="both"/>
        <w:rPr>
          <w:rFonts w:ascii="Verdana" w:hAnsi="Verdana"/>
          <w:bCs/>
          <w:sz w:val="20"/>
        </w:rPr>
      </w:pPr>
      <w:r w:rsidRPr="00CA63EE">
        <w:rPr>
          <w:rFonts w:ascii="Verdana" w:hAnsi="Verdana"/>
          <w:bCs/>
          <w:sz w:val="20"/>
        </w:rPr>
        <w:t>iii.   Mercados en que cotiza.</w:t>
      </w:r>
    </w:p>
    <w:p w:rsidR="00CA63EE" w:rsidRPr="00CA63EE" w:rsidRDefault="00CA63EE" w:rsidP="00CA63EE">
      <w:pPr>
        <w:jc w:val="both"/>
        <w:rPr>
          <w:rFonts w:ascii="Verdana" w:hAnsi="Verdana"/>
          <w:bCs/>
          <w:sz w:val="20"/>
        </w:rPr>
      </w:pPr>
      <w:r w:rsidRPr="00CA63EE">
        <w:rPr>
          <w:rFonts w:ascii="Verdana" w:hAnsi="Verdana"/>
          <w:bCs/>
          <w:sz w:val="20"/>
        </w:rPr>
        <w:t>c)   Razones financieras a considerar:</w:t>
      </w:r>
    </w:p>
    <w:p w:rsidR="00CA63EE" w:rsidRPr="00CA63EE" w:rsidRDefault="00CA63EE" w:rsidP="00CA63EE">
      <w:pPr>
        <w:jc w:val="both"/>
        <w:rPr>
          <w:rFonts w:ascii="Verdana" w:hAnsi="Verdana"/>
          <w:bCs/>
          <w:sz w:val="20"/>
        </w:rPr>
      </w:pPr>
      <w:r w:rsidRPr="00CA63EE">
        <w:rPr>
          <w:rFonts w:ascii="Verdana" w:hAnsi="Verdana"/>
          <w:bCs/>
          <w:sz w:val="20"/>
        </w:rPr>
        <w:t>i.    Solvencia;</w:t>
      </w:r>
    </w:p>
    <w:p w:rsidR="00CA63EE" w:rsidRPr="00CA63EE" w:rsidRDefault="00CA63EE" w:rsidP="00CA63EE">
      <w:pPr>
        <w:jc w:val="both"/>
        <w:rPr>
          <w:rFonts w:ascii="Verdana" w:hAnsi="Verdana"/>
          <w:bCs/>
          <w:sz w:val="20"/>
        </w:rPr>
      </w:pPr>
      <w:r w:rsidRPr="00CA63EE">
        <w:rPr>
          <w:rFonts w:ascii="Verdana" w:hAnsi="Verdana"/>
          <w:bCs/>
          <w:sz w:val="20"/>
        </w:rPr>
        <w:t>ii.    Liquidez;</w:t>
      </w:r>
    </w:p>
    <w:p w:rsidR="00CA63EE" w:rsidRPr="00CA63EE" w:rsidRDefault="00CA63EE" w:rsidP="00CA63EE">
      <w:pPr>
        <w:jc w:val="both"/>
        <w:rPr>
          <w:rFonts w:ascii="Verdana" w:hAnsi="Verdana"/>
          <w:bCs/>
          <w:sz w:val="20"/>
        </w:rPr>
      </w:pPr>
      <w:r w:rsidRPr="00CA63EE">
        <w:rPr>
          <w:rFonts w:ascii="Verdana" w:hAnsi="Verdana"/>
          <w:bCs/>
          <w:sz w:val="20"/>
        </w:rPr>
        <w:t>iii.   Apalancamiento, y</w:t>
      </w:r>
    </w:p>
    <w:p w:rsidR="00CA63EE" w:rsidRPr="00CA63EE" w:rsidRDefault="00CA63EE" w:rsidP="00CA63EE">
      <w:pPr>
        <w:jc w:val="both"/>
        <w:rPr>
          <w:rFonts w:ascii="Verdana" w:hAnsi="Verdana"/>
          <w:bCs/>
          <w:sz w:val="20"/>
        </w:rPr>
      </w:pPr>
      <w:r w:rsidRPr="00CA63EE">
        <w:rPr>
          <w:rFonts w:ascii="Verdana" w:hAnsi="Verdana"/>
          <w:bCs/>
          <w:sz w:val="20"/>
        </w:rPr>
        <w:t>iv.   Rentabilidad.</w:t>
      </w:r>
    </w:p>
    <w:p w:rsidR="00CA63EE" w:rsidRPr="00CA63EE" w:rsidRDefault="00CA63EE" w:rsidP="00CA63EE">
      <w:pPr>
        <w:jc w:val="both"/>
        <w:rPr>
          <w:rFonts w:ascii="Verdana" w:hAnsi="Verdana"/>
          <w:bCs/>
          <w:sz w:val="20"/>
        </w:rPr>
      </w:pPr>
      <w:r w:rsidRPr="00CA63EE">
        <w:rPr>
          <w:rFonts w:ascii="Verdana" w:hAnsi="Verdana"/>
          <w:bCs/>
          <w:sz w:val="20"/>
        </w:rPr>
        <w:t>d)   Visión actual y prospectiva de la compañía considerando:</w:t>
      </w:r>
    </w:p>
    <w:p w:rsidR="00CA63EE" w:rsidRPr="00CA63EE" w:rsidRDefault="00CA63EE" w:rsidP="00CA63EE">
      <w:pPr>
        <w:jc w:val="both"/>
        <w:rPr>
          <w:rFonts w:ascii="Verdana" w:hAnsi="Verdana"/>
          <w:bCs/>
          <w:sz w:val="20"/>
        </w:rPr>
      </w:pPr>
      <w:r w:rsidRPr="00CA63EE">
        <w:rPr>
          <w:rFonts w:ascii="Verdana" w:hAnsi="Verdana"/>
          <w:bCs/>
          <w:sz w:val="20"/>
        </w:rPr>
        <w:t>i.    El desempeño general de la economía;</w:t>
      </w:r>
    </w:p>
    <w:p w:rsidR="00CA63EE" w:rsidRPr="00CA63EE" w:rsidRDefault="00CA63EE" w:rsidP="00CA63EE">
      <w:pPr>
        <w:jc w:val="both"/>
        <w:rPr>
          <w:rFonts w:ascii="Verdana" w:hAnsi="Verdana"/>
          <w:bCs/>
          <w:sz w:val="20"/>
        </w:rPr>
      </w:pPr>
      <w:r w:rsidRPr="00CA63EE">
        <w:rPr>
          <w:rFonts w:ascii="Verdana" w:hAnsi="Verdana"/>
          <w:bCs/>
          <w:sz w:val="20"/>
        </w:rPr>
        <w:t>ii.    El sector al que pertenece;</w:t>
      </w:r>
    </w:p>
    <w:p w:rsidR="00CA63EE" w:rsidRPr="00CA63EE" w:rsidRDefault="00CA63EE" w:rsidP="00CA63EE">
      <w:pPr>
        <w:jc w:val="both"/>
        <w:rPr>
          <w:rFonts w:ascii="Verdana" w:hAnsi="Verdana"/>
          <w:bCs/>
          <w:sz w:val="20"/>
        </w:rPr>
      </w:pPr>
      <w:r w:rsidRPr="00CA63EE">
        <w:rPr>
          <w:rFonts w:ascii="Verdana" w:hAnsi="Verdana"/>
          <w:bCs/>
          <w:sz w:val="20"/>
        </w:rPr>
        <w:t>iii.   Las ventajas comparativas de la empresa;</w:t>
      </w:r>
    </w:p>
    <w:p w:rsidR="00CA63EE" w:rsidRPr="00CA63EE" w:rsidRDefault="00CA63EE" w:rsidP="00CA63EE">
      <w:pPr>
        <w:jc w:val="both"/>
        <w:rPr>
          <w:rFonts w:ascii="Verdana" w:hAnsi="Verdana"/>
          <w:bCs/>
          <w:sz w:val="20"/>
        </w:rPr>
      </w:pPr>
      <w:r w:rsidRPr="00CA63EE">
        <w:rPr>
          <w:rFonts w:ascii="Verdana" w:hAnsi="Verdana"/>
          <w:bCs/>
          <w:sz w:val="20"/>
        </w:rPr>
        <w:t>iv.   Estrategia de negocio;</w:t>
      </w:r>
    </w:p>
    <w:p w:rsidR="00CA63EE" w:rsidRPr="00CA63EE" w:rsidRDefault="00CA63EE" w:rsidP="00CA63EE">
      <w:pPr>
        <w:jc w:val="both"/>
        <w:rPr>
          <w:rFonts w:ascii="Verdana" w:hAnsi="Verdana"/>
          <w:bCs/>
          <w:sz w:val="20"/>
        </w:rPr>
      </w:pPr>
      <w:r w:rsidRPr="00CA63EE">
        <w:rPr>
          <w:rFonts w:ascii="Verdana" w:hAnsi="Verdana"/>
          <w:bCs/>
          <w:sz w:val="20"/>
        </w:rPr>
        <w:t>v.    Potencial de crecimiento, y</w:t>
      </w:r>
    </w:p>
    <w:p w:rsidR="00CA63EE" w:rsidRPr="00CA63EE" w:rsidRDefault="00CA63EE" w:rsidP="00CA63EE">
      <w:pPr>
        <w:jc w:val="both"/>
        <w:rPr>
          <w:rFonts w:ascii="Verdana" w:hAnsi="Verdana"/>
          <w:bCs/>
          <w:sz w:val="20"/>
        </w:rPr>
      </w:pPr>
      <w:r w:rsidRPr="00CA63EE">
        <w:rPr>
          <w:rFonts w:ascii="Verdana" w:hAnsi="Verdana"/>
          <w:bCs/>
          <w:sz w:val="20"/>
        </w:rPr>
        <w:t>vi.   Riesgos que enfrenta la compañía que pueden tener un impacto en la valuación y desempeño.</w:t>
      </w:r>
    </w:p>
    <w:p w:rsidR="00CA63EE" w:rsidRPr="00CA63EE" w:rsidRDefault="00CA63EE" w:rsidP="00CA63EE">
      <w:pPr>
        <w:jc w:val="both"/>
        <w:rPr>
          <w:rFonts w:ascii="Verdana" w:hAnsi="Verdana"/>
          <w:bCs/>
          <w:sz w:val="20"/>
        </w:rPr>
      </w:pPr>
      <w:r w:rsidRPr="00CA63EE">
        <w:rPr>
          <w:rFonts w:ascii="Verdana" w:hAnsi="Verdana"/>
          <w:bCs/>
          <w:sz w:val="20"/>
        </w:rPr>
        <w:t>vii.  Planes de acción en caso de emergencias o desastres naturales.</w:t>
      </w:r>
    </w:p>
    <w:p w:rsidR="00CA63EE" w:rsidRPr="00CA63EE" w:rsidRDefault="00CA63EE" w:rsidP="00CA63EE">
      <w:pPr>
        <w:jc w:val="both"/>
        <w:rPr>
          <w:rFonts w:ascii="Verdana" w:hAnsi="Verdana"/>
          <w:bCs/>
          <w:sz w:val="20"/>
        </w:rPr>
      </w:pPr>
      <w:r w:rsidRPr="00CA63EE">
        <w:rPr>
          <w:rFonts w:ascii="Verdana" w:hAnsi="Verdana"/>
          <w:bCs/>
          <w:sz w:val="20"/>
        </w:rPr>
        <w:t>e)   Valuación:</w:t>
      </w:r>
    </w:p>
    <w:p w:rsidR="00CA63EE" w:rsidRPr="00CA63EE" w:rsidRDefault="00CA63EE" w:rsidP="00CA63EE">
      <w:pPr>
        <w:jc w:val="both"/>
        <w:rPr>
          <w:rFonts w:ascii="Verdana" w:hAnsi="Verdana"/>
          <w:bCs/>
          <w:sz w:val="20"/>
        </w:rPr>
      </w:pPr>
      <w:r w:rsidRPr="00CA63EE">
        <w:rPr>
          <w:rFonts w:ascii="Verdana" w:hAnsi="Verdana"/>
          <w:bCs/>
          <w:sz w:val="20"/>
        </w:rPr>
        <w:t>i.    Descripción de la metodología de valuación razonable que emplea la Administradora;</w:t>
      </w:r>
    </w:p>
    <w:p w:rsidR="00CA63EE" w:rsidRPr="00CA63EE" w:rsidRDefault="00CA63EE" w:rsidP="00CA63EE">
      <w:pPr>
        <w:jc w:val="both"/>
        <w:rPr>
          <w:rFonts w:ascii="Verdana" w:hAnsi="Verdana"/>
          <w:bCs/>
          <w:sz w:val="20"/>
        </w:rPr>
      </w:pPr>
      <w:r w:rsidRPr="00CA63EE">
        <w:rPr>
          <w:rFonts w:ascii="Verdana" w:hAnsi="Verdana"/>
          <w:bCs/>
          <w:sz w:val="20"/>
        </w:rPr>
        <w:t>ii.    Supuestos empleados en dicha metodología e insumos de información, y</w:t>
      </w:r>
    </w:p>
    <w:p w:rsidR="00CA63EE" w:rsidRPr="00CA63EE" w:rsidRDefault="00CA63EE" w:rsidP="00CA63EE">
      <w:pPr>
        <w:jc w:val="both"/>
        <w:rPr>
          <w:rFonts w:ascii="Verdana" w:hAnsi="Verdana"/>
          <w:bCs/>
          <w:sz w:val="20"/>
        </w:rPr>
      </w:pPr>
      <w:r w:rsidRPr="00CA63EE">
        <w:rPr>
          <w:rFonts w:ascii="Verdana" w:hAnsi="Verdana"/>
          <w:bCs/>
          <w:sz w:val="20"/>
        </w:rPr>
        <w:lastRenderedPageBreak/>
        <w:t>iii.   Desviaciones entre la valuación a mercado y la valuación razonable.</w:t>
      </w:r>
    </w:p>
    <w:p w:rsidR="00CA63EE" w:rsidRPr="00CA63EE" w:rsidRDefault="00CA63EE" w:rsidP="00CA63EE">
      <w:pPr>
        <w:jc w:val="both"/>
        <w:rPr>
          <w:rFonts w:ascii="Verdana" w:hAnsi="Verdana"/>
          <w:bCs/>
          <w:sz w:val="20"/>
        </w:rPr>
      </w:pPr>
      <w:r w:rsidRPr="00CA63EE">
        <w:rPr>
          <w:rFonts w:ascii="Verdana" w:hAnsi="Verdana"/>
          <w:bCs/>
          <w:sz w:val="20"/>
        </w:rPr>
        <w:t>f)    En caso de realizar la inversión a través de Derivados, deberá incluirse además:</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    Mercado y Contraparte;</w:t>
      </w:r>
    </w:p>
    <w:p w:rsidR="00CA63EE" w:rsidRPr="00CA63EE" w:rsidRDefault="00CA63EE" w:rsidP="00CA63EE">
      <w:pPr>
        <w:jc w:val="both"/>
        <w:rPr>
          <w:rFonts w:ascii="Verdana" w:hAnsi="Verdana"/>
          <w:bCs/>
          <w:sz w:val="20"/>
        </w:rPr>
      </w:pPr>
      <w:r w:rsidRPr="00CA63EE">
        <w:rPr>
          <w:rFonts w:ascii="Verdana" w:hAnsi="Verdana"/>
          <w:bCs/>
          <w:sz w:val="20"/>
        </w:rPr>
        <w:t>ii.    Metodología de Valuación, y</w:t>
      </w:r>
    </w:p>
    <w:p w:rsidR="00CA63EE" w:rsidRPr="00CA63EE" w:rsidRDefault="00CA63EE" w:rsidP="00CA63EE">
      <w:pPr>
        <w:jc w:val="both"/>
        <w:rPr>
          <w:rFonts w:ascii="Verdana" w:hAnsi="Verdana"/>
          <w:bCs/>
          <w:sz w:val="20"/>
        </w:rPr>
      </w:pPr>
      <w:r w:rsidRPr="00CA63EE">
        <w:rPr>
          <w:rFonts w:ascii="Verdana" w:hAnsi="Verdana"/>
          <w:bCs/>
          <w:sz w:val="20"/>
        </w:rPr>
        <w:t>iii.   Características financieras del Derivado.</w:t>
      </w:r>
    </w:p>
    <w:p w:rsidR="00CA63EE" w:rsidRPr="00CA63EE" w:rsidRDefault="00CA63EE" w:rsidP="00CA63EE">
      <w:pPr>
        <w:jc w:val="both"/>
        <w:rPr>
          <w:rFonts w:ascii="Verdana" w:hAnsi="Verdana"/>
          <w:bCs/>
          <w:sz w:val="20"/>
        </w:rPr>
      </w:pPr>
      <w:r w:rsidRPr="00CA63EE">
        <w:rPr>
          <w:rFonts w:ascii="Verdana" w:hAnsi="Verdana"/>
          <w:bCs/>
          <w:sz w:val="20"/>
        </w:rPr>
        <w:t>En caso de que el Comité de Inversión, contando el visto bueno de la mayoría de los Consejeros Independientes, defina que alguno de los elementos previstos en el presente Anexo son innecesarios, deberá dejarlo asentado en el Acta Pormenorizada de la sesión en que se apruebe dicha política, para lo cual deberá explicitar las razones por la que consideran innecesarios los elementos de que se trate.</w:t>
      </w:r>
    </w:p>
    <w:p w:rsidR="00CA63EE" w:rsidRPr="00CA63EE" w:rsidRDefault="00CA63EE" w:rsidP="00CA63EE">
      <w:pPr>
        <w:jc w:val="both"/>
        <w:rPr>
          <w:rFonts w:ascii="Verdana" w:hAnsi="Verdana"/>
          <w:b/>
          <w:bCs/>
          <w:sz w:val="20"/>
        </w:rPr>
      </w:pPr>
      <w:r w:rsidRPr="00CA63EE">
        <w:rPr>
          <w:rFonts w:ascii="Verdana" w:hAnsi="Verdana"/>
          <w:b/>
          <w:bCs/>
          <w:sz w:val="20"/>
        </w:rPr>
        <w:t>ANEXO D</w:t>
      </w:r>
    </w:p>
    <w:p w:rsidR="00CA63EE" w:rsidRPr="00CA63EE" w:rsidRDefault="00CA63EE" w:rsidP="00CA63EE">
      <w:pPr>
        <w:jc w:val="both"/>
        <w:rPr>
          <w:rFonts w:ascii="Verdana" w:hAnsi="Verdana"/>
          <w:bCs/>
          <w:sz w:val="20"/>
        </w:rPr>
      </w:pPr>
      <w:r w:rsidRPr="00CA63EE">
        <w:rPr>
          <w:rFonts w:ascii="Verdana" w:hAnsi="Verdana"/>
          <w:b/>
          <w:bCs/>
          <w:sz w:val="20"/>
        </w:rPr>
        <w:t>Clasificación de Divisas</w:t>
      </w:r>
    </w:p>
    <w:p w:rsidR="00CA63EE" w:rsidRPr="00CA63EE" w:rsidRDefault="00CA63EE" w:rsidP="00CA63EE">
      <w:pPr>
        <w:jc w:val="both"/>
        <w:rPr>
          <w:rFonts w:ascii="Verdana" w:hAnsi="Verdana"/>
          <w:bCs/>
          <w:sz w:val="20"/>
        </w:rPr>
      </w:pPr>
      <w:r w:rsidRPr="00CA63EE">
        <w:rPr>
          <w:rFonts w:ascii="Verdana" w:hAnsi="Verdana"/>
          <w:bCs/>
          <w:sz w:val="20"/>
        </w:rPr>
        <w:t>Las Sociedades de Inversión podrán operar con cualquier Divisa autorizada en el presente anexo, cuyos mercados de cotización sean regulados y supervisados por una autoridad perteneciente a algún País Elegible para Inversiones, considerando el nombre de uso común en los mercados financieros; asimismo sólo podrán realizar las operaciones autorizadas de las Divisas de los Países Elegibles para Inversiones de conformidad con los siguientes tres grupos:</w:t>
      </w:r>
    </w:p>
    <w:p w:rsidR="00CA63EE" w:rsidRPr="00CA63EE" w:rsidRDefault="00CA63EE" w:rsidP="00CA63EE">
      <w:pPr>
        <w:jc w:val="both"/>
        <w:rPr>
          <w:rFonts w:ascii="Verdana" w:hAnsi="Verdana"/>
          <w:bCs/>
          <w:sz w:val="20"/>
        </w:rPr>
      </w:pPr>
      <w:r w:rsidRPr="00CA63EE">
        <w:rPr>
          <w:rFonts w:ascii="Verdana" w:hAnsi="Verdana"/>
          <w:b/>
          <w:bCs/>
          <w:sz w:val="20"/>
        </w:rPr>
        <w:t>Grupo I:</w:t>
      </w:r>
      <w:r w:rsidRPr="00CA63EE">
        <w:rPr>
          <w:rFonts w:ascii="Verdana" w:hAnsi="Verdana"/>
          <w:bCs/>
          <w:sz w:val="20"/>
        </w:rPr>
        <w:t> Lo conforman aquellas Divisas autorizadas para liquidar instrumentos permitidos, cubrir exposición a la Divisa y tomar Posiciones Puras en Divisas. Este grupo lo conforman las siguientes divisas: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095875" cy="781050"/>
            <wp:effectExtent l="0" t="0" r="9525" b="0"/>
            <wp:docPr id="51" name="Imagen 51" descr="http://www.dof.gob.mx/imagenes_diarios/2018/11/16/MAT/shcp2a11_Cimg_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11/16/MAT/shcp2a11_Cimg_4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5875" cy="78105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
          <w:bCs/>
          <w:sz w:val="20"/>
        </w:rPr>
        <w:t>Grupo II:</w:t>
      </w:r>
      <w:r w:rsidRPr="00CA63EE">
        <w:rPr>
          <w:rFonts w:ascii="Verdana" w:hAnsi="Verdana"/>
          <w:bCs/>
          <w:sz w:val="20"/>
        </w:rPr>
        <w:t> Lo conforman aquellas Divisas autorizadas únicamente para liquidar instrumentos permitidos o cubrir la exposición a la Divisa del subyacente, las cuales se lista a continuación.</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153025" cy="714375"/>
            <wp:effectExtent l="0" t="0" r="9525" b="9525"/>
            <wp:docPr id="50" name="Imagen 50" descr="http://www.dof.gob.mx/imagenes_diarios/2018/11/16/MAT/shcp2a11_Cimg_5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11/16/MAT/shcp2a11_Cimg_51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3025" cy="71437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lastRenderedPageBreak/>
        <w:t>Los elementos de este grupo de Divisas podrán ser evaluados, de forma individual, por el Comité de Análisis de Riesgos con fines de que en el futuro sean consideradas dentro del Grupo I o en su caso dentro del Grupo III.</w:t>
      </w:r>
    </w:p>
    <w:p w:rsidR="00CA63EE" w:rsidRPr="00CA63EE" w:rsidRDefault="00CA63EE" w:rsidP="00CA63EE">
      <w:pPr>
        <w:jc w:val="both"/>
        <w:rPr>
          <w:rFonts w:ascii="Verdana" w:hAnsi="Verdana"/>
          <w:bCs/>
          <w:sz w:val="20"/>
        </w:rPr>
      </w:pPr>
      <w:r w:rsidRPr="00CA63EE">
        <w:rPr>
          <w:rFonts w:ascii="Verdana" w:hAnsi="Verdana"/>
          <w:b/>
          <w:bCs/>
          <w:sz w:val="20"/>
        </w:rPr>
        <w:t>Grupo III:</w:t>
      </w:r>
      <w:r w:rsidRPr="00CA63EE">
        <w:rPr>
          <w:rFonts w:ascii="Verdana" w:hAnsi="Verdana"/>
          <w:bCs/>
          <w:sz w:val="20"/>
        </w:rPr>
        <w:t> Lo conforman las Divisas autorizadas únicamente para liquidar instrumentos permitidos o cubrir la exposición a la Divisa, las cuales se lista a continuación.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78"/>
        <w:gridCol w:w="2327"/>
        <w:gridCol w:w="2029"/>
        <w:gridCol w:w="2178"/>
      </w:tblGrid>
      <w:tr w:rsidR="00CA63EE" w:rsidRPr="00CA63EE" w:rsidTr="00CA63EE">
        <w:trPr>
          <w:trHeight w:val="352"/>
        </w:trPr>
        <w:tc>
          <w:tcPr>
            <w:tcW w:w="217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País</w:t>
            </w:r>
          </w:p>
        </w:tc>
        <w:tc>
          <w:tcPr>
            <w:tcW w:w="2327"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Divisa</w:t>
            </w:r>
          </w:p>
        </w:tc>
        <w:tc>
          <w:tcPr>
            <w:tcW w:w="2029"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País</w:t>
            </w:r>
          </w:p>
        </w:tc>
        <w:tc>
          <w:tcPr>
            <w:tcW w:w="217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Divisa</w:t>
            </w:r>
          </w:p>
        </w:tc>
      </w:tr>
      <w:tr w:rsidR="00CA63EE" w:rsidRPr="00CA63EE" w:rsidTr="00CA63EE">
        <w:trPr>
          <w:trHeight w:val="337"/>
        </w:trPr>
        <w:tc>
          <w:tcPr>
            <w:tcW w:w="2178" w:type="dxa"/>
            <w:tcBorders>
              <w:top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Brasil</w:t>
            </w:r>
          </w:p>
        </w:tc>
        <w:tc>
          <w:tcPr>
            <w:tcW w:w="2327" w:type="dxa"/>
            <w:tcBorders>
              <w:top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Real brasileño (BRL)</w:t>
            </w:r>
          </w:p>
        </w:tc>
        <w:tc>
          <w:tcPr>
            <w:tcW w:w="2029" w:type="dxa"/>
            <w:tcBorders>
              <w:top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Tailandia</w:t>
            </w:r>
          </w:p>
        </w:tc>
        <w:tc>
          <w:tcPr>
            <w:tcW w:w="2178" w:type="dxa"/>
            <w:tcBorders>
              <w:top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Baht tailandés (THB)</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Colombia</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Peso colombiano (COP)</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República Checa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Corona checa (CZK)</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Israel</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Shekel israelí (ISL)</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Hungría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Florín húngaro (HUF)</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Chile</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Peso chileno (CLP)</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Rumania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Leu romano (RON)</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India</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Rupia (UNR)</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Bulgaria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Lev búlgaro (BGN)</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China</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Renminbi</w:t>
            </w:r>
            <w:proofErr w:type="spellEnd"/>
            <w:r w:rsidRPr="00CA63EE">
              <w:rPr>
                <w:rFonts w:ascii="Verdana" w:hAnsi="Verdana"/>
                <w:bCs/>
                <w:sz w:val="20"/>
              </w:rPr>
              <w:t xml:space="preserve"> chino (CNY)</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Islandia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Corona islandesa (ISK)</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Perú</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Nuevo Sol Peruano (PEN)</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Sudáfrica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Rand sudafricano (ZAR)</w:t>
            </w:r>
          </w:p>
        </w:tc>
      </w:tr>
      <w:tr w:rsidR="00CA63EE" w:rsidRPr="00CA63EE" w:rsidTr="00CA63EE">
        <w:trPr>
          <w:trHeight w:val="337"/>
        </w:trPr>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Polonia</w:t>
            </w:r>
          </w:p>
        </w:tc>
        <w:tc>
          <w:tcPr>
            <w:tcW w:w="2327"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Zloty</w:t>
            </w:r>
            <w:proofErr w:type="spellEnd"/>
            <w:r w:rsidRPr="00CA63EE">
              <w:rPr>
                <w:rFonts w:ascii="Verdana" w:hAnsi="Verdana"/>
                <w:bCs/>
                <w:sz w:val="20"/>
              </w:rPr>
              <w:t xml:space="preserve"> polaco (PLN)</w:t>
            </w:r>
          </w:p>
        </w:tc>
        <w:tc>
          <w:tcPr>
            <w:tcW w:w="2029"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Malasia</w:t>
            </w:r>
          </w:p>
        </w:tc>
        <w:tc>
          <w:tcPr>
            <w:tcW w:w="2178"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Ringgit (MYR)</w:t>
            </w:r>
          </w:p>
        </w:tc>
      </w:tr>
      <w:tr w:rsidR="00CA63EE" w:rsidRPr="00CA63EE" w:rsidTr="00CA63EE">
        <w:trPr>
          <w:trHeight w:val="352"/>
        </w:trPr>
        <w:tc>
          <w:tcPr>
            <w:tcW w:w="2178" w:type="dxa"/>
            <w:tcBorders>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Taiwán</w:t>
            </w:r>
          </w:p>
        </w:tc>
        <w:tc>
          <w:tcPr>
            <w:tcW w:w="2327" w:type="dxa"/>
            <w:tcBorders>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Dólar taiwanés (TWD)</w:t>
            </w:r>
          </w:p>
        </w:tc>
        <w:tc>
          <w:tcPr>
            <w:tcW w:w="2029" w:type="dxa"/>
            <w:tcBorders>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2178" w:type="dxa"/>
            <w:tcBorders>
              <w:bottom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el futuro algunas de estas Divisas podrían trasladarse al Grupo II, si las condiciones de desarrollo de mercado lo permiten, previo dictamen y aprobación del Comité de Análisis de Riesgos.</w:t>
      </w:r>
    </w:p>
    <w:p w:rsidR="00CA63EE" w:rsidRPr="00CA63EE" w:rsidRDefault="00CA63EE" w:rsidP="00CA63EE">
      <w:pPr>
        <w:jc w:val="both"/>
        <w:rPr>
          <w:rFonts w:ascii="Verdana" w:hAnsi="Verdana"/>
          <w:bCs/>
          <w:sz w:val="20"/>
        </w:rPr>
      </w:pPr>
      <w:r w:rsidRPr="00CA63EE">
        <w:rPr>
          <w:rFonts w:ascii="Verdana" w:hAnsi="Verdana"/>
          <w:bCs/>
          <w:sz w:val="20"/>
        </w:rPr>
        <w:t>En caso de que existan distintas nomenclaturas para una misma Divisa y una de ellas pueda ser clasificada en un Grupo de Divisas distinto a los previstos en el presente Anexo, se clasificará dentro del Grupo más conservador.</w:t>
      </w:r>
    </w:p>
    <w:p w:rsidR="00CA63EE" w:rsidRPr="00CA63EE" w:rsidRDefault="00CA63EE" w:rsidP="00CA63EE">
      <w:pPr>
        <w:jc w:val="both"/>
        <w:rPr>
          <w:rFonts w:ascii="Verdana" w:hAnsi="Verdana"/>
          <w:bCs/>
          <w:sz w:val="20"/>
        </w:rPr>
      </w:pPr>
      <w:r w:rsidRPr="00CA63EE">
        <w:rPr>
          <w:rFonts w:ascii="Verdana" w:hAnsi="Verdana"/>
          <w:bCs/>
          <w:sz w:val="20"/>
        </w:rPr>
        <w:t xml:space="preserve">Las modificaciones y adiciones que el Comité de Análisis de Riesgos determine al presente, serán publicadas en la página de Internet de la Comisión. Será responsabilidad de las Administradoras dar cumplimiento a los criterios aprobados por </w:t>
      </w:r>
      <w:r w:rsidRPr="00CA63EE">
        <w:rPr>
          <w:rFonts w:ascii="Verdana" w:hAnsi="Verdana"/>
          <w:bCs/>
          <w:sz w:val="20"/>
        </w:rPr>
        <w:lastRenderedPageBreak/>
        <w:t>el Comité de Análisis de Riesgos y darle seguimiento a cualquier actualización y publicación que se presente respecto de las modificaciones y adiciones antes mencionadas.</w:t>
      </w:r>
    </w:p>
    <w:p w:rsidR="00CA63EE" w:rsidRPr="00CA63EE" w:rsidRDefault="00CA63EE" w:rsidP="00CA63EE">
      <w:pPr>
        <w:jc w:val="both"/>
        <w:rPr>
          <w:rFonts w:ascii="Verdana" w:hAnsi="Verdana"/>
          <w:b/>
          <w:bCs/>
          <w:sz w:val="20"/>
        </w:rPr>
      </w:pPr>
      <w:r w:rsidRPr="00CA63EE">
        <w:rPr>
          <w:rFonts w:ascii="Verdana" w:hAnsi="Verdana"/>
          <w:b/>
          <w:bCs/>
          <w:sz w:val="20"/>
        </w:rPr>
        <w:t>ANEXO E</w:t>
      </w:r>
    </w:p>
    <w:p w:rsidR="00CA63EE" w:rsidRPr="00CA63EE" w:rsidRDefault="00CA63EE" w:rsidP="00CA63EE">
      <w:pPr>
        <w:jc w:val="both"/>
        <w:rPr>
          <w:rFonts w:ascii="Verdana" w:hAnsi="Verdana"/>
          <w:bCs/>
          <w:sz w:val="20"/>
        </w:rPr>
      </w:pPr>
      <w:r w:rsidRPr="00CA63EE">
        <w:rPr>
          <w:rFonts w:ascii="Verdana" w:hAnsi="Verdana"/>
          <w:b/>
          <w:bCs/>
          <w:sz w:val="20"/>
        </w:rPr>
        <w:t>Metodología para calcular el Valor de Mercado de las posiciones en Divisas</w:t>
      </w:r>
    </w:p>
    <w:p w:rsidR="00CA63EE" w:rsidRPr="00CA63EE" w:rsidRDefault="00CA63EE" w:rsidP="00CA63EE">
      <w:pPr>
        <w:jc w:val="both"/>
        <w:rPr>
          <w:rFonts w:ascii="Verdana" w:hAnsi="Verdana"/>
          <w:bCs/>
          <w:sz w:val="20"/>
        </w:rPr>
      </w:pPr>
      <w:r w:rsidRPr="00CA63EE">
        <w:rPr>
          <w:rFonts w:ascii="Verdana" w:hAnsi="Verdana"/>
          <w:bCs/>
          <w:sz w:val="20"/>
        </w:rPr>
        <w:t>Para efectos de verificar el cumplimiento del límite aplicable a las posiciones en Divisas establecidos en las Disposiciones de carácter general emitidas por la Comisión se considerará lo siguiente:</w:t>
      </w:r>
    </w:p>
    <w:p w:rsidR="00CA63EE" w:rsidRPr="00CA63EE" w:rsidRDefault="00CA63EE" w:rsidP="00CA63EE">
      <w:pPr>
        <w:jc w:val="both"/>
        <w:rPr>
          <w:rFonts w:ascii="Verdana" w:hAnsi="Verdana"/>
          <w:bCs/>
          <w:sz w:val="20"/>
        </w:rPr>
      </w:pPr>
      <w:r w:rsidRPr="00CA63EE">
        <w:rPr>
          <w:rFonts w:ascii="Verdana" w:hAnsi="Verdana"/>
          <w:b/>
          <w:bCs/>
          <w:sz w:val="20"/>
        </w:rPr>
        <w:t>I.</w:t>
      </w:r>
      <w:r w:rsidRPr="00CA63EE">
        <w:rPr>
          <w:rFonts w:ascii="Verdana" w:hAnsi="Verdana"/>
          <w:bCs/>
          <w:sz w:val="20"/>
        </w:rPr>
        <w:t> </w:t>
      </w:r>
      <w:r w:rsidRPr="00CA63EE">
        <w:rPr>
          <w:rFonts w:ascii="Verdana" w:hAnsi="Verdana"/>
          <w:b/>
          <w:bCs/>
          <w:sz w:val="20"/>
        </w:rPr>
        <w:t>Exposición Total a Divisas.</w:t>
      </w:r>
    </w:p>
    <w:p w:rsidR="00CA63EE" w:rsidRPr="00CA63EE" w:rsidRDefault="00CA63EE" w:rsidP="00CA63EE">
      <w:pPr>
        <w:jc w:val="both"/>
        <w:rPr>
          <w:rFonts w:ascii="Verdana" w:hAnsi="Verdana"/>
          <w:bCs/>
          <w:sz w:val="20"/>
        </w:rPr>
      </w:pPr>
      <w:r w:rsidRPr="00CA63EE">
        <w:rPr>
          <w:rFonts w:ascii="Verdana" w:hAnsi="Verdana"/>
          <w:bCs/>
          <w:sz w:val="20"/>
        </w:rPr>
        <w:t>La exposición a Divisas del Activo Total de la Sociedad de Inversión, derivada de la inversión en los Activos Objeto de Inversión, tanto por parte de la Sociedad de Inversión como de sus Mandatarios, se calculará considerando los siguientes criterios y fórmulas:</w:t>
      </w:r>
    </w:p>
    <w:p w:rsidR="00CA63EE" w:rsidRPr="00CA63EE" w:rsidRDefault="00CA63EE" w:rsidP="00CA63EE">
      <w:pPr>
        <w:jc w:val="both"/>
        <w:rPr>
          <w:rFonts w:ascii="Verdana" w:hAnsi="Verdana"/>
          <w:bCs/>
          <w:sz w:val="20"/>
        </w:rPr>
      </w:pPr>
      <w:r w:rsidRPr="00CA63EE">
        <w:rPr>
          <w:rFonts w:ascii="Verdana" w:hAnsi="Verdana"/>
          <w:bCs/>
          <w:sz w:val="20"/>
        </w:rPr>
        <w:t>a)   Se consideran como posiciones independientes las del Activo Administrados por la Sociedad de Inversión y las del Activo Administrado por cada uno de los Mandatarios. Esto implica que no se </w:t>
      </w:r>
      <w:proofErr w:type="spellStart"/>
      <w:r w:rsidRPr="00CA63EE">
        <w:rPr>
          <w:rFonts w:ascii="Verdana" w:hAnsi="Verdana"/>
          <w:bCs/>
          <w:sz w:val="20"/>
        </w:rPr>
        <w:t>netean</w:t>
      </w:r>
      <w:proofErr w:type="spellEnd"/>
      <w:r w:rsidRPr="00CA63EE">
        <w:rPr>
          <w:rFonts w:ascii="Verdana" w:hAnsi="Verdana"/>
          <w:bCs/>
          <w:sz w:val="20"/>
        </w:rPr>
        <w:t xml:space="preserve"> las posiciones del Activo Administrado por la Sociedad de Inversión con las del Activo Administrado por ningún Mandatario, ni tampoco se </w:t>
      </w:r>
      <w:proofErr w:type="spellStart"/>
      <w:r w:rsidRPr="00CA63EE">
        <w:rPr>
          <w:rFonts w:ascii="Verdana" w:hAnsi="Verdana"/>
          <w:bCs/>
          <w:sz w:val="20"/>
        </w:rPr>
        <w:t>netean</w:t>
      </w:r>
      <w:proofErr w:type="spellEnd"/>
      <w:r w:rsidRPr="00CA63EE">
        <w:rPr>
          <w:rFonts w:ascii="Verdana" w:hAnsi="Verdana"/>
          <w:bCs/>
          <w:sz w:val="20"/>
        </w:rPr>
        <w:t xml:space="preserve"> las posiciones de los Activos Administrados entre Mandatarios;</w:t>
      </w:r>
    </w:p>
    <w:p w:rsidR="00CA63EE" w:rsidRPr="00CA63EE" w:rsidRDefault="00CA63EE" w:rsidP="00CA63EE">
      <w:pPr>
        <w:jc w:val="both"/>
        <w:rPr>
          <w:rFonts w:ascii="Verdana" w:hAnsi="Verdana"/>
          <w:bCs/>
          <w:sz w:val="20"/>
        </w:rPr>
      </w:pPr>
      <w:r w:rsidRPr="00CA63EE">
        <w:rPr>
          <w:rFonts w:ascii="Verdana" w:hAnsi="Verdana"/>
          <w:bCs/>
          <w:sz w:val="20"/>
        </w:rPr>
        <w:t>b)   Para las posiciones en Divisas del Activo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i.    Sí se </w:t>
      </w:r>
      <w:proofErr w:type="spellStart"/>
      <w:r w:rsidRPr="00CA63EE">
        <w:rPr>
          <w:rFonts w:ascii="Verdana" w:hAnsi="Verdana"/>
          <w:bCs/>
          <w:sz w:val="20"/>
        </w:rPr>
        <w:t>netean</w:t>
      </w:r>
      <w:proofErr w:type="spellEnd"/>
      <w:r w:rsidRPr="00CA63EE">
        <w:rPr>
          <w:rFonts w:ascii="Verdana" w:hAnsi="Verdana"/>
          <w:bCs/>
          <w:sz w:val="20"/>
        </w:rPr>
        <w:t xml:space="preserve"> las posiciones largas y cortas en una misma Divisa;</w:t>
      </w:r>
    </w:p>
    <w:p w:rsidR="00CA63EE" w:rsidRPr="00CA63EE" w:rsidRDefault="00CA63EE" w:rsidP="00CA63EE">
      <w:pPr>
        <w:jc w:val="both"/>
        <w:rPr>
          <w:rFonts w:ascii="Verdana" w:hAnsi="Verdana"/>
          <w:bCs/>
          <w:sz w:val="20"/>
        </w:rPr>
      </w:pPr>
      <w:r w:rsidRPr="00CA63EE">
        <w:rPr>
          <w:rFonts w:ascii="Verdana" w:hAnsi="Verdana"/>
          <w:bCs/>
          <w:sz w:val="20"/>
        </w:rPr>
        <w:t xml:space="preserve">ii.    No se </w:t>
      </w:r>
      <w:proofErr w:type="spellStart"/>
      <w:r w:rsidRPr="00CA63EE">
        <w:rPr>
          <w:rFonts w:ascii="Verdana" w:hAnsi="Verdana"/>
          <w:bCs/>
          <w:sz w:val="20"/>
        </w:rPr>
        <w:t>netean</w:t>
      </w:r>
      <w:proofErr w:type="spellEnd"/>
      <w:r w:rsidRPr="00CA63EE">
        <w:rPr>
          <w:rFonts w:ascii="Verdana" w:hAnsi="Verdana"/>
          <w:bCs/>
          <w:sz w:val="20"/>
        </w:rPr>
        <w:t xml:space="preserve"> las posiciones largas y cortas entre diferentes Divisas, y</w:t>
      </w:r>
    </w:p>
    <w:p w:rsidR="00CA63EE" w:rsidRPr="00CA63EE" w:rsidRDefault="00CA63EE" w:rsidP="00CA63EE">
      <w:pPr>
        <w:jc w:val="both"/>
        <w:rPr>
          <w:rFonts w:ascii="Verdana" w:hAnsi="Verdana"/>
          <w:bCs/>
          <w:sz w:val="20"/>
        </w:rPr>
      </w:pPr>
      <w:r w:rsidRPr="00CA63EE">
        <w:rPr>
          <w:rFonts w:ascii="Verdana" w:hAnsi="Verdana"/>
          <w:bCs/>
          <w:sz w:val="20"/>
        </w:rPr>
        <w:t>iii.   Se obtiene la posición neta en Divisas del Activo Administrado por la Sociedad de Inversión al sumar las posiciones netas en cada Divisa.</w:t>
      </w:r>
    </w:p>
    <w:p w:rsidR="00CA63EE" w:rsidRPr="00CA63EE" w:rsidRDefault="00CA63EE" w:rsidP="00CA63EE">
      <w:pPr>
        <w:jc w:val="both"/>
        <w:rPr>
          <w:rFonts w:ascii="Verdana" w:hAnsi="Verdana"/>
          <w:bCs/>
          <w:sz w:val="20"/>
        </w:rPr>
      </w:pPr>
      <w:r w:rsidRPr="00CA63EE">
        <w:rPr>
          <w:rFonts w:ascii="Verdana" w:hAnsi="Verdana"/>
          <w:bCs/>
          <w:sz w:val="20"/>
        </w:rPr>
        <w:t>c)   La misma mecánica que en el inciso b) anterior se aplica a las posiciones en Divisas del Activo Administrado por cada Mandatario individualmente, y</w:t>
      </w:r>
    </w:p>
    <w:p w:rsidR="00CA63EE" w:rsidRPr="00CA63EE" w:rsidRDefault="00CA63EE" w:rsidP="00CA63EE">
      <w:pPr>
        <w:jc w:val="both"/>
        <w:rPr>
          <w:rFonts w:ascii="Verdana" w:hAnsi="Verdana"/>
          <w:bCs/>
          <w:sz w:val="20"/>
        </w:rPr>
      </w:pPr>
      <w:r w:rsidRPr="00CA63EE">
        <w:rPr>
          <w:rFonts w:ascii="Verdana" w:hAnsi="Verdana"/>
          <w:bCs/>
          <w:sz w:val="20"/>
        </w:rPr>
        <w:t>d)   La posición neta en Divisas del Activo Administrado por la Sociedad de Inversión y las de los Activos Administrados por cada uno de los Mandatarios, obtenidas conforme a los incisos a), b) y c) anteriores, se suman para determinar la exposición en Divisas del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Lo anterior se logra sumando el valor absoluto de la exposición a Divisas del Activo Administrado por la Sociedad de Inversión y los valores absolutos de las exposiciones a Divisas del Activo Administrado por cada Mandatario. Finalmente, el resultado de estas sumas se divide entre el Activo Total de la Sociedad de Inversión. La fórmula siguiente muestra algebraicamente la mecánica anterior:</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9750" cy="4105275"/>
            <wp:effectExtent l="0" t="0" r="0" b="9525"/>
            <wp:docPr id="49" name="Imagen 49" descr="http://www.dof.gob.mx/imagenes_diarios/2018/11/16/MAT/shcp2a11_Cimg_1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11/16/MAT/shcp2a11_Cimg_117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410527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0225" cy="8362950"/>
            <wp:effectExtent l="0" t="0" r="9525" b="0"/>
            <wp:docPr id="48" name="Imagen 48" descr="http://www.dof.gob.mx/imagenes_diarios/2018/11/16/MAT/shcp2a11_Cimg_9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11/16/MAT/shcp2a11_Cimg_918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836295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0225" cy="8458200"/>
            <wp:effectExtent l="0" t="0" r="9525" b="0"/>
            <wp:docPr id="47" name="Imagen 47" descr="http://www.dof.gob.mx/imagenes_diarios/2018/11/16/MAT/shcp2a11_Cimg_294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11/16/MAT/shcp2a11_Cimg_294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845820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9750" cy="8496300"/>
            <wp:effectExtent l="0" t="0" r="0" b="0"/>
            <wp:docPr id="46" name="Imagen 46" descr="http://www.dof.gob.mx/imagenes_diarios/2018/11/16/MAT/shcp2a11_Cimg_46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11/16/MAT/shcp2a11_Cimg_4650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849630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0225" cy="8467725"/>
            <wp:effectExtent l="0" t="0" r="9525" b="9525"/>
            <wp:docPr id="45" name="Imagen 45" descr="http://www.dof.gob.mx/imagenes_diarios/2018/11/16/MAT/shcp2a11_Cimg_684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11/16/MAT/shcp2a11_Cimg_6841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8467725"/>
                    </a:xfrm>
                    <a:prstGeom prst="rect">
                      <a:avLst/>
                    </a:prstGeom>
                    <a:noFill/>
                    <a:ln>
                      <a:noFill/>
                    </a:ln>
                  </pic:spPr>
                </pic:pic>
              </a:graphicData>
            </a:graphic>
          </wp:inline>
        </w:drawing>
      </w:r>
    </w:p>
    <w:p w:rsidR="00CA63EE" w:rsidRPr="00CA63EE" w:rsidRDefault="00CA63EE" w:rsidP="00CA63EE">
      <w:pPr>
        <w:jc w:val="both"/>
        <w:rPr>
          <w:rFonts w:ascii="Verdana" w:hAnsi="Verdana"/>
          <w:b/>
          <w:bCs/>
          <w:sz w:val="20"/>
        </w:rPr>
      </w:pPr>
      <w:r w:rsidRPr="00CA63EE">
        <w:rPr>
          <w:rFonts w:ascii="Verdana" w:hAnsi="Verdana"/>
          <w:b/>
          <w:bCs/>
          <w:sz w:val="20"/>
        </w:rPr>
        <w:lastRenderedPageBreak/>
        <w:t> </w:t>
      </w:r>
    </w:p>
    <w:p w:rsidR="00CA63EE" w:rsidRPr="00CA63EE" w:rsidRDefault="00CA63EE" w:rsidP="00CA63EE">
      <w:pPr>
        <w:jc w:val="both"/>
        <w:rPr>
          <w:rFonts w:ascii="Verdana" w:hAnsi="Verdana"/>
          <w:b/>
          <w:bCs/>
          <w:sz w:val="20"/>
        </w:rPr>
      </w:pPr>
      <w:r w:rsidRPr="00CA63EE">
        <w:rPr>
          <w:rFonts w:ascii="Verdana" w:hAnsi="Verdana"/>
          <w:b/>
          <w:bCs/>
          <w:sz w:val="20"/>
        </w:rPr>
        <w:t>ANEXO G</w:t>
      </w:r>
    </w:p>
    <w:p w:rsidR="00CA63EE" w:rsidRPr="00CA63EE" w:rsidRDefault="00CA63EE" w:rsidP="00CA63EE">
      <w:pPr>
        <w:jc w:val="both"/>
        <w:rPr>
          <w:rFonts w:ascii="Verdana" w:hAnsi="Verdana"/>
          <w:bCs/>
          <w:sz w:val="20"/>
        </w:rPr>
      </w:pPr>
      <w:r w:rsidRPr="00CA63EE">
        <w:rPr>
          <w:rFonts w:ascii="Verdana" w:hAnsi="Verdana"/>
          <w:b/>
          <w:bCs/>
          <w:sz w:val="20"/>
        </w:rPr>
        <w:t xml:space="preserve">Metodología para calcular el valor </w:t>
      </w:r>
      <w:proofErr w:type="gramStart"/>
      <w:r w:rsidRPr="00CA63EE">
        <w:rPr>
          <w:rFonts w:ascii="Verdana" w:hAnsi="Verdana"/>
          <w:b/>
          <w:bCs/>
          <w:sz w:val="20"/>
        </w:rPr>
        <w:t>a</w:t>
      </w:r>
      <w:proofErr w:type="gramEnd"/>
      <w:r w:rsidRPr="00CA63EE">
        <w:rPr>
          <w:rFonts w:ascii="Verdana" w:hAnsi="Verdana"/>
          <w:b/>
          <w:bCs/>
          <w:sz w:val="20"/>
        </w:rPr>
        <w:t xml:space="preserve"> mercado de las operaciones que deben considerarse dentro de</w:t>
      </w:r>
      <w:r w:rsidRPr="00CA63EE">
        <w:rPr>
          <w:rFonts w:ascii="Verdana" w:hAnsi="Verdana"/>
          <w:bCs/>
          <w:sz w:val="20"/>
        </w:rPr>
        <w:br/>
      </w:r>
      <w:r w:rsidRPr="00CA63EE">
        <w:rPr>
          <w:rFonts w:ascii="Verdana" w:hAnsi="Verdana"/>
          <w:b/>
          <w:bCs/>
          <w:sz w:val="20"/>
        </w:rPr>
        <w:t>los límites de Emisores o Contrapartes</w:t>
      </w:r>
    </w:p>
    <w:p w:rsidR="00CA63EE" w:rsidRPr="00CA63EE" w:rsidRDefault="00CA63EE" w:rsidP="00CA63EE">
      <w:pPr>
        <w:jc w:val="both"/>
        <w:rPr>
          <w:rFonts w:ascii="Verdana" w:hAnsi="Verdana"/>
          <w:bCs/>
          <w:sz w:val="20"/>
        </w:rPr>
      </w:pPr>
      <w:r w:rsidRPr="00CA63EE">
        <w:rPr>
          <w:rFonts w:ascii="Verdana" w:hAnsi="Verdana"/>
          <w:b/>
          <w:bCs/>
          <w:sz w:val="20"/>
        </w:rPr>
        <w:t>I.</w:t>
      </w:r>
      <w:r w:rsidRPr="00CA63EE">
        <w:rPr>
          <w:rFonts w:ascii="Verdana" w:hAnsi="Verdana"/>
          <w:bCs/>
          <w:sz w:val="20"/>
        </w:rPr>
        <w:t> </w:t>
      </w:r>
      <w:r w:rsidRPr="00CA63EE">
        <w:rPr>
          <w:rFonts w:ascii="Verdana" w:hAnsi="Verdana"/>
          <w:b/>
          <w:bCs/>
          <w:sz w:val="20"/>
        </w:rPr>
        <w:t>Exposición Total a un Emisor o Contraparte Autorizada.</w:t>
      </w:r>
    </w:p>
    <w:p w:rsidR="00CA63EE" w:rsidRPr="00CA63EE" w:rsidRDefault="00CA63EE" w:rsidP="00CA63EE">
      <w:pPr>
        <w:jc w:val="both"/>
        <w:rPr>
          <w:rFonts w:ascii="Verdana" w:hAnsi="Verdana"/>
          <w:bCs/>
          <w:sz w:val="20"/>
        </w:rPr>
      </w:pPr>
      <w:r w:rsidRPr="00CA63EE">
        <w:rPr>
          <w:rFonts w:ascii="Verdana" w:hAnsi="Verdana"/>
          <w:bCs/>
          <w:sz w:val="20"/>
        </w:rPr>
        <w:t>La exposición a un Emisor o Contraparte autorizada del Activo Total de la Sociedad de Inversión, derivada de la inversión en los Activos Objeto de Inversión, tanto por parte de la Sociedad de Inversión como de sus Mandatarios, se calculará considerando los siguientes criterios y fórmulas.</w:t>
      </w:r>
    </w:p>
    <w:p w:rsidR="00CA63EE" w:rsidRPr="00CA63EE" w:rsidRDefault="00CA63EE" w:rsidP="00CA63EE">
      <w:pPr>
        <w:jc w:val="both"/>
        <w:rPr>
          <w:rFonts w:ascii="Verdana" w:hAnsi="Verdana"/>
          <w:bCs/>
          <w:sz w:val="20"/>
        </w:rPr>
      </w:pPr>
      <w:r w:rsidRPr="00CA63EE">
        <w:rPr>
          <w:rFonts w:ascii="Verdana" w:hAnsi="Verdana"/>
          <w:bCs/>
          <w:sz w:val="20"/>
        </w:rPr>
        <w:t>La exposición a un Emisor o Contraparte autorizada del Activo Total de la Sociedad de Inversión como porcentaje del Activo Total de la Sociedad de Inversión deberá ser menor o igual a los límites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Para tales efectos se computará el nivel de concentración a cada Contraparte y Emisor que observe el Activo Total de la Sociedad de Inversión, para lo cual se usará el promedio ponderado de la concentración observada en las operaciones efectuadas con los Activos Administrados por la Sociedad de Inversión y los Activos Administrados por cada Mandatario. Dicho promedio se calculará usando los Activos Administrados por la Sociedad de Inversión y los correspondientes a cada Mandatario.</w:t>
      </w:r>
    </w:p>
    <w:p w:rsidR="00CA63EE" w:rsidRPr="00CA63EE" w:rsidRDefault="00CA63EE" w:rsidP="00CA63EE">
      <w:pPr>
        <w:jc w:val="both"/>
        <w:rPr>
          <w:rFonts w:ascii="Verdana" w:hAnsi="Verdana"/>
          <w:bCs/>
          <w:sz w:val="20"/>
        </w:rPr>
      </w:pPr>
      <w:r w:rsidRPr="00CA63EE">
        <w:rPr>
          <w:rFonts w:ascii="Verdana" w:hAnsi="Verdana"/>
          <w:b/>
          <w:bCs/>
          <w:sz w:val="20"/>
        </w:rPr>
        <w:t>II. Consumo a límite de Emisor o Contraparte a través del Administrado por la Sociedad de Inversión.</w:t>
      </w:r>
    </w:p>
    <w:p w:rsidR="00CA63EE" w:rsidRPr="00CA63EE" w:rsidRDefault="00CA63EE" w:rsidP="00CA63EE">
      <w:pPr>
        <w:jc w:val="both"/>
        <w:rPr>
          <w:rFonts w:ascii="Verdana" w:hAnsi="Verdana"/>
          <w:bCs/>
          <w:sz w:val="20"/>
        </w:rPr>
      </w:pPr>
      <w:r w:rsidRPr="00CA63EE">
        <w:rPr>
          <w:rFonts w:ascii="Verdana" w:hAnsi="Verdana"/>
          <w:bCs/>
          <w:sz w:val="20"/>
        </w:rPr>
        <w:t>Para realizar el cálculo del valor a mercado de la concentración que mantiene el Activo Administrado por la Sociedad de Inversión, en valores y operaciones de un mismo emisor o Contraparte, se deberá apegar a lo siguiente:</w:t>
      </w:r>
    </w:p>
    <w:p w:rsidR="00CA63EE" w:rsidRPr="00CA63EE" w:rsidRDefault="00CA63EE" w:rsidP="00CA63EE">
      <w:pPr>
        <w:jc w:val="both"/>
        <w:rPr>
          <w:rFonts w:ascii="Verdana" w:hAnsi="Verdana"/>
          <w:bCs/>
          <w:sz w:val="20"/>
        </w:rPr>
      </w:pPr>
      <w:r w:rsidRPr="00CA63EE">
        <w:rPr>
          <w:rFonts w:ascii="Verdana" w:hAnsi="Verdana"/>
          <w:bCs/>
          <w:sz w:val="20"/>
        </w:rPr>
        <w:t>Para efectos de verificar los límites de concentración aplicables a las Contrapartes o Emisores establecidos en las Disposiciones de carácter general emitidas por las Comisión se deberán considerar los valores a mercado compensados de las operaciones con Derivados realizadas en mercados extrabursátiles con cada Contraparte, los valores a mercado de las operaciones de reporto y Préstamo de valores, celebradas con cada Contraparte, netos de las garantías que al efecto reciban, el valor de los depósitos en efectivo celebrados con cada Contraparte, así como los instrumentos emitidos por dicha Contraparte o emisor, de acuerdo a la siguiente fórmula:</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0225" cy="1038225"/>
            <wp:effectExtent l="0" t="0" r="9525" b="9525"/>
            <wp:docPr id="44" name="Imagen 44" descr="http://www.dof.gob.mx/imagenes_diarios/2018/11/16/MAT/shcp2a11_Cimg_91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11/16/MAT/shcp2a11_Cimg_9115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03822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i/>
          <w:iCs/>
          <w:sz w:val="20"/>
        </w:rPr>
        <w:t>Dónde:</w:t>
      </w:r>
    </w:p>
    <w:p w:rsidR="00CA63EE" w:rsidRPr="00CA63EE" w:rsidRDefault="00CA63EE" w:rsidP="00CA63EE">
      <w:pPr>
        <w:jc w:val="both"/>
        <w:rPr>
          <w:rFonts w:ascii="Verdana" w:hAnsi="Verdana"/>
          <w:bCs/>
          <w:sz w:val="20"/>
        </w:rPr>
      </w:pPr>
      <w:r w:rsidRPr="00CA63EE">
        <w:rPr>
          <w:rFonts w:ascii="Verdana" w:hAnsi="Verdana"/>
          <w:bCs/>
          <w:i/>
          <w:iCs/>
          <w:sz w:val="20"/>
        </w:rPr>
        <w:drawing>
          <wp:inline distT="0" distB="0" distL="0" distR="0">
            <wp:extent cx="381000" cy="133350"/>
            <wp:effectExtent l="0" t="0" r="0" b="0"/>
            <wp:docPr id="43" name="Imagen 43" descr="http://www.dof.gob.mx/imagenes_diarios/2018/11/16/MAT/shcp2a11_Cimg_918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11/16/MAT/shcp2a11_Cimg_9180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CA63EE">
        <w:rPr>
          <w:rFonts w:ascii="Verdana" w:hAnsi="Verdana"/>
          <w:bCs/>
          <w:i/>
          <w:iCs/>
          <w:sz w:val="20"/>
        </w:rPr>
        <w:t>Valor a mercado de las operaciones, autorizadas de conformidad con las reglas aplicables a cada Sociedad de Inversión, que deben computarse dentro de los límites para Contrapartes o Emisor, denotando al Emisor o Contraparte con el subíndice k. Este valor se obtiene de considerar las operaciones e inversiones realizadas con los Activos Administrados por la Sociedad de Inversión.</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114300" cy="114300"/>
            <wp:effectExtent l="0" t="0" r="0" b="0"/>
            <wp:docPr id="42" name="Imagen 42" descr="http://www.dof.gob.mx/imagenes_diarios/2018/11/16/MAT/shcp2a11_Cimg_919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11/16/MAT/shcp2a11_Cimg_9191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Denota el número total de emisiones en las que la Sociedad de Inversión invierte parte del activo que administra en Estructuras Vinculadas a Subyacentes o Instrumentos de Deuda o Valores Extranjeros de Deuda emitidos por el mismo emisor o bien, el número total de operaciones o depósitos bancarios que la Sociedad de Inversión efectúa con la misma Contraparte.</w:t>
      </w:r>
    </w:p>
    <w:p w:rsidR="00CA63EE" w:rsidRPr="00CA63EE" w:rsidRDefault="00CA63EE" w:rsidP="00CA63EE">
      <w:pPr>
        <w:jc w:val="both"/>
        <w:rPr>
          <w:rFonts w:ascii="Verdana" w:hAnsi="Verdana"/>
          <w:bCs/>
          <w:sz w:val="20"/>
        </w:rPr>
      </w:pPr>
      <w:r w:rsidRPr="00CA63EE">
        <w:rPr>
          <w:rFonts w:ascii="Verdana" w:hAnsi="Verdana"/>
          <w:bCs/>
          <w:i/>
          <w:iCs/>
          <w:sz w:val="20"/>
        </w:rPr>
        <w:drawing>
          <wp:inline distT="0" distB="0" distL="0" distR="0">
            <wp:extent cx="171450" cy="114300"/>
            <wp:effectExtent l="0" t="0" r="0" b="0"/>
            <wp:docPr id="41" name="Imagen 41" descr="http://www.dof.gob.mx/imagenes_diarios/2018/11/16/MAT/shcp2a11_Cimg_919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11/16/MAT/shcp2a11_Cimg_9196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CA63EE">
        <w:rPr>
          <w:rFonts w:ascii="Verdana" w:hAnsi="Verdana"/>
          <w:bCs/>
          <w:i/>
          <w:iCs/>
          <w:sz w:val="20"/>
        </w:rPr>
        <w:t>Denota el número total de operaciones de Derivados que la Sociedad de Inversión pacta con la misma Contraparte.</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95250" cy="123825"/>
            <wp:effectExtent l="0" t="0" r="0" b="9525"/>
            <wp:docPr id="40" name="Imagen 40" descr="http://www.dof.gob.mx/imagenes_diarios/2018/11/16/MAT/shcp2a11_Cimg_92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11/16/MAT/shcp2a11_Cimg_9202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CA63EE">
        <w:rPr>
          <w:rFonts w:ascii="Verdana" w:hAnsi="Verdana"/>
          <w:bCs/>
          <w:sz w:val="20"/>
        </w:rPr>
        <w:t>:</w:t>
      </w:r>
      <w:r w:rsidRPr="00CA63EE">
        <w:rPr>
          <w:rFonts w:ascii="Verdana" w:hAnsi="Verdana"/>
          <w:bCs/>
          <w:i/>
          <w:iCs/>
          <w:sz w:val="20"/>
        </w:rPr>
        <w:t> Denota el número total de operaciones con la misma Contraparte con los que la Sociedad de Inversión pacta operaciones de Préstamo de Valores o Reportos con el Activo Administrado por la</w:t>
      </w:r>
    </w:p>
    <w:p w:rsidR="00CA63EE" w:rsidRPr="00CA63EE" w:rsidRDefault="00CA63EE" w:rsidP="00CA63EE">
      <w:pPr>
        <w:jc w:val="both"/>
        <w:rPr>
          <w:rFonts w:ascii="Verdana" w:hAnsi="Verdana"/>
          <w:bCs/>
          <w:sz w:val="20"/>
        </w:rPr>
      </w:pPr>
      <w:r w:rsidRPr="00CA63EE">
        <w:rPr>
          <w:rFonts w:ascii="Verdana" w:hAnsi="Verdana"/>
          <w:bCs/>
          <w:i/>
          <w:iCs/>
          <w:sz w:val="20"/>
        </w:rPr>
        <w:t>Sociedad de Inversión.</w:t>
      </w:r>
    </w:p>
    <w:p w:rsidR="00CA63EE" w:rsidRPr="00CA63EE" w:rsidRDefault="00CA63EE" w:rsidP="00CA63EE">
      <w:pPr>
        <w:jc w:val="both"/>
        <w:rPr>
          <w:rFonts w:ascii="Verdana" w:hAnsi="Verdana"/>
          <w:bCs/>
          <w:sz w:val="20"/>
        </w:rPr>
      </w:pPr>
      <w:r w:rsidRPr="00CA63EE">
        <w:rPr>
          <w:rFonts w:ascii="Verdana" w:hAnsi="Verdana"/>
          <w:bCs/>
          <w:i/>
          <w:iCs/>
          <w:sz w:val="20"/>
        </w:rPr>
        <w:t>k= Denota la k-</w:t>
      </w:r>
      <w:proofErr w:type="spellStart"/>
      <w:r w:rsidRPr="00CA63EE">
        <w:rPr>
          <w:rFonts w:ascii="Verdana" w:hAnsi="Verdana"/>
          <w:bCs/>
          <w:i/>
          <w:iCs/>
          <w:sz w:val="20"/>
        </w:rPr>
        <w:t>ésima</w:t>
      </w:r>
      <w:proofErr w:type="spellEnd"/>
      <w:r w:rsidRPr="00CA63EE">
        <w:rPr>
          <w:rFonts w:ascii="Verdana" w:hAnsi="Verdana"/>
          <w:bCs/>
          <w:i/>
          <w:iCs/>
          <w:sz w:val="20"/>
        </w:rPr>
        <w:t xml:space="preserve"> Contraparte o Emisor.</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14325" cy="161925"/>
            <wp:effectExtent l="0" t="0" r="9525" b="9525"/>
            <wp:docPr id="39" name="Imagen 39" descr="http://www.dof.gob.mx/imagenes_diarios/2018/11/16/MAT/shcp2a11_Cimg_92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11/16/MAT/shcp2a11_Cimg_9207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 El valor a mercado del i-</w:t>
      </w:r>
      <w:proofErr w:type="spellStart"/>
      <w:r w:rsidRPr="00CA63EE">
        <w:rPr>
          <w:rFonts w:ascii="Verdana" w:hAnsi="Verdana"/>
          <w:bCs/>
          <w:i/>
          <w:iCs/>
          <w:sz w:val="20"/>
        </w:rPr>
        <w:t>ésimo</w:t>
      </w:r>
      <w:proofErr w:type="spellEnd"/>
      <w:r w:rsidRPr="00CA63EE">
        <w:rPr>
          <w:rFonts w:ascii="Verdana" w:hAnsi="Verdana"/>
          <w:bCs/>
          <w:i/>
          <w:iCs/>
          <w:sz w:val="20"/>
        </w:rPr>
        <w:t xml:space="preserve"> instrumento del k-</w:t>
      </w:r>
      <w:proofErr w:type="spellStart"/>
      <w:r w:rsidRPr="00CA63EE">
        <w:rPr>
          <w:rFonts w:ascii="Verdana" w:hAnsi="Verdana"/>
          <w:bCs/>
          <w:i/>
          <w:iCs/>
          <w:sz w:val="20"/>
        </w:rPr>
        <w:t>ésimo</w:t>
      </w:r>
      <w:proofErr w:type="spellEnd"/>
      <w:r w:rsidRPr="00CA63EE">
        <w:rPr>
          <w:rFonts w:ascii="Verdana" w:hAnsi="Verdana"/>
          <w:bCs/>
          <w:i/>
          <w:iCs/>
          <w:sz w:val="20"/>
        </w:rPr>
        <w:t xml:space="preserve"> Emisor. Dichos instrumentos pueden ser Instrumentos de Deuda, Valores Extranjeros de Deuda o depósitos bancarios.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33375" cy="180975"/>
            <wp:effectExtent l="0" t="0" r="9525" b="9525"/>
            <wp:docPr id="38" name="Imagen 38" descr="http://www.dof.gob.mx/imagenes_diarios/2018/11/16/MAT/shcp2a11_Cimg_92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11/16/MAT/shcp2a11_Cimg_9217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 xml:space="preserve">= El valor </w:t>
      </w:r>
      <w:proofErr w:type="gramStart"/>
      <w:r w:rsidRPr="00CA63EE">
        <w:rPr>
          <w:rFonts w:ascii="Verdana" w:hAnsi="Verdana"/>
          <w:bCs/>
          <w:i/>
          <w:iCs/>
          <w:sz w:val="20"/>
        </w:rPr>
        <w:t>a</w:t>
      </w:r>
      <w:proofErr w:type="gramEnd"/>
      <w:r w:rsidRPr="00CA63EE">
        <w:rPr>
          <w:rFonts w:ascii="Verdana" w:hAnsi="Verdana"/>
          <w:bCs/>
          <w:i/>
          <w:iCs/>
          <w:sz w:val="20"/>
        </w:rPr>
        <w:t xml:space="preserve"> mercado de la j-</w:t>
      </w:r>
      <w:proofErr w:type="spellStart"/>
      <w:r w:rsidRPr="00CA63EE">
        <w:rPr>
          <w:rFonts w:ascii="Verdana" w:hAnsi="Verdana"/>
          <w:bCs/>
          <w:i/>
          <w:iCs/>
          <w:sz w:val="20"/>
        </w:rPr>
        <w:t>ésima</w:t>
      </w:r>
      <w:proofErr w:type="spellEnd"/>
      <w:r w:rsidRPr="00CA63EE">
        <w:rPr>
          <w:rFonts w:ascii="Verdana" w:hAnsi="Verdana"/>
          <w:bCs/>
          <w:i/>
          <w:iCs/>
          <w:sz w:val="20"/>
        </w:rPr>
        <w:t xml:space="preserve"> operación de Derivados autorizados, efectuada con la k-</w:t>
      </w:r>
      <w:proofErr w:type="spellStart"/>
      <w:r w:rsidRPr="00CA63EE">
        <w:rPr>
          <w:rFonts w:ascii="Verdana" w:hAnsi="Verdana"/>
          <w:bCs/>
          <w:i/>
          <w:iCs/>
          <w:sz w:val="20"/>
        </w:rPr>
        <w:t>ésima</w:t>
      </w:r>
      <w:proofErr w:type="spellEnd"/>
      <w:r w:rsidRPr="00CA63EE">
        <w:rPr>
          <w:rFonts w:ascii="Verdana" w:hAnsi="Verdana"/>
          <w:bCs/>
          <w:i/>
          <w:iCs/>
          <w:sz w:val="20"/>
        </w:rPr>
        <w:t xml:space="preserve"> Contraparte.</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23850" cy="161925"/>
            <wp:effectExtent l="0" t="0" r="0" b="9525"/>
            <wp:docPr id="37" name="Imagen 37" descr="http://www.dof.gob.mx/imagenes_diarios/2018/11/16/MAT/shcp2a11_Cimg_922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11/16/MAT/shcp2a11_Cimg_922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 El valor a mercado de la p-</w:t>
      </w:r>
      <w:proofErr w:type="spellStart"/>
      <w:r w:rsidRPr="00CA63EE">
        <w:rPr>
          <w:rFonts w:ascii="Verdana" w:hAnsi="Verdana"/>
          <w:bCs/>
          <w:i/>
          <w:iCs/>
          <w:sz w:val="20"/>
        </w:rPr>
        <w:t>ésima</w:t>
      </w:r>
      <w:proofErr w:type="spellEnd"/>
      <w:r w:rsidRPr="00CA63EE">
        <w:rPr>
          <w:rFonts w:ascii="Verdana" w:hAnsi="Verdana"/>
          <w:bCs/>
          <w:i/>
          <w:iCs/>
          <w:sz w:val="20"/>
        </w:rPr>
        <w:t xml:space="preserve"> operación de Reporto o Préstamo de Valores, efectuada con la k-</w:t>
      </w:r>
      <w:proofErr w:type="spellStart"/>
      <w:r w:rsidRPr="00CA63EE">
        <w:rPr>
          <w:rFonts w:ascii="Verdana" w:hAnsi="Verdana"/>
          <w:bCs/>
          <w:i/>
          <w:iCs/>
          <w:sz w:val="20"/>
        </w:rPr>
        <w:t>ésima</w:t>
      </w:r>
      <w:proofErr w:type="spellEnd"/>
      <w:r w:rsidRPr="00CA63EE">
        <w:rPr>
          <w:rFonts w:ascii="Verdana" w:hAnsi="Verdana"/>
          <w:bCs/>
          <w:i/>
          <w:iCs/>
          <w:sz w:val="20"/>
        </w:rPr>
        <w:t xml:space="preserve"> Contraparte.</w:t>
      </w:r>
    </w:p>
    <w:p w:rsidR="00CA63EE" w:rsidRPr="00CA63EE" w:rsidRDefault="00CA63EE" w:rsidP="00CA63EE">
      <w:pPr>
        <w:jc w:val="both"/>
        <w:rPr>
          <w:rFonts w:ascii="Verdana" w:hAnsi="Verdana"/>
          <w:bCs/>
          <w:sz w:val="20"/>
        </w:rPr>
      </w:pPr>
      <w:r w:rsidRPr="00CA63EE">
        <w:rPr>
          <w:rFonts w:ascii="Verdana" w:hAnsi="Verdana"/>
          <w:bCs/>
          <w:i/>
          <w:iCs/>
          <w:sz w:val="20"/>
        </w:rPr>
        <w:drawing>
          <wp:inline distT="0" distB="0" distL="0" distR="0">
            <wp:extent cx="247650" cy="142875"/>
            <wp:effectExtent l="0" t="0" r="0" b="9525"/>
            <wp:docPr id="36" name="Imagen 36" descr="http://www.dof.gob.mx/imagenes_diarios/2018/11/16/MAT/shcp2a11_Cimg_92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11/16/MAT/shcp2a11_Cimg_9239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 Garantías totales aportadas por la k-</w:t>
      </w:r>
      <w:proofErr w:type="spellStart"/>
      <w:r w:rsidRPr="00CA63EE">
        <w:rPr>
          <w:rFonts w:ascii="Verdana" w:hAnsi="Verdana"/>
          <w:bCs/>
          <w:i/>
          <w:iCs/>
          <w:sz w:val="20"/>
        </w:rPr>
        <w:t>ésima</w:t>
      </w:r>
      <w:proofErr w:type="spellEnd"/>
      <w:r w:rsidRPr="00CA63EE">
        <w:rPr>
          <w:rFonts w:ascii="Verdana" w:hAnsi="Verdana"/>
          <w:bCs/>
          <w:i/>
          <w:iCs/>
          <w:sz w:val="20"/>
        </w:rPr>
        <w:t xml:space="preserve"> Contraparte en operaciones de Instrumentos Financieros Derivados.</w:t>
      </w:r>
    </w:p>
    <w:p w:rsidR="00CA63EE" w:rsidRPr="00CA63EE" w:rsidRDefault="00CA63EE" w:rsidP="00CA63EE">
      <w:pPr>
        <w:jc w:val="both"/>
        <w:rPr>
          <w:rFonts w:ascii="Verdana" w:hAnsi="Verdana"/>
          <w:bCs/>
          <w:sz w:val="20"/>
        </w:rPr>
      </w:pPr>
      <w:r w:rsidRPr="00CA63EE">
        <w:rPr>
          <w:rFonts w:ascii="Verdana" w:hAnsi="Verdana"/>
          <w:bCs/>
          <w:i/>
          <w:iCs/>
          <w:sz w:val="20"/>
        </w:rPr>
        <w:drawing>
          <wp:inline distT="0" distB="0" distL="0" distR="0">
            <wp:extent cx="257175" cy="161925"/>
            <wp:effectExtent l="0" t="0" r="9525" b="9525"/>
            <wp:docPr id="35" name="Imagen 35" descr="http://www.dof.gob.mx/imagenes_diarios/2018/11/16/MAT/shcp2a11_Cimg_924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11/16/MAT/shcp2a11_Cimg_92473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A63EE">
        <w:rPr>
          <w:rFonts w:ascii="Verdana" w:hAnsi="Verdana"/>
          <w:bCs/>
          <w:sz w:val="20"/>
        </w:rPr>
        <w:t>     </w:t>
      </w:r>
      <w:r w:rsidRPr="00CA63EE">
        <w:rPr>
          <w:rFonts w:ascii="Verdana" w:hAnsi="Verdana"/>
          <w:bCs/>
          <w:i/>
          <w:iCs/>
          <w:sz w:val="20"/>
        </w:rPr>
        <w:t>= Garantías totales aportadas por la k-</w:t>
      </w:r>
      <w:proofErr w:type="spellStart"/>
      <w:r w:rsidRPr="00CA63EE">
        <w:rPr>
          <w:rFonts w:ascii="Verdana" w:hAnsi="Verdana"/>
          <w:bCs/>
          <w:i/>
          <w:iCs/>
          <w:sz w:val="20"/>
        </w:rPr>
        <w:t>ésima</w:t>
      </w:r>
      <w:proofErr w:type="spellEnd"/>
      <w:r w:rsidRPr="00CA63EE">
        <w:rPr>
          <w:rFonts w:ascii="Verdana" w:hAnsi="Verdana"/>
          <w:bCs/>
          <w:i/>
          <w:iCs/>
          <w:sz w:val="20"/>
        </w:rPr>
        <w:t xml:space="preserve"> Contraparte en la p-</w:t>
      </w:r>
      <w:proofErr w:type="spellStart"/>
      <w:r w:rsidRPr="00CA63EE">
        <w:rPr>
          <w:rFonts w:ascii="Verdana" w:hAnsi="Verdana"/>
          <w:bCs/>
          <w:i/>
          <w:iCs/>
          <w:sz w:val="20"/>
        </w:rPr>
        <w:t>ésima</w:t>
      </w:r>
      <w:proofErr w:type="spellEnd"/>
      <w:r w:rsidRPr="00CA63EE">
        <w:rPr>
          <w:rFonts w:ascii="Verdana" w:hAnsi="Verdana"/>
          <w:bCs/>
          <w:i/>
          <w:iCs/>
          <w:sz w:val="20"/>
        </w:rPr>
        <w:t xml:space="preserve"> operación de Reporto o Préstamo de Valores.</w:t>
      </w:r>
    </w:p>
    <w:p w:rsidR="00CA63EE" w:rsidRPr="00CA63EE" w:rsidRDefault="00CA63EE" w:rsidP="00CA63EE">
      <w:pPr>
        <w:jc w:val="both"/>
        <w:rPr>
          <w:rFonts w:ascii="Verdana" w:hAnsi="Verdana"/>
          <w:bCs/>
          <w:sz w:val="20"/>
        </w:rPr>
      </w:pPr>
      <w:r w:rsidRPr="00CA63EE">
        <w:rPr>
          <w:rFonts w:ascii="Verdana" w:hAnsi="Verdana"/>
          <w:bCs/>
          <w:sz w:val="20"/>
        </w:rPr>
        <w:lastRenderedPageBreak/>
        <w:t>Nótese que para los cálculos descritos en el presente Anexo se considerará el valor a mercado de las operaciones correspondientes.</w:t>
      </w:r>
    </w:p>
    <w:p w:rsidR="00CA63EE" w:rsidRPr="00CA63EE" w:rsidRDefault="00CA63EE" w:rsidP="00CA63EE">
      <w:pPr>
        <w:jc w:val="both"/>
        <w:rPr>
          <w:rFonts w:ascii="Verdana" w:hAnsi="Verdana"/>
          <w:bCs/>
          <w:sz w:val="20"/>
        </w:rPr>
      </w:pPr>
      <w:r w:rsidRPr="00CA63EE">
        <w:rPr>
          <w:rFonts w:ascii="Verdana" w:hAnsi="Verdana"/>
          <w:bCs/>
          <w:sz w:val="20"/>
        </w:rPr>
        <w:t>La fórmula </w:t>
      </w:r>
      <w:r w:rsidRPr="00CA63EE">
        <w:rPr>
          <w:rFonts w:ascii="Verdana" w:hAnsi="Verdana"/>
          <w:bCs/>
          <w:sz w:val="20"/>
        </w:rPr>
        <w:drawing>
          <wp:inline distT="0" distB="0" distL="0" distR="0">
            <wp:extent cx="219075" cy="142875"/>
            <wp:effectExtent l="0" t="0" r="9525" b="9525"/>
            <wp:docPr id="34" name="Imagen 34" descr="http://www.dof.gob.mx/imagenes_diarios/2018/11/16/MAT/shcp2a11_Cimg_925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8/11/16/MAT/shcp2a11_Cimg_9256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A63EE">
        <w:rPr>
          <w:rFonts w:ascii="Verdana" w:hAnsi="Verdana"/>
          <w:bCs/>
          <w:sz w:val="20"/>
        </w:rPr>
        <w:t> se empleará para determinar el cumplimiento de los límites de concentración previsto en las Disposiciones de carácter general que establecen el régimen de inversión al que deberán sujetarse las Sociedades de Inversión. Por lo anterior se considerarán únicamente los Activos Objeto de Inversión y las Contrapartes que correspondan a los límites de calificación crediticia que se evalúen.</w:t>
      </w:r>
    </w:p>
    <w:p w:rsidR="00CA63EE" w:rsidRPr="00CA63EE" w:rsidRDefault="00CA63EE" w:rsidP="00CA63EE">
      <w:pPr>
        <w:jc w:val="both"/>
        <w:rPr>
          <w:rFonts w:ascii="Verdana" w:hAnsi="Verdana"/>
          <w:bCs/>
          <w:sz w:val="20"/>
        </w:rPr>
      </w:pPr>
      <w:r w:rsidRPr="00CA63EE">
        <w:rPr>
          <w:rFonts w:ascii="Verdana" w:hAnsi="Verdana"/>
          <w:bCs/>
          <w:sz w:val="20"/>
        </w:rPr>
        <w:t>Para el caso de operaciones con Contrapartes locales que liquiden en monedas distintas a la moneda nacional o a la UDI les aplicará el nivel de calificación crediticia prevista en las Disposiciones de carácter general que establecen el régimen de inversión al que deberán sujetarse las Sociedades de Inversión para Valores Extranjeros y para Contrapartes Extranjeras.</w:t>
      </w:r>
    </w:p>
    <w:p w:rsidR="00CA63EE" w:rsidRPr="00CA63EE" w:rsidRDefault="00CA63EE" w:rsidP="00CA63EE">
      <w:pPr>
        <w:jc w:val="both"/>
        <w:rPr>
          <w:rFonts w:ascii="Verdana" w:hAnsi="Verdana"/>
          <w:bCs/>
          <w:sz w:val="20"/>
        </w:rPr>
      </w:pPr>
      <w:r w:rsidRPr="00CA63EE">
        <w:rPr>
          <w:rFonts w:ascii="Verdana" w:hAnsi="Verdana"/>
          <w:bCs/>
          <w:sz w:val="20"/>
        </w:rPr>
        <w:t>Para determinar el cumplimiento de los límites de concentración por Contraparte cuando ésta involucra más de una calificación crediticia, después de haber aplicado la fórmula </w:t>
      </w:r>
      <w:r w:rsidRPr="00CA63EE">
        <w:rPr>
          <w:rFonts w:ascii="Verdana" w:hAnsi="Verdana"/>
          <w:bCs/>
          <w:sz w:val="20"/>
        </w:rPr>
        <w:drawing>
          <wp:inline distT="0" distB="0" distL="0" distR="0">
            <wp:extent cx="219075" cy="142875"/>
            <wp:effectExtent l="0" t="0" r="9525" b="9525"/>
            <wp:docPr id="33" name="Imagen 33" descr="http://www.dof.gob.mx/imagenes_diarios/2018/11/16/MAT/shcp2a11_Cimg_926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8/11/16/MAT/shcp2a11_Cimg_9264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A63EE">
        <w:rPr>
          <w:rFonts w:ascii="Verdana" w:hAnsi="Verdana"/>
          <w:bCs/>
          <w:sz w:val="20"/>
        </w:rPr>
        <w:t> a cada nivel de calificación se agregarán los totales de cada nivel para verificar el cumplimiento de los límites consolidados previstos en la normatividad.</w:t>
      </w:r>
    </w:p>
    <w:p w:rsidR="00CA63EE" w:rsidRPr="00CA63EE" w:rsidRDefault="00CA63EE" w:rsidP="00CA63EE">
      <w:pPr>
        <w:jc w:val="both"/>
        <w:rPr>
          <w:rFonts w:ascii="Verdana" w:hAnsi="Verdana"/>
          <w:bCs/>
          <w:sz w:val="20"/>
        </w:rPr>
      </w:pPr>
      <w:r w:rsidRPr="00CA63EE">
        <w:rPr>
          <w:rFonts w:ascii="Verdana" w:hAnsi="Verdana"/>
          <w:bCs/>
          <w:sz w:val="20"/>
        </w:rPr>
        <w:t>Los límites de concentración a cada Contraparte o Emisor se expresarán como porcentaje del Activo Administrado por la Sociedad de Inversión. Este factor será uno de los términos con que se conformará el promedio ponderado, mencionado en la fracción anterior con que se verificará el cumplimiento de los límites de concentración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III. Consumo a límite de Emisor o Contraparte a través del Activo Administrado por los Mandatarios</w:t>
      </w:r>
    </w:p>
    <w:p w:rsidR="00CA63EE" w:rsidRPr="00CA63EE" w:rsidRDefault="00CA63EE" w:rsidP="00CA63EE">
      <w:pPr>
        <w:jc w:val="both"/>
        <w:rPr>
          <w:rFonts w:ascii="Verdana" w:hAnsi="Verdana"/>
          <w:bCs/>
          <w:sz w:val="20"/>
        </w:rPr>
      </w:pPr>
      <w:r w:rsidRPr="00CA63EE">
        <w:rPr>
          <w:rFonts w:ascii="Verdana" w:hAnsi="Verdana"/>
          <w:bCs/>
          <w:sz w:val="20"/>
        </w:rPr>
        <w:t>Para realizar el cálculo del valor a mercado de la concentración que mantiene el Activo Administrado por cada Mandatario, en valores y operaciones de un mismo emisor o Contraparte, se deberá apegar a lo siguiente:</w:t>
      </w:r>
    </w:p>
    <w:p w:rsidR="00CA63EE" w:rsidRPr="00CA63EE" w:rsidRDefault="00CA63EE" w:rsidP="00CA63EE">
      <w:pPr>
        <w:jc w:val="both"/>
        <w:rPr>
          <w:rFonts w:ascii="Verdana" w:hAnsi="Verdana"/>
          <w:bCs/>
          <w:sz w:val="20"/>
        </w:rPr>
      </w:pPr>
      <w:r w:rsidRPr="00CA63EE">
        <w:rPr>
          <w:rFonts w:ascii="Verdana" w:hAnsi="Verdana"/>
          <w:bCs/>
          <w:sz w:val="20"/>
        </w:rPr>
        <w:t>La fórmula </w:t>
      </w:r>
      <w:r w:rsidRPr="00CA63EE">
        <w:rPr>
          <w:rFonts w:ascii="Verdana" w:hAnsi="Verdana"/>
          <w:bCs/>
          <w:sz w:val="20"/>
        </w:rPr>
        <w:drawing>
          <wp:inline distT="0" distB="0" distL="0" distR="0">
            <wp:extent cx="219075" cy="142875"/>
            <wp:effectExtent l="0" t="0" r="9525" b="9525"/>
            <wp:docPr id="32" name="Imagen 32" descr="http://www.dof.gob.mx/imagenes_diarios/2018/11/16/MAT/shcp2a11_Cimg_927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8/11/16/MAT/shcp2a11_Cimg_9271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A63EE">
        <w:rPr>
          <w:rFonts w:ascii="Verdana" w:hAnsi="Verdana"/>
          <w:bCs/>
          <w:sz w:val="20"/>
        </w:rPr>
        <w:t> se aplicará a las operaciones que se realicen con el Activo Administrado por cada Mandatario que en su caso contraten las Sociedades de Inversión.</w:t>
      </w:r>
    </w:p>
    <w:p w:rsidR="00CA63EE" w:rsidRPr="00CA63EE" w:rsidRDefault="00CA63EE" w:rsidP="00CA63EE">
      <w:pPr>
        <w:jc w:val="both"/>
        <w:rPr>
          <w:rFonts w:ascii="Verdana" w:hAnsi="Verdana"/>
          <w:bCs/>
          <w:sz w:val="20"/>
        </w:rPr>
      </w:pPr>
      <w:r w:rsidRPr="00CA63EE">
        <w:rPr>
          <w:rFonts w:ascii="Verdana" w:hAnsi="Verdana"/>
          <w:bCs/>
          <w:sz w:val="20"/>
        </w:rPr>
        <w:t>Los porcentajes que se deriven del cómputo previsto en el párrafo anterior deberán observar los límites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
          <w:bCs/>
          <w:sz w:val="20"/>
        </w:rPr>
        <w:t>IV. Consumo a límite de Emisor o Contraparte a través del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El monto de concentración en cada Contraparte o emisor obtenido de las operaciones con Activos Administrados por cada Mandatario se expresará como porcentaje del Activo Administrado que corresponda a cada Mandatario. Cada uno de estos porcentajes conformarán los elementos para definir el promedio ponderado, mencionado en la fracción anterior con que se verificará el</w:t>
      </w:r>
    </w:p>
    <w:p w:rsidR="00CA63EE" w:rsidRPr="00CA63EE" w:rsidRDefault="00CA63EE" w:rsidP="00CA63EE">
      <w:pPr>
        <w:jc w:val="both"/>
        <w:rPr>
          <w:rFonts w:ascii="Verdana" w:hAnsi="Verdana"/>
          <w:bCs/>
          <w:sz w:val="20"/>
        </w:rPr>
      </w:pPr>
      <w:proofErr w:type="gramStart"/>
      <w:r w:rsidRPr="00CA63EE">
        <w:rPr>
          <w:rFonts w:ascii="Verdana" w:hAnsi="Verdana"/>
          <w:bCs/>
          <w:sz w:val="20"/>
        </w:rPr>
        <w:lastRenderedPageBreak/>
        <w:t>cumplimiento</w:t>
      </w:r>
      <w:proofErr w:type="gramEnd"/>
      <w:r w:rsidRPr="00CA63EE">
        <w:rPr>
          <w:rFonts w:ascii="Verdana" w:hAnsi="Verdana"/>
          <w:bCs/>
          <w:sz w:val="20"/>
        </w:rPr>
        <w:t xml:space="preserve"> de los límites de concentración previstos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
          <w:bCs/>
          <w:sz w:val="20"/>
        </w:rPr>
      </w:pPr>
      <w:r w:rsidRPr="00CA63EE">
        <w:rPr>
          <w:rFonts w:ascii="Verdana" w:hAnsi="Verdana"/>
          <w:b/>
          <w:bCs/>
          <w:sz w:val="20"/>
        </w:rPr>
        <w:t>ANEXO H</w:t>
      </w:r>
    </w:p>
    <w:p w:rsidR="00CA63EE" w:rsidRPr="00CA63EE" w:rsidRDefault="00CA63EE" w:rsidP="00CA63EE">
      <w:pPr>
        <w:jc w:val="both"/>
        <w:rPr>
          <w:rFonts w:ascii="Verdana" w:hAnsi="Verdana"/>
          <w:bCs/>
          <w:sz w:val="20"/>
        </w:rPr>
      </w:pPr>
      <w:r w:rsidRPr="00CA63EE">
        <w:rPr>
          <w:rFonts w:ascii="Verdana" w:hAnsi="Verdana"/>
          <w:b/>
          <w:bCs/>
          <w:sz w:val="20"/>
        </w:rPr>
        <w:t>Metodología para calcular la exposición de la Sociedad de Inversión a Activos Objeto de Inversión</w:t>
      </w:r>
      <w:r w:rsidRPr="00CA63EE">
        <w:rPr>
          <w:rFonts w:ascii="Verdana" w:hAnsi="Verdana"/>
          <w:bCs/>
          <w:sz w:val="20"/>
        </w:rPr>
        <w:br/>
      </w:r>
      <w:r w:rsidRPr="00CA63EE">
        <w:rPr>
          <w:rFonts w:ascii="Verdana" w:hAnsi="Verdana"/>
          <w:b/>
          <w:bCs/>
          <w:sz w:val="20"/>
        </w:rPr>
        <w:t>denominado en Unidades de Inversión (UDI) o que sus intereses garanticen un rendimiento igual o</w:t>
      </w:r>
      <w:r w:rsidRPr="00CA63EE">
        <w:rPr>
          <w:rFonts w:ascii="Verdana" w:hAnsi="Verdana"/>
          <w:bCs/>
          <w:sz w:val="20"/>
        </w:rPr>
        <w:br/>
      </w:r>
      <w:r w:rsidRPr="00CA63EE">
        <w:rPr>
          <w:rFonts w:ascii="Verdana" w:hAnsi="Verdana"/>
          <w:b/>
          <w:bCs/>
          <w:sz w:val="20"/>
        </w:rPr>
        <w:t>mayor a la UDI o al Índice Nacional de Precios al Consumidor</w:t>
      </w:r>
    </w:p>
    <w:p w:rsidR="00CA63EE" w:rsidRPr="00CA63EE" w:rsidRDefault="00CA63EE" w:rsidP="00CA63EE">
      <w:pPr>
        <w:jc w:val="both"/>
        <w:rPr>
          <w:rFonts w:ascii="Verdana" w:hAnsi="Verdana"/>
          <w:bCs/>
          <w:sz w:val="20"/>
        </w:rPr>
      </w:pPr>
      <w:r w:rsidRPr="00CA63EE">
        <w:rPr>
          <w:rFonts w:ascii="Verdana" w:hAnsi="Verdana"/>
          <w:bCs/>
          <w:sz w:val="20"/>
        </w:rPr>
        <w:t>Los siguientes criterios se aplicarán para efectos de verificar el cumplimiento de los límites referidos a las posiciones que las Sociedades de Inversión deberán mantener Activos Objeto de Inversión que estén denominados en Unidades de Inversión (UDI) o en aquéllos que sus intereses garanticen un rendimiento igual o mayor a la UDI o al Índice Nacional de Precios al Consumidor.</w:t>
      </w:r>
    </w:p>
    <w:p w:rsidR="00CA63EE" w:rsidRPr="00CA63EE" w:rsidRDefault="00CA63EE" w:rsidP="00CA63EE">
      <w:pPr>
        <w:jc w:val="both"/>
        <w:rPr>
          <w:rFonts w:ascii="Verdana" w:hAnsi="Verdana"/>
          <w:bCs/>
          <w:sz w:val="20"/>
        </w:rPr>
      </w:pPr>
      <w:r w:rsidRPr="00CA63EE">
        <w:rPr>
          <w:rFonts w:ascii="Verdana" w:hAnsi="Verdana"/>
          <w:bCs/>
          <w:sz w:val="20"/>
        </w:rPr>
        <w:t>I.     Se considerará la suma de las posiciones que mantenga el Activo Administrado por la Sociedad de Inversión más las posiciones que mantenga el Activo Administrado por cada uno de los Mandatarios. Las posiciones antes referidas se considerarán de manera independiente, es decir, sin realizar compensaciones entre las posiciones que se mantengan con el Activo Administrado por cada Mandatario ni con las posiciones del Activo Administrado por la Sociedad de Inversión. El cómputo se realizará de la siguiente manera:</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2952750" cy="390525"/>
            <wp:effectExtent l="0" t="0" r="0" b="9525"/>
            <wp:docPr id="31" name="Imagen 31" descr="http://www.dof.gob.mx/imagenes_diarios/2018/11/16/MAT/shcp2a11_Cimg_927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8/11/16/MAT/shcp2a11_Cimg_9279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9052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Dónde:</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971550" cy="152400"/>
            <wp:effectExtent l="0" t="0" r="0" b="0"/>
            <wp:docPr id="30" name="Imagen 30" descr="http://www.dof.gob.mx/imagenes_diarios/2018/11/16/MAT/shcp2a11_Cimg_930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8/11/16/MAT/shcp2a11_Cimg_93044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152400"/>
                    </a:xfrm>
                    <a:prstGeom prst="rect">
                      <a:avLst/>
                    </a:prstGeom>
                    <a:noFill/>
                    <a:ln>
                      <a:noFill/>
                    </a:ln>
                  </pic:spPr>
                </pic:pic>
              </a:graphicData>
            </a:graphic>
          </wp:inline>
        </w:drawing>
      </w:r>
      <w:r w:rsidRPr="00CA63EE">
        <w:rPr>
          <w:rFonts w:ascii="Verdana" w:hAnsi="Verdana"/>
          <w:bCs/>
          <w:sz w:val="20"/>
        </w:rPr>
        <w:t>: El porcentaje total de activos Objeto de Inversión denominados en Unidades de Inversión (UDI) o aquéllos cuyos intereses garantizan un rendimiento igual o mayor a la UDI o al Índice Nacional de Precios al Consumidor, con respecto a los Activos Totales de la Sociedad de Inversión.</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90525" cy="133350"/>
            <wp:effectExtent l="0" t="0" r="9525" b="0"/>
            <wp:docPr id="29" name="Imagen 29" descr="http://www.dof.gob.mx/imagenes_diarios/2018/11/16/MAT/shcp2a11_Cimg_932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8/11/16/MAT/shcp2a11_Cimg_9324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CA63EE">
        <w:rPr>
          <w:rFonts w:ascii="Verdana" w:hAnsi="Verdana"/>
          <w:bCs/>
          <w:sz w:val="20"/>
        </w:rPr>
        <w:t xml:space="preserve">: El valor de la posición de Activos Objeto de Inversión que estén denominados en Unidades de Inversión (UDI) o sus intereses garanticen un rendimiento igual o mayor a la UDI o al Índice Nacional de Precios al Consumidor que formen parte del Activo Administrado por la Sociedad de Inversión. Este valor no podrá ser negativo cuando se trate del Activo Administrado por la Sociedad de Inversión Básica 1, es decir, el Activo Administrado por dicha Sociedad de Inversión no podrá mantener una posición neta corta en los subyacentes descritos en la presente definición. Cabe señalar que para determinar la exposición del Activo Administrado por la Sociedad de Inversión en cuestión, a los subyacentes referidos en esta definición, se </w:t>
      </w:r>
      <w:proofErr w:type="spellStart"/>
      <w:r w:rsidRPr="00CA63EE">
        <w:rPr>
          <w:rFonts w:ascii="Verdana" w:hAnsi="Verdana"/>
          <w:bCs/>
          <w:sz w:val="20"/>
        </w:rPr>
        <w:t>netearán</w:t>
      </w:r>
      <w:proofErr w:type="spellEnd"/>
      <w:r w:rsidRPr="00CA63EE">
        <w:rPr>
          <w:rFonts w:ascii="Verdana" w:hAnsi="Verdana"/>
          <w:bCs/>
          <w:sz w:val="20"/>
        </w:rPr>
        <w:t> las posiciones cortas y largas.</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342900" cy="133350"/>
            <wp:effectExtent l="0" t="0" r="0" b="0"/>
            <wp:docPr id="28" name="Imagen 28" descr="http://www.dof.gob.mx/imagenes_diarios/2018/11/16/MAT/shcp2a11_Cimg_93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8/11/16/MAT/shcp2a11_Cimg_9335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r w:rsidRPr="00CA63EE">
        <w:rPr>
          <w:rFonts w:ascii="Verdana" w:hAnsi="Verdana"/>
          <w:bCs/>
          <w:sz w:val="20"/>
        </w:rPr>
        <w:t>: El valor de la posición de Activos Objeto de Inversión que estén denominados en Unidades de Inversión (UDI) o sus intereses garanticen un rendimiento igual o mayor a la UDI o al Índice Nacional de Precios al Consumidor que formen parte del Activo Administrado por el i-</w:t>
      </w:r>
      <w:proofErr w:type="spellStart"/>
      <w:r w:rsidRPr="00CA63EE">
        <w:rPr>
          <w:rFonts w:ascii="Verdana" w:hAnsi="Verdana"/>
          <w:bCs/>
          <w:sz w:val="20"/>
        </w:rPr>
        <w:t>ésimo</w:t>
      </w:r>
      <w:proofErr w:type="spellEnd"/>
      <w:r w:rsidRPr="00CA63EE">
        <w:rPr>
          <w:rFonts w:ascii="Verdana" w:hAnsi="Verdana"/>
          <w:bCs/>
          <w:sz w:val="20"/>
        </w:rPr>
        <w:t xml:space="preserve"> Mandatario contratado por la Sociedad de Inversión. Este valor no podrá ser negativo cuando se trate del Activo Administrado por la Sociedad de Inversión Básica 1, es decir, el Activo Administrado por el i-</w:t>
      </w:r>
      <w:proofErr w:type="spellStart"/>
      <w:r w:rsidRPr="00CA63EE">
        <w:rPr>
          <w:rFonts w:ascii="Verdana" w:hAnsi="Verdana"/>
          <w:bCs/>
          <w:sz w:val="20"/>
        </w:rPr>
        <w:t>ésimo</w:t>
      </w:r>
      <w:proofErr w:type="spellEnd"/>
      <w:r w:rsidRPr="00CA63EE">
        <w:rPr>
          <w:rFonts w:ascii="Verdana" w:hAnsi="Verdana"/>
          <w:bCs/>
          <w:sz w:val="20"/>
        </w:rPr>
        <w:t xml:space="preserve"> Mandatario a nombre dicha Sociedad de Inversión no </w:t>
      </w:r>
      <w:proofErr w:type="spellStart"/>
      <w:r w:rsidRPr="00CA63EE">
        <w:rPr>
          <w:rFonts w:ascii="Verdana" w:hAnsi="Verdana"/>
          <w:bCs/>
          <w:sz w:val="20"/>
        </w:rPr>
        <w:t>podrámantener</w:t>
      </w:r>
      <w:proofErr w:type="spellEnd"/>
      <w:r w:rsidRPr="00CA63EE">
        <w:rPr>
          <w:rFonts w:ascii="Verdana" w:hAnsi="Verdana"/>
          <w:bCs/>
          <w:sz w:val="20"/>
        </w:rPr>
        <w:t xml:space="preserve"> una posición neta corta en los subyacentes descritos en la presente definición. Cabe señalar que para determinar la exposición del Activo Administrado por el i-</w:t>
      </w:r>
      <w:proofErr w:type="spellStart"/>
      <w:r w:rsidRPr="00CA63EE">
        <w:rPr>
          <w:rFonts w:ascii="Verdana" w:hAnsi="Verdana"/>
          <w:bCs/>
          <w:sz w:val="20"/>
        </w:rPr>
        <w:t>ésimo</w:t>
      </w:r>
      <w:proofErr w:type="spellEnd"/>
      <w:r w:rsidRPr="00CA63EE">
        <w:rPr>
          <w:rFonts w:ascii="Verdana" w:hAnsi="Verdana"/>
          <w:bCs/>
          <w:sz w:val="20"/>
        </w:rPr>
        <w:t xml:space="preserve"> Mandatario a los subyacentes referidos en esta definición se </w:t>
      </w:r>
      <w:proofErr w:type="spellStart"/>
      <w:r w:rsidRPr="00CA63EE">
        <w:rPr>
          <w:rFonts w:ascii="Verdana" w:hAnsi="Verdana"/>
          <w:bCs/>
          <w:sz w:val="20"/>
        </w:rPr>
        <w:t>netearán</w:t>
      </w:r>
      <w:proofErr w:type="spellEnd"/>
      <w:r w:rsidRPr="00CA63EE">
        <w:rPr>
          <w:rFonts w:ascii="Verdana" w:hAnsi="Verdana"/>
          <w:bCs/>
          <w:sz w:val="20"/>
        </w:rPr>
        <w:t xml:space="preserve"> las posiciones cortas y largas.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161925" cy="142875"/>
            <wp:effectExtent l="0" t="0" r="9525" b="9525"/>
            <wp:docPr id="27" name="Imagen 27" descr="http://www.dof.gob.mx/imagenes_diarios/2018/11/16/MAT/shcp2a11_Cimg_93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8/11/16/MAT/shcp2a11_Cimg_9345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A63EE">
        <w:rPr>
          <w:rFonts w:ascii="Verdana" w:hAnsi="Verdana"/>
          <w:bCs/>
          <w:sz w:val="20"/>
        </w:rPr>
        <w:t>: Es el número total de Mandatarios que la Sociedad de Inversión tiene contratados.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409575" cy="114300"/>
            <wp:effectExtent l="0" t="0" r="9525" b="0"/>
            <wp:docPr id="26" name="Imagen 26" descr="http://www.dof.gob.mx/imagenes_diarios/2018/11/16/MAT/shcp2a11_Cimg_935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8/11/16/MAT/shcp2a11_Cimg_93516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CA63EE">
        <w:rPr>
          <w:rFonts w:ascii="Verdana" w:hAnsi="Verdana"/>
          <w:bCs/>
          <w:sz w:val="20"/>
        </w:rPr>
        <w:t>: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II.     Para los valores </w:t>
      </w:r>
      <w:r w:rsidRPr="00CA63EE">
        <w:rPr>
          <w:rFonts w:ascii="Verdana" w:hAnsi="Verdana"/>
          <w:bCs/>
          <w:sz w:val="20"/>
        </w:rPr>
        <w:drawing>
          <wp:inline distT="0" distB="0" distL="0" distR="0">
            <wp:extent cx="390525" cy="133350"/>
            <wp:effectExtent l="0" t="0" r="9525" b="0"/>
            <wp:docPr id="25" name="Imagen 25" descr="http://www.dof.gob.mx/imagenes_diarios/2018/11/16/MAT/shcp2a11_Cimg_93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8/11/16/MAT/shcp2a11_Cimg_9361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rsidRPr="00CA63EE">
        <w:rPr>
          <w:rFonts w:ascii="Verdana" w:hAnsi="Verdana"/>
          <w:bCs/>
          <w:sz w:val="20"/>
        </w:rPr>
        <w:t> y </w:t>
      </w:r>
      <w:r w:rsidRPr="00CA63EE">
        <w:rPr>
          <w:rFonts w:ascii="Verdana" w:hAnsi="Verdana"/>
          <w:bCs/>
          <w:sz w:val="20"/>
        </w:rPr>
        <w:drawing>
          <wp:inline distT="0" distB="0" distL="0" distR="0">
            <wp:extent cx="342900" cy="133350"/>
            <wp:effectExtent l="0" t="0" r="0" b="0"/>
            <wp:docPr id="24" name="Imagen 24" descr="http://www.dof.gob.mx/imagenes_diarios/2018/11/16/MAT/shcp2a11_Cimg_93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8/11/16/MAT/shcp2a11_Cimg_9372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r w:rsidRPr="00CA63EE">
        <w:rPr>
          <w:rFonts w:ascii="Verdana" w:hAnsi="Verdana"/>
          <w:bCs/>
          <w:sz w:val="20"/>
        </w:rPr>
        <w:t> para </w:t>
      </w:r>
      <w:r w:rsidRPr="00CA63EE">
        <w:rPr>
          <w:rFonts w:ascii="Verdana" w:hAnsi="Verdana"/>
          <w:bCs/>
          <w:sz w:val="20"/>
        </w:rPr>
        <w:drawing>
          <wp:inline distT="0" distB="0" distL="0" distR="0">
            <wp:extent cx="752475" cy="133350"/>
            <wp:effectExtent l="0" t="0" r="9525" b="0"/>
            <wp:docPr id="23" name="Imagen 23" descr="http://www.dof.gob.mx/imagenes_diarios/2018/11/16/MAT/shcp2a11_Cimg_93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8/11/16/MAT/shcp2a11_Cimg_93817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133350"/>
                    </a:xfrm>
                    <a:prstGeom prst="rect">
                      <a:avLst/>
                    </a:prstGeom>
                    <a:noFill/>
                    <a:ln>
                      <a:noFill/>
                    </a:ln>
                  </pic:spPr>
                </pic:pic>
              </a:graphicData>
            </a:graphic>
          </wp:inline>
        </w:drawing>
      </w:r>
      <w:r w:rsidRPr="00CA63EE">
        <w:rPr>
          <w:rFonts w:ascii="Verdana" w:hAnsi="Verdana"/>
          <w:bCs/>
          <w:sz w:val="20"/>
        </w:rPr>
        <w:t> deberá computarse directamente el valor a mercado de los Activos Objeto de Inversión distintos a los Derivados; mientras que para el caso de los Derivados se deberán observar los siguientes criterios:</w:t>
      </w:r>
    </w:p>
    <w:p w:rsidR="00CA63EE" w:rsidRPr="00CA63EE" w:rsidRDefault="00CA63EE" w:rsidP="00CA63EE">
      <w:pPr>
        <w:jc w:val="both"/>
        <w:rPr>
          <w:rFonts w:ascii="Verdana" w:hAnsi="Verdana"/>
          <w:bCs/>
          <w:sz w:val="20"/>
        </w:rPr>
      </w:pPr>
      <w:r w:rsidRPr="00CA63EE">
        <w:rPr>
          <w:rFonts w:ascii="Verdana" w:hAnsi="Verdana"/>
          <w:bCs/>
          <w:sz w:val="20"/>
        </w:rPr>
        <w:t xml:space="preserve">a)   Para los instrumentos Derivados conocidos en la práctica como </w:t>
      </w:r>
      <w:proofErr w:type="spellStart"/>
      <w:r w:rsidRPr="00CA63EE">
        <w:rPr>
          <w:rFonts w:ascii="Verdana" w:hAnsi="Verdana"/>
          <w:bCs/>
          <w:sz w:val="20"/>
        </w:rPr>
        <w:t>call</w:t>
      </w:r>
      <w:proofErr w:type="spellEnd"/>
      <w:r w:rsidRPr="00CA63EE">
        <w:rPr>
          <w:rFonts w:ascii="Verdana" w:hAnsi="Verdana"/>
          <w:bCs/>
          <w:sz w:val="20"/>
        </w:rPr>
        <w:t xml:space="preserve">, futuro y forward, cuyo subyacente esté denominado en </w:t>
      </w:r>
      <w:proofErr w:type="spellStart"/>
      <w:r w:rsidRPr="00CA63EE">
        <w:rPr>
          <w:rFonts w:ascii="Verdana" w:hAnsi="Verdana"/>
          <w:bCs/>
          <w:sz w:val="20"/>
        </w:rPr>
        <w:t>UDIs</w:t>
      </w:r>
      <w:proofErr w:type="spellEnd"/>
      <w:r w:rsidRPr="00CA63EE">
        <w:rPr>
          <w:rFonts w:ascii="Verdana" w:hAnsi="Verdana"/>
          <w:bCs/>
          <w:sz w:val="20"/>
        </w:rPr>
        <w:t xml:space="preserve"> o sus intereses garanticen un rendimiento igual o mayor a la UDI o al Índice Nacional de Precios al Consumidor, se sumará su valor a mercado cuando la posición en los Instrumentos Derivados antes descritos sea larga, y se restará cuando sea corta;</w:t>
      </w:r>
    </w:p>
    <w:p w:rsidR="00CA63EE" w:rsidRPr="00CA63EE" w:rsidRDefault="00CA63EE" w:rsidP="00CA63EE">
      <w:pPr>
        <w:jc w:val="both"/>
        <w:rPr>
          <w:rFonts w:ascii="Verdana" w:hAnsi="Verdana"/>
          <w:bCs/>
          <w:sz w:val="20"/>
        </w:rPr>
      </w:pPr>
      <w:r w:rsidRPr="00CA63EE">
        <w:rPr>
          <w:rFonts w:ascii="Verdana" w:hAnsi="Verdana"/>
          <w:bCs/>
          <w:sz w:val="20"/>
        </w:rPr>
        <w:t xml:space="preserve">b)   Para el instrumento Derivado conocido como </w:t>
      </w:r>
      <w:proofErr w:type="spellStart"/>
      <w:r w:rsidRPr="00CA63EE">
        <w:rPr>
          <w:rFonts w:ascii="Verdana" w:hAnsi="Verdana"/>
          <w:bCs/>
          <w:sz w:val="20"/>
        </w:rPr>
        <w:t>put</w:t>
      </w:r>
      <w:proofErr w:type="spellEnd"/>
      <w:r w:rsidRPr="00CA63EE">
        <w:rPr>
          <w:rFonts w:ascii="Verdana" w:hAnsi="Verdana"/>
          <w:bCs/>
          <w:sz w:val="20"/>
        </w:rPr>
        <w:t xml:space="preserve"> cuyo subyacente esté denominado en </w:t>
      </w:r>
      <w:proofErr w:type="spellStart"/>
      <w:r w:rsidRPr="00CA63EE">
        <w:rPr>
          <w:rFonts w:ascii="Verdana" w:hAnsi="Verdana"/>
          <w:bCs/>
          <w:sz w:val="20"/>
        </w:rPr>
        <w:t>UDIs</w:t>
      </w:r>
      <w:proofErr w:type="spellEnd"/>
      <w:r w:rsidRPr="00CA63EE">
        <w:rPr>
          <w:rFonts w:ascii="Verdana" w:hAnsi="Verdana"/>
          <w:bCs/>
          <w:sz w:val="20"/>
        </w:rPr>
        <w:t xml:space="preserve"> o sus intereses garanticen un rendimiento igual o mayor a la UDI o al Índice Nacional de Precios al Consumidor, se sumará el valor a mercado cuando la posición sea corta y se restará cuando la posición sea larga;</w:t>
      </w:r>
    </w:p>
    <w:p w:rsidR="00CA63EE" w:rsidRPr="00CA63EE" w:rsidRDefault="00CA63EE" w:rsidP="00CA63EE">
      <w:pPr>
        <w:jc w:val="both"/>
        <w:rPr>
          <w:rFonts w:ascii="Verdana" w:hAnsi="Verdana"/>
          <w:bCs/>
          <w:sz w:val="20"/>
        </w:rPr>
      </w:pPr>
      <w:r w:rsidRPr="00CA63EE">
        <w:rPr>
          <w:rFonts w:ascii="Verdana" w:hAnsi="Verdana"/>
          <w:bCs/>
          <w:sz w:val="20"/>
        </w:rPr>
        <w:t xml:space="preserve">c)   Para los instrumentos de Derivados conocidos como swaps que tengan al menos un subyacente que esté denominado en </w:t>
      </w:r>
      <w:proofErr w:type="spellStart"/>
      <w:r w:rsidRPr="00CA63EE">
        <w:rPr>
          <w:rFonts w:ascii="Verdana" w:hAnsi="Verdana"/>
          <w:bCs/>
          <w:sz w:val="20"/>
        </w:rPr>
        <w:t>UDIs</w:t>
      </w:r>
      <w:proofErr w:type="spellEnd"/>
      <w:r w:rsidRPr="00CA63EE">
        <w:rPr>
          <w:rFonts w:ascii="Verdana" w:hAnsi="Verdana"/>
          <w:bCs/>
          <w:sz w:val="20"/>
        </w:rPr>
        <w:t xml:space="preserve"> o sus intereses garanticen un rendimiento igual o mayor a la UDI o al Índice Nacional de Precios al Consumidor se computarán de acuerdo a lo siguiente:</w:t>
      </w:r>
    </w:p>
    <w:p w:rsidR="00CA63EE" w:rsidRPr="00CA63EE" w:rsidRDefault="00CA63EE" w:rsidP="00CA63EE">
      <w:pPr>
        <w:jc w:val="both"/>
        <w:rPr>
          <w:rFonts w:ascii="Verdana" w:hAnsi="Verdana"/>
          <w:bCs/>
          <w:sz w:val="20"/>
        </w:rPr>
      </w:pPr>
      <w:r w:rsidRPr="00CA63EE">
        <w:rPr>
          <w:rFonts w:ascii="Verdana" w:hAnsi="Verdana"/>
          <w:bCs/>
          <w:sz w:val="20"/>
        </w:rPr>
        <w:t>i.    Si en la operación se está en posición larga con respecto a una tasa ligada a un monto nocional denominado en Unidades de Inversión, respecto a instrumentos referenciados a Unidades de Inversión, o con respecto a instrumentos referenciados al Índice Nacional de Precios al Consumidor, se sumará su valor a mercado, 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ii.    Si en la operación se está en posición corta con respecto a una tasa ligada a un monto nocional denominado en Unidades de Inversión, respecto a instrumentos referenciados a Unidades de Inversión, o con respecto a instrumentos referenciados al Índice Nacional de Precios al Consumidor, se restará su valor a mercado.</w:t>
      </w:r>
    </w:p>
    <w:p w:rsidR="00CA63EE" w:rsidRPr="00CA63EE" w:rsidRDefault="00CA63EE" w:rsidP="00CA63EE">
      <w:pPr>
        <w:jc w:val="both"/>
        <w:rPr>
          <w:rFonts w:ascii="Verdana" w:hAnsi="Verdana"/>
          <w:b/>
          <w:bCs/>
          <w:sz w:val="20"/>
        </w:rPr>
      </w:pPr>
      <w:r w:rsidRPr="00CA63EE">
        <w:rPr>
          <w:rFonts w:ascii="Verdana" w:hAnsi="Verdana"/>
          <w:b/>
          <w:bCs/>
          <w:sz w:val="20"/>
        </w:rPr>
        <w:t>ANEXO I</w:t>
      </w:r>
    </w:p>
    <w:p w:rsidR="00CA63EE" w:rsidRPr="00CA63EE" w:rsidRDefault="00CA63EE" w:rsidP="00CA63EE">
      <w:pPr>
        <w:jc w:val="both"/>
        <w:rPr>
          <w:rFonts w:ascii="Verdana" w:hAnsi="Verdana"/>
          <w:bCs/>
          <w:sz w:val="20"/>
        </w:rPr>
      </w:pPr>
      <w:r w:rsidRPr="00CA63EE">
        <w:rPr>
          <w:rFonts w:ascii="Verdana" w:hAnsi="Verdana"/>
          <w:b/>
          <w:bCs/>
          <w:sz w:val="20"/>
        </w:rPr>
        <w:lastRenderedPageBreak/>
        <w:t>Metodología para calcular la exposición a Mercancías</w:t>
      </w:r>
    </w:p>
    <w:p w:rsidR="00CA63EE" w:rsidRPr="00CA63EE" w:rsidRDefault="00CA63EE" w:rsidP="00CA63EE">
      <w:pPr>
        <w:jc w:val="both"/>
        <w:rPr>
          <w:rFonts w:ascii="Verdana" w:hAnsi="Verdana"/>
          <w:bCs/>
          <w:sz w:val="20"/>
        </w:rPr>
      </w:pPr>
      <w:r w:rsidRPr="00CA63EE">
        <w:rPr>
          <w:rFonts w:ascii="Verdana" w:hAnsi="Verdana"/>
          <w:bCs/>
          <w:sz w:val="20"/>
        </w:rPr>
        <w:t>Se deberá calcular la exposición a Mercancías a través de los siguientes instrumentos de inversión autorizados: Estructuras Vinculadas a Subyacentes, Vehículos, Instrumentos de Deuda respaldados por Mercancías, así como Derivados, mediante el procedimiento descrito en el presente Anexo. Los Instrumentos Estructurados vinculados a Mercancías no computarán para efectos del presente Anexo.</w:t>
      </w:r>
    </w:p>
    <w:p w:rsidR="00CA63EE" w:rsidRPr="00CA63EE" w:rsidRDefault="00CA63EE" w:rsidP="00CA63EE">
      <w:pPr>
        <w:jc w:val="both"/>
        <w:rPr>
          <w:rFonts w:ascii="Verdana" w:hAnsi="Verdana"/>
          <w:bCs/>
          <w:sz w:val="20"/>
        </w:rPr>
      </w:pPr>
      <w:r w:rsidRPr="00CA63EE">
        <w:rPr>
          <w:rFonts w:ascii="Verdana" w:hAnsi="Verdana"/>
          <w:bCs/>
          <w:sz w:val="20"/>
        </w:rPr>
        <w:t>Para efectos del presente Anexo, las Estructuras Vinculadas a Subyacentes, se refieren a los Instrumentos de Deuda o Valores Extranjeros de Deuda cuyos retornos están vinculados a Mercancías. Para el cómputo de la exposición a que se refiere el presente Anexo no se considerará el componente de deuda de las Estructuras Vinculadas a Subyacentes cuyo subyacentes sean Mercancías.</w:t>
      </w:r>
    </w:p>
    <w:p w:rsidR="00CA63EE" w:rsidRPr="00CA63EE" w:rsidRDefault="00CA63EE" w:rsidP="00CA63EE">
      <w:pPr>
        <w:jc w:val="both"/>
        <w:rPr>
          <w:rFonts w:ascii="Verdana" w:hAnsi="Verdana"/>
          <w:bCs/>
          <w:sz w:val="20"/>
        </w:rPr>
      </w:pPr>
      <w:r w:rsidRPr="00CA63EE">
        <w:rPr>
          <w:rFonts w:ascii="Verdana" w:hAnsi="Verdana"/>
          <w:b/>
          <w:bCs/>
          <w:sz w:val="20"/>
        </w:rPr>
        <w:t>I.</w:t>
      </w:r>
      <w:r w:rsidRPr="00CA63EE">
        <w:rPr>
          <w:rFonts w:ascii="Verdana" w:hAnsi="Verdana"/>
          <w:bCs/>
          <w:sz w:val="20"/>
        </w:rPr>
        <w:t>     </w:t>
      </w:r>
      <w:r w:rsidRPr="00CA63EE">
        <w:rPr>
          <w:rFonts w:ascii="Verdana" w:hAnsi="Verdana"/>
          <w:b/>
          <w:bCs/>
          <w:sz w:val="20"/>
        </w:rPr>
        <w:t>Exposición a Mercancías a través de los mecanismos de inversión autorizados:</w:t>
      </w:r>
    </w:p>
    <w:p w:rsidR="00CA63EE" w:rsidRPr="00CA63EE" w:rsidRDefault="00CA63EE" w:rsidP="00CA63EE">
      <w:pPr>
        <w:jc w:val="both"/>
        <w:rPr>
          <w:rFonts w:ascii="Verdana" w:hAnsi="Verdana"/>
          <w:bCs/>
          <w:sz w:val="20"/>
        </w:rPr>
      </w:pPr>
      <w:r w:rsidRPr="00CA63EE">
        <w:rPr>
          <w:rFonts w:ascii="Verdana" w:hAnsi="Verdana"/>
          <w:bCs/>
          <w:sz w:val="20"/>
        </w:rPr>
        <w:t>Para determinar la exposición a Mercancías del Activo Administrado por la Sociedad de Inversión, y en su caso, del Activo Administrado por los Mandatarios que ésta hubiere contratado, se utilizarán las Deltas' de todos los mecanismos de inversión autorizados referidos a las Mercancías directamente o través de los Vehículos que las contengan.</w:t>
      </w:r>
    </w:p>
    <w:p w:rsidR="00CA63EE" w:rsidRPr="00CA63EE" w:rsidRDefault="00CA63EE" w:rsidP="00CA63EE">
      <w:pPr>
        <w:jc w:val="both"/>
        <w:rPr>
          <w:rFonts w:ascii="Verdana" w:hAnsi="Verdana"/>
          <w:bCs/>
          <w:sz w:val="20"/>
        </w:rPr>
      </w:pPr>
      <w:r w:rsidRPr="00CA63EE">
        <w:rPr>
          <w:rFonts w:ascii="Verdana" w:hAnsi="Verdana"/>
          <w:bCs/>
          <w:sz w:val="20"/>
        </w:rPr>
        <w:t>La Delta' será:</w:t>
      </w:r>
    </w:p>
    <w:p w:rsidR="00CA63EE" w:rsidRPr="00CA63EE" w:rsidRDefault="00CA63EE" w:rsidP="00CA63EE">
      <w:pPr>
        <w:jc w:val="both"/>
        <w:rPr>
          <w:rFonts w:ascii="Verdana" w:hAnsi="Verdana"/>
          <w:bCs/>
          <w:sz w:val="20"/>
        </w:rPr>
      </w:pPr>
      <w:r w:rsidRPr="00CA63EE">
        <w:rPr>
          <w:rFonts w:ascii="Verdana" w:hAnsi="Verdana"/>
          <w:bCs/>
          <w:sz w:val="20"/>
        </w:rPr>
        <w:t>a)    En el caso de Vehículos que confieran derechos sobre las Mercancías, los Instrumentos de Deuda y Valores Extranjeros, así como futuros, forwards y swaps referidos a dichos subyacentes, igual a uno, y</w:t>
      </w:r>
    </w:p>
    <w:p w:rsidR="00CA63EE" w:rsidRPr="00CA63EE" w:rsidRDefault="00CA63EE" w:rsidP="00CA63EE">
      <w:pPr>
        <w:jc w:val="both"/>
        <w:rPr>
          <w:rFonts w:ascii="Verdana" w:hAnsi="Verdana"/>
          <w:bCs/>
          <w:sz w:val="20"/>
        </w:rPr>
      </w:pPr>
      <w:r w:rsidRPr="00CA63EE">
        <w:rPr>
          <w:rFonts w:ascii="Verdana" w:hAnsi="Verdana"/>
          <w:bCs/>
          <w:sz w:val="20"/>
        </w:rPr>
        <w:t>b)    En el caso de contratos de opciones, serán calculadas por el Proveedor de Precios que tenga contratado la Sociedad de Inversión. Dicha Delta será calculada por unidad de contrato y suponiendo una posición larga.</w:t>
      </w:r>
    </w:p>
    <w:p w:rsidR="00CA63EE" w:rsidRPr="00CA63EE" w:rsidRDefault="00CA63EE" w:rsidP="00CA63EE">
      <w:pPr>
        <w:jc w:val="both"/>
        <w:rPr>
          <w:rFonts w:ascii="Verdana" w:hAnsi="Verdana"/>
          <w:bCs/>
          <w:sz w:val="20"/>
        </w:rPr>
      </w:pPr>
      <w:r w:rsidRPr="00CA63EE">
        <w:rPr>
          <w:rFonts w:ascii="Verdana" w:hAnsi="Verdana"/>
          <w:bCs/>
          <w:sz w:val="20"/>
        </w:rPr>
        <w:t>El monto expuesto a cada Mercancía "i" que forme parte del portafolio de inversión a través de los mecanismos de inversión autorizados j, se calculará de la siguiente manera: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9750" cy="3933825"/>
            <wp:effectExtent l="0" t="0" r="0" b="9525"/>
            <wp:docPr id="22" name="Imagen 22" descr="http://www.dof.gob.mx/imagenes_diarios/2018/11/16/MAT/shcp2a11_Cimg_938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8/11/16/MAT/shcp2a11_Cimg_93899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393382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b)    En el caso de cualquier mecanismo de inversión diferente a los Derivados: se utilizará el número de títulos del mecanismo de inversión autorizado j que contengan la Mercancía i-</w:t>
      </w:r>
      <w:proofErr w:type="spellStart"/>
      <w:r w:rsidRPr="00CA63EE">
        <w:rPr>
          <w:rFonts w:ascii="Verdana" w:hAnsi="Verdana"/>
          <w:bCs/>
          <w:sz w:val="20"/>
        </w:rPr>
        <w:t>ésima</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Para posiciones cortas a través de Derivados, el número de contratos se expresa con signo negativo.</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447675" cy="180975"/>
            <wp:effectExtent l="0" t="0" r="9525" b="9525"/>
            <wp:docPr id="21" name="Imagen 21" descr="http://www.dof.gob.mx/imagenes_diarios/2018/11/16/MAT/shcp2a11_Cimg_101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8/11/16/MAT/shcp2a11_Cimg_10105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A63EE">
        <w:rPr>
          <w:rFonts w:ascii="Verdana" w:hAnsi="Verdana"/>
          <w:bCs/>
          <w:sz w:val="20"/>
        </w:rPr>
        <w:t xml:space="preserve">: Es el Valor a Mercado de cada instrumento de </w:t>
      </w:r>
      <w:proofErr w:type="gramStart"/>
      <w:r w:rsidRPr="00CA63EE">
        <w:rPr>
          <w:rFonts w:ascii="Verdana" w:hAnsi="Verdana"/>
          <w:bCs/>
          <w:sz w:val="20"/>
        </w:rPr>
        <w:t>inversión </w:t>
      </w:r>
      <w:proofErr w:type="gramEnd"/>
      <w:r w:rsidRPr="00CA63EE">
        <w:rPr>
          <w:rFonts w:ascii="Verdana" w:hAnsi="Verdana"/>
          <w:bCs/>
          <w:sz w:val="20"/>
        </w:rPr>
        <w:drawing>
          <wp:inline distT="0" distB="0" distL="0" distR="0">
            <wp:extent cx="95250" cy="133350"/>
            <wp:effectExtent l="0" t="0" r="0" b="0"/>
            <wp:docPr id="20" name="Imagen 20" descr="http://www.dof.gob.mx/imagenes_diarios/2018/11/16/MAT/shcp2a11_Cimg_101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8/11/16/MAT/shcp2a11_Cimg_10118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CA63EE">
        <w:rPr>
          <w:rFonts w:ascii="Verdana" w:hAnsi="Verdana"/>
          <w:bCs/>
          <w:sz w:val="20"/>
        </w:rPr>
        <w:t>, que será:</w:t>
      </w:r>
    </w:p>
    <w:p w:rsidR="00CA63EE" w:rsidRPr="00CA63EE" w:rsidRDefault="00CA63EE" w:rsidP="00CA63EE">
      <w:pPr>
        <w:jc w:val="both"/>
        <w:rPr>
          <w:rFonts w:ascii="Verdana" w:hAnsi="Verdana"/>
          <w:bCs/>
          <w:sz w:val="20"/>
        </w:rPr>
      </w:pPr>
      <w:r w:rsidRPr="00CA63EE">
        <w:rPr>
          <w:rFonts w:ascii="Verdana" w:hAnsi="Verdana"/>
          <w:bCs/>
          <w:sz w:val="20"/>
        </w:rPr>
        <w:t>a)    En el caso de Derivados: son los puntos de cierre del subyacente o índice subyacente del Derivado, multiplicado por el ponderador o peso relativo asociado a la i-</w:t>
      </w:r>
      <w:proofErr w:type="spellStart"/>
      <w:r w:rsidRPr="00CA63EE">
        <w:rPr>
          <w:rFonts w:ascii="Verdana" w:hAnsi="Verdana"/>
          <w:bCs/>
          <w:sz w:val="20"/>
        </w:rPr>
        <w:t>esima</w:t>
      </w:r>
      <w:proofErr w:type="spellEnd"/>
      <w:r w:rsidRPr="00CA63EE">
        <w:rPr>
          <w:rFonts w:ascii="Verdana" w:hAnsi="Verdana"/>
          <w:bCs/>
          <w:sz w:val="20"/>
        </w:rPr>
        <w:t> Mercancía, y</w:t>
      </w:r>
    </w:p>
    <w:p w:rsidR="00CA63EE" w:rsidRPr="00CA63EE" w:rsidRDefault="00CA63EE" w:rsidP="00CA63EE">
      <w:pPr>
        <w:jc w:val="both"/>
        <w:rPr>
          <w:rFonts w:ascii="Verdana" w:hAnsi="Verdana"/>
          <w:bCs/>
          <w:sz w:val="20"/>
        </w:rPr>
      </w:pPr>
      <w:r w:rsidRPr="00CA63EE">
        <w:rPr>
          <w:rFonts w:ascii="Verdana" w:hAnsi="Verdana"/>
          <w:bCs/>
          <w:sz w:val="20"/>
        </w:rPr>
        <w:t>b)    En el caso de cualquier mecanismo de inversión diferente a los Derivados: es el Valor a Mercado del mecanismo de inversión autorizado "j" que contiene la Mercancía i-</w:t>
      </w:r>
      <w:proofErr w:type="spellStart"/>
      <w:r w:rsidRPr="00CA63EE">
        <w:rPr>
          <w:rFonts w:ascii="Verdana" w:hAnsi="Verdana"/>
          <w:bCs/>
          <w:sz w:val="20"/>
        </w:rPr>
        <w:t>ésima</w:t>
      </w:r>
      <w:proofErr w:type="spellEnd"/>
      <w:r w:rsidRPr="00CA63EE">
        <w:rPr>
          <w:rFonts w:ascii="Verdana" w:hAnsi="Verdana"/>
          <w:bCs/>
          <w:sz w:val="20"/>
        </w:rPr>
        <w:t xml:space="preserve"> multiplicado por el ponderador o peso relativo asociado a la i-</w:t>
      </w:r>
      <w:proofErr w:type="spellStart"/>
      <w:r w:rsidRPr="00CA63EE">
        <w:rPr>
          <w:rFonts w:ascii="Verdana" w:hAnsi="Verdana"/>
          <w:bCs/>
          <w:sz w:val="20"/>
        </w:rPr>
        <w:t>ésima</w:t>
      </w:r>
      <w:proofErr w:type="spellEnd"/>
      <w:r w:rsidRPr="00CA63EE">
        <w:rPr>
          <w:rFonts w:ascii="Verdana" w:hAnsi="Verdana"/>
          <w:bCs/>
          <w:sz w:val="20"/>
        </w:rPr>
        <w:t xml:space="preserve"> Mercancía dentro de cada mecanismo.</w:t>
      </w:r>
    </w:p>
    <w:p w:rsidR="00CA63EE" w:rsidRPr="00CA63EE" w:rsidRDefault="00CA63EE" w:rsidP="00CA63EE">
      <w:pPr>
        <w:jc w:val="both"/>
        <w:rPr>
          <w:rFonts w:ascii="Verdana" w:hAnsi="Verdana"/>
          <w:bCs/>
          <w:sz w:val="20"/>
        </w:rPr>
      </w:pPr>
      <w:r w:rsidRPr="00CA63EE">
        <w:rPr>
          <w:rFonts w:ascii="Verdana" w:hAnsi="Verdana"/>
          <w:bCs/>
          <w:sz w:val="20"/>
        </w:rPr>
        <w:t>En el caso de que el monto de exposición </w:t>
      </w:r>
      <w:r w:rsidRPr="00CA63EE">
        <w:rPr>
          <w:rFonts w:ascii="Verdana" w:hAnsi="Verdana"/>
          <w:bCs/>
          <w:sz w:val="20"/>
        </w:rPr>
        <w:drawing>
          <wp:inline distT="0" distB="0" distL="0" distR="0">
            <wp:extent cx="533400" cy="133350"/>
            <wp:effectExtent l="0" t="0" r="0" b="0"/>
            <wp:docPr id="19" name="Imagen 19" descr="http://www.dof.gob.mx/imagenes_diarios/2018/11/16/MAT/shcp2a11_Cimg_1012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8/11/16/MAT/shcp2a11_Cimg_10122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CA63EE">
        <w:rPr>
          <w:rFonts w:ascii="Verdana" w:hAnsi="Verdana"/>
          <w:bCs/>
          <w:sz w:val="20"/>
        </w:rPr>
        <w:t> se encuentre denominado en Divisas, éste deberá ser convertido en moneda nacional utilizando el tipo de cambio para valorar operaciones con Divisas.</w:t>
      </w:r>
    </w:p>
    <w:p w:rsidR="00CA63EE" w:rsidRPr="00CA63EE" w:rsidRDefault="00CA63EE" w:rsidP="00CA63EE">
      <w:pPr>
        <w:jc w:val="both"/>
        <w:rPr>
          <w:rFonts w:ascii="Verdana" w:hAnsi="Verdana"/>
          <w:bCs/>
          <w:sz w:val="20"/>
        </w:rPr>
      </w:pPr>
      <w:r w:rsidRPr="00CA63EE">
        <w:rPr>
          <w:rFonts w:ascii="Verdana" w:hAnsi="Verdana"/>
          <w:bCs/>
          <w:sz w:val="20"/>
        </w:rPr>
        <w:lastRenderedPageBreak/>
        <w:t>Lo descrito en la presente fracción aplica para los Activos Administrados por la Sociedad de Inversión y los correspondientes Activos Administrados por cada Mandatario que en su caso hubiere contratado la Sociedad de Inversión.</w:t>
      </w:r>
    </w:p>
    <w:p w:rsidR="00CA63EE" w:rsidRPr="00CA63EE" w:rsidRDefault="00CA63EE" w:rsidP="00CA63EE">
      <w:pPr>
        <w:jc w:val="both"/>
        <w:rPr>
          <w:rFonts w:ascii="Verdana" w:hAnsi="Verdana"/>
          <w:bCs/>
          <w:sz w:val="20"/>
        </w:rPr>
      </w:pPr>
      <w:r w:rsidRPr="00CA63EE">
        <w:rPr>
          <w:rFonts w:ascii="Verdana" w:hAnsi="Verdana"/>
          <w:b/>
          <w:bCs/>
          <w:sz w:val="20"/>
        </w:rPr>
        <w:t>II. Exposición a una Mercancía del Activo Administrado por la Sociedad de Inversión o en su caso del Activo Administrado por cada Mandatario que ésta hubiere contratado:</w:t>
      </w:r>
    </w:p>
    <w:p w:rsidR="00CA63EE" w:rsidRPr="00CA63EE" w:rsidRDefault="00CA63EE" w:rsidP="00CA63EE">
      <w:pPr>
        <w:jc w:val="both"/>
        <w:rPr>
          <w:rFonts w:ascii="Verdana" w:hAnsi="Verdana"/>
          <w:bCs/>
          <w:sz w:val="20"/>
        </w:rPr>
      </w:pPr>
      <w:r w:rsidRPr="00CA63EE">
        <w:rPr>
          <w:rFonts w:ascii="Verdana" w:hAnsi="Verdana"/>
          <w:bCs/>
          <w:sz w:val="20"/>
        </w:rPr>
        <w:t>La exposición del portafolio a Mercancías debido a los mecanismos de inversión autorizados, se calculará</w:t>
      </w:r>
    </w:p>
    <w:p w:rsidR="00CA63EE" w:rsidRPr="00CA63EE" w:rsidRDefault="00CA63EE" w:rsidP="00CA63EE">
      <w:pPr>
        <w:jc w:val="both"/>
        <w:rPr>
          <w:rFonts w:ascii="Verdana" w:hAnsi="Verdana"/>
          <w:bCs/>
          <w:sz w:val="20"/>
        </w:rPr>
      </w:pPr>
      <w:proofErr w:type="gramStart"/>
      <w:r w:rsidRPr="00CA63EE">
        <w:rPr>
          <w:rFonts w:ascii="Verdana" w:hAnsi="Verdana"/>
          <w:bCs/>
          <w:sz w:val="20"/>
        </w:rPr>
        <w:t>de</w:t>
      </w:r>
      <w:proofErr w:type="gramEnd"/>
      <w:r w:rsidRPr="00CA63EE">
        <w:rPr>
          <w:rFonts w:ascii="Verdana" w:hAnsi="Verdana"/>
          <w:bCs/>
          <w:sz w:val="20"/>
        </w:rPr>
        <w:t xml:space="preserve"> la siguiente manera:</w:t>
      </w:r>
    </w:p>
    <w:p w:rsidR="00CA63EE" w:rsidRPr="00CA63EE" w:rsidRDefault="00CA63EE" w:rsidP="00CA63EE">
      <w:pPr>
        <w:jc w:val="both"/>
        <w:rPr>
          <w:rFonts w:ascii="Verdana" w:hAnsi="Verdana"/>
          <w:bCs/>
          <w:sz w:val="20"/>
        </w:rPr>
      </w:pPr>
      <w:r w:rsidRPr="00CA63EE">
        <w:rPr>
          <w:rFonts w:ascii="Verdana" w:hAnsi="Verdana"/>
          <w:bCs/>
          <w:sz w:val="20"/>
        </w:rPr>
        <w:t>a) Se calcula el monto expuesto en términos absolutos en la Mercancía i-</w:t>
      </w:r>
      <w:proofErr w:type="spellStart"/>
      <w:r w:rsidRPr="00CA63EE">
        <w:rPr>
          <w:rFonts w:ascii="Verdana" w:hAnsi="Verdana"/>
          <w:bCs/>
          <w:sz w:val="20"/>
        </w:rPr>
        <w:t>ésima</w:t>
      </w:r>
      <w:proofErr w:type="spellEnd"/>
      <w:r w:rsidRPr="00CA63EE">
        <w:rPr>
          <w:rFonts w:ascii="Verdana" w:hAnsi="Verdana"/>
          <w:bCs/>
          <w:sz w:val="20"/>
        </w:rPr>
        <w:t xml:space="preserve"> en el portafolio sumando sobre todos los montos expuestos de los mecanismos de inversión autorizados que estén referenciados a la misma Mercancía i-</w:t>
      </w:r>
      <w:proofErr w:type="spellStart"/>
      <w:r w:rsidRPr="00CA63EE">
        <w:rPr>
          <w:rFonts w:ascii="Verdana" w:hAnsi="Verdana"/>
          <w:bCs/>
          <w:sz w:val="20"/>
        </w:rPr>
        <w:t>ésima</w:t>
      </w:r>
      <w:proofErr w:type="spellEnd"/>
      <w:r w:rsidRPr="00CA63EE">
        <w:rPr>
          <w:rFonts w:ascii="Verdana" w:hAnsi="Verdana"/>
          <w:bCs/>
          <w:sz w:val="20"/>
        </w:rPr>
        <w:t xml:space="preserve"> y obteniendo el valor absoluto de dicha suma. Lo anterior implica que se compensa entre exposiciones sobre la misma Mercancía a la que se encuentre expuesto el Activo Administrado por la Sociedad de Inversión. Similarmente se calcula la exposición correspondiente al Activo Administrado por cada Mandatario. No se compensan las posiciones del Activo Administrado por la Sociedad de Inversión y las posiciones del Activo Administrado por cada Mandatario.</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152775" cy="533400"/>
            <wp:effectExtent l="0" t="0" r="9525" b="0"/>
            <wp:docPr id="18" name="Imagen 18" descr="http://www.dof.gob.mx/imagenes_diarios/2018/11/16/MAT/shcp2a11_Cimg_1013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8/11/16/MAT/shcp2a11_Cimg_101356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53340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Dónde:</w:t>
      </w:r>
    </w:p>
    <w:tbl>
      <w:tblPr>
        <w:tblW w:w="0" w:type="auto"/>
        <w:tblInd w:w="1260" w:type="dxa"/>
        <w:shd w:val="clear" w:color="auto" w:fill="FFFFFF"/>
        <w:tblCellMar>
          <w:top w:w="15" w:type="dxa"/>
          <w:left w:w="15" w:type="dxa"/>
          <w:bottom w:w="15" w:type="dxa"/>
          <w:right w:w="15" w:type="dxa"/>
        </w:tblCellMar>
        <w:tblLook w:val="04A0" w:firstRow="1" w:lastRow="0" w:firstColumn="1" w:lastColumn="0" w:noHBand="0" w:noVBand="1"/>
      </w:tblPr>
      <w:tblGrid>
        <w:gridCol w:w="1170"/>
        <w:gridCol w:w="6120"/>
      </w:tblGrid>
      <w:tr w:rsidR="00CA63EE" w:rsidRPr="00CA63EE" w:rsidTr="00CA63EE">
        <w:trPr>
          <w:trHeight w:val="1601"/>
        </w:trPr>
        <w:tc>
          <w:tcPr>
            <w:tcW w:w="1170"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276225" cy="123825"/>
                  <wp:effectExtent l="0" t="0" r="9525" b="9525"/>
                  <wp:docPr id="17" name="Imagen 17" descr="http://www.dof.gob.mx/imagenes_diarios/2018/11/16/MAT/shcp2a11_Cimg_1015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8/11/16/MAT/shcp2a11_Cimg_101569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p>
        </w:tc>
        <w:tc>
          <w:tcPr>
            <w:tcW w:w="6120"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Es el monto expuesto, en valor absoluto, a la Mercancía i-</w:t>
            </w:r>
            <w:proofErr w:type="spellStart"/>
            <w:r w:rsidRPr="00CA63EE">
              <w:rPr>
                <w:rFonts w:ascii="Verdana" w:hAnsi="Verdana"/>
                <w:bCs/>
                <w:sz w:val="20"/>
              </w:rPr>
              <w:t>ésima</w:t>
            </w:r>
            <w:proofErr w:type="spellEnd"/>
            <w:r w:rsidRPr="00CA63EE">
              <w:rPr>
                <w:rFonts w:ascii="Verdana" w:hAnsi="Verdana"/>
                <w:bCs/>
                <w:sz w:val="20"/>
              </w:rPr>
              <w:t xml:space="preserve"> del </w:t>
            </w:r>
            <w:proofErr w:type="spellStart"/>
            <w:r w:rsidRPr="00CA63EE">
              <w:rPr>
                <w:rFonts w:ascii="Verdana" w:hAnsi="Verdana"/>
                <w:bCs/>
                <w:sz w:val="20"/>
              </w:rPr>
              <w:t>ActivoAdministrado</w:t>
            </w:r>
            <w:proofErr w:type="spellEnd"/>
            <w:r w:rsidRPr="00CA63EE">
              <w:rPr>
                <w:rFonts w:ascii="Verdana" w:hAnsi="Verdana"/>
                <w:bCs/>
                <w:sz w:val="20"/>
              </w:rPr>
              <w:t xml:space="preserve"> por la Sociedad de Inversión o en su caso del </w:t>
            </w:r>
            <w:proofErr w:type="spellStart"/>
            <w:r w:rsidRPr="00CA63EE">
              <w:rPr>
                <w:rFonts w:ascii="Verdana" w:hAnsi="Verdana"/>
                <w:bCs/>
                <w:sz w:val="20"/>
              </w:rPr>
              <w:t>ActivoAdministrado</w:t>
            </w:r>
            <w:proofErr w:type="spellEnd"/>
            <w:r w:rsidRPr="00CA63EE">
              <w:rPr>
                <w:rFonts w:ascii="Verdana" w:hAnsi="Verdana"/>
                <w:bCs/>
                <w:sz w:val="20"/>
              </w:rPr>
              <w:t xml:space="preserve"> por el Mandatario de que se trate. La fórmula (I2) muestra que se </w:t>
            </w:r>
            <w:proofErr w:type="spellStart"/>
            <w:r w:rsidRPr="00CA63EE">
              <w:rPr>
                <w:rFonts w:ascii="Verdana" w:hAnsi="Verdana"/>
                <w:bCs/>
                <w:sz w:val="20"/>
              </w:rPr>
              <w:t>netean</w:t>
            </w:r>
            <w:proofErr w:type="spellEnd"/>
            <w:r w:rsidRPr="00CA63EE">
              <w:rPr>
                <w:rFonts w:ascii="Verdana" w:hAnsi="Verdana"/>
                <w:bCs/>
                <w:sz w:val="20"/>
              </w:rPr>
              <w:t xml:space="preserve"> las exposiciones a una misma mercancía en el </w:t>
            </w:r>
            <w:proofErr w:type="spellStart"/>
            <w:r w:rsidRPr="00CA63EE">
              <w:rPr>
                <w:rFonts w:ascii="Verdana" w:hAnsi="Verdana"/>
                <w:bCs/>
                <w:sz w:val="20"/>
              </w:rPr>
              <w:t>ActivoAdministrado</w:t>
            </w:r>
            <w:proofErr w:type="spellEnd"/>
            <w:r w:rsidRPr="00CA63EE">
              <w:rPr>
                <w:rFonts w:ascii="Verdana" w:hAnsi="Verdana"/>
                <w:bCs/>
                <w:sz w:val="20"/>
              </w:rPr>
              <w:t xml:space="preserve"> por la Sociedad de Inversión o en su caso Activo Administrado por el Mandatario de que se trate.</w:t>
            </w:r>
          </w:p>
        </w:tc>
      </w:tr>
      <w:tr w:rsidR="00CA63EE" w:rsidRPr="00CA63EE" w:rsidTr="00CA63EE">
        <w:trPr>
          <w:trHeight w:val="1101"/>
        </w:trPr>
        <w:tc>
          <w:tcPr>
            <w:tcW w:w="1170"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466725" cy="133350"/>
                  <wp:effectExtent l="0" t="0" r="9525" b="0"/>
                  <wp:docPr id="16" name="Imagen 16" descr="http://www.dof.gob.mx/imagenes_diarios/2018/11/16/MAT/shcp2a11_Cimg_1016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8/11/16/MAT/shcp2a11_Cimg_101668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p>
        </w:tc>
        <w:tc>
          <w:tcPr>
            <w:tcW w:w="6120" w:type="dxa"/>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Es el monto expuesto en la Mercancía i-</w:t>
            </w:r>
            <w:proofErr w:type="spellStart"/>
            <w:r w:rsidRPr="00CA63EE">
              <w:rPr>
                <w:rFonts w:ascii="Verdana" w:hAnsi="Verdana"/>
                <w:bCs/>
                <w:sz w:val="20"/>
              </w:rPr>
              <w:t>ésima</w:t>
            </w:r>
            <w:proofErr w:type="spellEnd"/>
            <w:r w:rsidRPr="00CA63EE">
              <w:rPr>
                <w:rFonts w:ascii="Verdana" w:hAnsi="Verdana"/>
                <w:bCs/>
                <w:sz w:val="20"/>
              </w:rPr>
              <w:t xml:space="preserve"> debido al mecanismo </w:t>
            </w:r>
            <w:proofErr w:type="spellStart"/>
            <w:r w:rsidRPr="00CA63EE">
              <w:rPr>
                <w:rFonts w:ascii="Verdana" w:hAnsi="Verdana"/>
                <w:bCs/>
                <w:sz w:val="20"/>
              </w:rPr>
              <w:t>deinversión</w:t>
            </w:r>
            <w:proofErr w:type="spellEnd"/>
            <w:r w:rsidRPr="00CA63EE">
              <w:rPr>
                <w:rFonts w:ascii="Verdana" w:hAnsi="Verdana"/>
                <w:bCs/>
                <w:sz w:val="20"/>
              </w:rPr>
              <w:t xml:space="preserve"> autorizado "j" que </w:t>
            </w:r>
            <w:proofErr w:type="gramStart"/>
            <w:r w:rsidRPr="00CA63EE">
              <w:rPr>
                <w:rFonts w:ascii="Verdana" w:hAnsi="Verdana"/>
                <w:bCs/>
                <w:sz w:val="20"/>
              </w:rPr>
              <w:t>conforman</w:t>
            </w:r>
            <w:proofErr w:type="gramEnd"/>
            <w:r w:rsidRPr="00CA63EE">
              <w:rPr>
                <w:rFonts w:ascii="Verdana" w:hAnsi="Verdana"/>
                <w:bCs/>
                <w:sz w:val="20"/>
              </w:rPr>
              <w:t xml:space="preserve"> el Activo Administrado por </w:t>
            </w:r>
            <w:proofErr w:type="spellStart"/>
            <w:r w:rsidRPr="00CA63EE">
              <w:rPr>
                <w:rFonts w:ascii="Verdana" w:hAnsi="Verdana"/>
                <w:bCs/>
                <w:sz w:val="20"/>
              </w:rPr>
              <w:t>laSociedad</w:t>
            </w:r>
            <w:proofErr w:type="spellEnd"/>
            <w:r w:rsidRPr="00CA63EE">
              <w:rPr>
                <w:rFonts w:ascii="Verdana" w:hAnsi="Verdana"/>
                <w:bCs/>
                <w:sz w:val="20"/>
              </w:rPr>
              <w:t xml:space="preserve"> de Inversión o en su caso que conforman el Activo </w:t>
            </w:r>
            <w:proofErr w:type="spellStart"/>
            <w:r w:rsidRPr="00CA63EE">
              <w:rPr>
                <w:rFonts w:ascii="Verdana" w:hAnsi="Verdana"/>
                <w:bCs/>
                <w:sz w:val="20"/>
              </w:rPr>
              <w:t>Administradopor</w:t>
            </w:r>
            <w:proofErr w:type="spellEnd"/>
            <w:r w:rsidRPr="00CA63EE">
              <w:rPr>
                <w:rFonts w:ascii="Verdana" w:hAnsi="Verdana"/>
                <w:bCs/>
                <w:sz w:val="20"/>
              </w:rPr>
              <w:t xml:space="preserve"> el Mandatario de que se trate.</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9750" cy="8401050"/>
            <wp:effectExtent l="0" t="0" r="0" b="0"/>
            <wp:docPr id="15" name="Imagen 15" descr="http://www.dof.gob.mx/imagenes_diarios/2018/11/16/MAT/shcp2a11_Cimg_1018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8/11/16/MAT/shcp2a11_Cimg_101803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8401050"/>
                    </a:xfrm>
                    <a:prstGeom prst="rect">
                      <a:avLst/>
                    </a:prstGeom>
                    <a:noFill/>
                    <a:ln>
                      <a:noFill/>
                    </a:ln>
                  </pic:spPr>
                </pic:pic>
              </a:graphicData>
            </a:graphic>
          </wp:inline>
        </w:drawing>
      </w:r>
    </w:p>
    <w:p w:rsidR="00CA63EE" w:rsidRPr="00CA63EE" w:rsidRDefault="00CA63EE" w:rsidP="00CA63EE">
      <w:pPr>
        <w:jc w:val="both"/>
        <w:rPr>
          <w:rFonts w:ascii="Verdana" w:hAnsi="Verdana"/>
          <w:b/>
          <w:bCs/>
          <w:sz w:val="20"/>
        </w:rPr>
      </w:pPr>
      <w:r w:rsidRPr="00CA63EE">
        <w:rPr>
          <w:rFonts w:ascii="Verdana" w:hAnsi="Verdana"/>
          <w:b/>
          <w:bCs/>
          <w:sz w:val="20"/>
        </w:rPr>
        <w:lastRenderedPageBreak/>
        <w:t> </w:t>
      </w:r>
    </w:p>
    <w:p w:rsidR="00CA63EE" w:rsidRPr="00CA63EE" w:rsidRDefault="00CA63EE" w:rsidP="00CA63EE">
      <w:pPr>
        <w:jc w:val="both"/>
        <w:rPr>
          <w:rFonts w:ascii="Verdana" w:hAnsi="Verdana"/>
          <w:b/>
          <w:bCs/>
          <w:sz w:val="20"/>
        </w:rPr>
      </w:pPr>
      <w:r w:rsidRPr="00CA63EE">
        <w:rPr>
          <w:rFonts w:ascii="Verdana" w:hAnsi="Verdana"/>
          <w:b/>
          <w:bCs/>
          <w:sz w:val="20"/>
        </w:rPr>
        <w:t>ANEXO J</w:t>
      </w:r>
    </w:p>
    <w:p w:rsidR="00CA63EE" w:rsidRPr="00CA63EE" w:rsidRDefault="00CA63EE" w:rsidP="00CA63EE">
      <w:pPr>
        <w:jc w:val="both"/>
        <w:rPr>
          <w:rFonts w:ascii="Verdana" w:hAnsi="Verdana"/>
          <w:bCs/>
          <w:sz w:val="20"/>
        </w:rPr>
      </w:pPr>
      <w:r w:rsidRPr="00CA63EE">
        <w:rPr>
          <w:rFonts w:ascii="Verdana" w:hAnsi="Verdana"/>
          <w:b/>
          <w:bCs/>
          <w:sz w:val="20"/>
        </w:rPr>
        <w:t>De la certificación de Funcionarios con actividades en gestión de recursos de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La vigencia de las certificaciones referidas en las presentes Disposiciones deberá cumplir con lo establecido en el siguiente esquema:</w:t>
      </w:r>
    </w:p>
    <w:p w:rsidR="00CA63EE" w:rsidRPr="00CA63EE" w:rsidRDefault="00CA63EE" w:rsidP="00CA63EE">
      <w:pPr>
        <w:jc w:val="both"/>
        <w:rPr>
          <w:rFonts w:ascii="Verdana" w:hAnsi="Verdana"/>
          <w:bCs/>
          <w:sz w:val="20"/>
        </w:rPr>
      </w:pPr>
      <w:r w:rsidRPr="00CA63EE">
        <w:rPr>
          <w:rFonts w:ascii="Verdana" w:hAnsi="Verdana"/>
          <w:bCs/>
          <w:sz w:val="20"/>
        </w:rPr>
        <w:t>1. Certificación general en materia financiera.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24"/>
        <w:gridCol w:w="1473"/>
        <w:gridCol w:w="1284"/>
        <w:gridCol w:w="1396"/>
        <w:gridCol w:w="1701"/>
      </w:tblGrid>
      <w:tr w:rsidR="00CA63EE" w:rsidRPr="00CA63EE" w:rsidTr="00CA63EE">
        <w:trPr>
          <w:trHeight w:val="1211"/>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Contraloría</w:t>
            </w:r>
            <w:r w:rsidRPr="00CA63EE">
              <w:rPr>
                <w:rFonts w:ascii="Verdana" w:hAnsi="Verdana"/>
                <w:bCs/>
                <w:sz w:val="20"/>
              </w:rPr>
              <w:br/>
            </w:r>
            <w:r w:rsidRPr="00CA63EE">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Confirmación,</w:t>
            </w:r>
            <w:r w:rsidRPr="00CA63EE">
              <w:rPr>
                <w:rFonts w:ascii="Verdana" w:hAnsi="Verdana"/>
                <w:bCs/>
                <w:sz w:val="20"/>
              </w:rPr>
              <w:br/>
            </w:r>
            <w:r w:rsidRPr="00CA63EE">
              <w:rPr>
                <w:rFonts w:ascii="Verdana" w:hAnsi="Verdana"/>
                <w:b/>
                <w:bCs/>
                <w:sz w:val="20"/>
              </w:rPr>
              <w:t>Liquidación,</w:t>
            </w:r>
            <w:r w:rsidRPr="00CA63EE">
              <w:rPr>
                <w:rFonts w:ascii="Verdana" w:hAnsi="Verdana"/>
                <w:bCs/>
                <w:sz w:val="20"/>
              </w:rPr>
              <w:br/>
            </w:r>
            <w:r w:rsidRPr="00CA63EE">
              <w:rPr>
                <w:rFonts w:ascii="Verdana" w:hAnsi="Verdana"/>
                <w:b/>
                <w:bCs/>
                <w:sz w:val="20"/>
              </w:rPr>
              <w:t>Asignación, y</w:t>
            </w:r>
            <w:r w:rsidRPr="00CA63EE">
              <w:rPr>
                <w:rFonts w:ascii="Verdana" w:hAnsi="Verdana"/>
                <w:bCs/>
                <w:sz w:val="20"/>
              </w:rPr>
              <w:br/>
            </w:r>
            <w:r w:rsidRPr="00CA63EE">
              <w:rPr>
                <w:rFonts w:ascii="Verdana" w:hAnsi="Verdana"/>
                <w:b/>
                <w:bCs/>
                <w:sz w:val="20"/>
              </w:rPr>
              <w:t>Registro</w:t>
            </w:r>
            <w:r w:rsidRPr="00CA63EE">
              <w:rPr>
                <w:rFonts w:ascii="Verdana" w:hAnsi="Verdana"/>
                <w:bCs/>
                <w:sz w:val="20"/>
              </w:rPr>
              <w:br/>
            </w:r>
            <w:r w:rsidRPr="00CA63EE">
              <w:rPr>
                <w:rFonts w:ascii="Verdana" w:hAnsi="Verdana"/>
                <w:b/>
                <w:bCs/>
                <w:sz w:val="20"/>
              </w:rPr>
              <w:t>Contable</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2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779"/>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Certificación genérica en materia </w:t>
            </w:r>
            <w:proofErr w:type="spellStart"/>
            <w:r w:rsidRPr="00CA63EE">
              <w:rPr>
                <w:rFonts w:ascii="Verdana" w:hAnsi="Verdana"/>
                <w:bCs/>
                <w:sz w:val="20"/>
              </w:rPr>
              <w:t>deinversiones</w:t>
            </w:r>
            <w:proofErr w:type="spellEnd"/>
            <w:r w:rsidRPr="00CA63EE">
              <w:rPr>
                <w:rFonts w:ascii="Verdana" w:hAnsi="Verdana"/>
                <w:bCs/>
                <w:sz w:val="20"/>
              </w:rPr>
              <w:t xml:space="preserve"> (Publicadas en la página </w:t>
            </w:r>
            <w:proofErr w:type="spellStart"/>
            <w:r w:rsidRPr="00CA63EE">
              <w:rPr>
                <w:rFonts w:ascii="Verdana" w:hAnsi="Verdana"/>
                <w:bCs/>
                <w:sz w:val="20"/>
              </w:rPr>
              <w:t>deInternet</w:t>
            </w:r>
            <w:proofErr w:type="spellEnd"/>
            <w:r w:rsidRPr="00CA63EE">
              <w:rPr>
                <w:rFonts w:ascii="Verdana" w:hAnsi="Verdana"/>
                <w:bCs/>
                <w:sz w:val="20"/>
              </w:rPr>
              <w:t xml:space="preserve">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61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w:t>
            </w:r>
          </w:p>
          <w:p w:rsidR="00CA63EE" w:rsidRPr="00CA63EE" w:rsidRDefault="00CA63EE" w:rsidP="00CA63EE">
            <w:pPr>
              <w:jc w:val="both"/>
              <w:rPr>
                <w:rFonts w:ascii="Verdana" w:hAnsi="Verdana"/>
                <w:bCs/>
                <w:sz w:val="20"/>
              </w:rPr>
            </w:pPr>
            <w:r w:rsidRPr="00CA63EE">
              <w:rPr>
                <w:rFonts w:ascii="Verdana" w:hAnsi="Verdana"/>
                <w:bCs/>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0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Financial</w:t>
            </w:r>
            <w:proofErr w:type="spellEnd"/>
            <w:r w:rsidRPr="00CA63EE">
              <w:rPr>
                <w:rFonts w:ascii="Verdana" w:hAnsi="Verdana"/>
                <w:bCs/>
                <w:sz w:val="20"/>
              </w:rPr>
              <w:t xml:space="preserve">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(FRM-GARP)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0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Professional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(PRM-PRMIA) 2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51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Associate</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(ASA) 3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CA63EE" w:rsidRPr="00CA63EE" w:rsidTr="00CA63EE">
        <w:trPr>
          <w:trHeight w:val="548"/>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lastRenderedPageBreak/>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 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34"/>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Professional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(PRM-PRMIA) 3 Exámenes</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548"/>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Associate</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(ASA)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Permanente de las certificaciones concluidas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CA63EE" w:rsidRPr="00CA63EE" w:rsidTr="00CA63EE">
        <w:trPr>
          <w:trHeight w:val="332"/>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34"/>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Financial</w:t>
            </w:r>
            <w:proofErr w:type="spellEnd"/>
            <w:r w:rsidRPr="00CA63EE">
              <w:rPr>
                <w:rFonts w:ascii="Verdana" w:hAnsi="Verdana"/>
                <w:bCs/>
                <w:sz w:val="20"/>
              </w:rPr>
              <w:t xml:space="preserve">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(FRM-GARP)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34"/>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Professional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(PRM-PRMIA)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749"/>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Fellow</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 xml:space="preserve"> (FSA): Especialización en </w:t>
            </w:r>
            <w:proofErr w:type="spellStart"/>
            <w:r w:rsidRPr="00CA63EE">
              <w:rPr>
                <w:rFonts w:ascii="Verdana" w:hAnsi="Verdana"/>
                <w:bCs/>
                <w:sz w:val="20"/>
              </w:rPr>
              <w:t>Quantitative</w:t>
            </w:r>
            <w:proofErr w:type="spellEnd"/>
            <w:r w:rsidRPr="00CA63EE">
              <w:rPr>
                <w:rFonts w:ascii="Verdana" w:hAnsi="Verdana"/>
                <w:bCs/>
                <w:sz w:val="20"/>
              </w:rPr>
              <w:t> </w:t>
            </w:r>
            <w:proofErr w:type="spellStart"/>
            <w:r w:rsidRPr="00CA63EE">
              <w:rPr>
                <w:rFonts w:ascii="Verdana" w:hAnsi="Verdana"/>
                <w:bCs/>
                <w:sz w:val="20"/>
              </w:rPr>
              <w:t>Finance</w:t>
            </w:r>
            <w:proofErr w:type="spellEnd"/>
            <w:r w:rsidRPr="00CA63EE">
              <w:rPr>
                <w:rFonts w:ascii="Verdana" w:hAnsi="Verdana"/>
                <w:bCs/>
                <w:sz w:val="20"/>
              </w:rPr>
              <w:t xml:space="preserve"> and </w:t>
            </w:r>
            <w:proofErr w:type="spellStart"/>
            <w:r w:rsidRPr="00CA63EE">
              <w:rPr>
                <w:rFonts w:ascii="Verdana" w:hAnsi="Verdana"/>
                <w:bCs/>
                <w:sz w:val="20"/>
              </w:rPr>
              <w:t>Investment</w:t>
            </w:r>
            <w:proofErr w:type="spellEnd"/>
            <w:r w:rsidRPr="00CA63EE">
              <w:rPr>
                <w:rFonts w:ascii="Verdana" w:hAnsi="Verdana"/>
                <w:bCs/>
                <w:sz w:val="20"/>
              </w:rPr>
              <w:t xml:space="preserve"> (QFI)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548"/>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Claritas </w:t>
            </w:r>
            <w:proofErr w:type="spellStart"/>
            <w:r w:rsidRPr="00CA63EE">
              <w:rPr>
                <w:rFonts w:ascii="Verdana" w:hAnsi="Verdana"/>
                <w:bCs/>
                <w:sz w:val="20"/>
              </w:rPr>
              <w:t>Investment</w:t>
            </w:r>
            <w:proofErr w:type="spellEnd"/>
            <w:r w:rsidRPr="00CA63EE">
              <w:rPr>
                <w:rFonts w:ascii="Verdana" w:hAnsi="Verdana"/>
                <w:bCs/>
                <w:sz w:val="20"/>
              </w:rPr>
              <w:t xml:space="preserve"> </w:t>
            </w:r>
            <w:proofErr w:type="spellStart"/>
            <w:r w:rsidRPr="00CA63EE">
              <w:rPr>
                <w:rFonts w:ascii="Verdana" w:hAnsi="Verdana"/>
                <w:bCs/>
                <w:sz w:val="20"/>
              </w:rPr>
              <w:t>Certificate</w:t>
            </w:r>
            <w:proofErr w:type="spellEnd"/>
            <w:r w:rsidRPr="00CA63EE">
              <w:rPr>
                <w:rFonts w:ascii="Verdana" w:hAnsi="Verdana"/>
                <w:bCs/>
                <w:sz w:val="20"/>
              </w:rPr>
              <w:t xml:space="preserve"> (</w:t>
            </w:r>
            <w:proofErr w:type="spellStart"/>
            <w:r w:rsidRPr="00CA63EE">
              <w:rPr>
                <w:rFonts w:ascii="Verdana" w:hAnsi="Verdana"/>
                <w:bCs/>
                <w:sz w:val="20"/>
              </w:rPr>
              <w:t>aplicadopor</w:t>
            </w:r>
            <w:proofErr w:type="spellEnd"/>
            <w:r w:rsidRPr="00CA63EE">
              <w:rPr>
                <w:rFonts w:ascii="Verdana" w:hAnsi="Verdana"/>
                <w:bCs/>
                <w:sz w:val="20"/>
              </w:rPr>
              <w:t xml:space="preserve"> CFA </w:t>
            </w:r>
            <w:proofErr w:type="spellStart"/>
            <w:r w:rsidRPr="00CA63EE">
              <w:rPr>
                <w:rFonts w:ascii="Verdana" w:hAnsi="Verdana"/>
                <w:bCs/>
                <w:sz w:val="20"/>
              </w:rPr>
              <w:t>Institute</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2. Certificación para operaciones con Derivados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061"/>
        <w:gridCol w:w="1473"/>
        <w:gridCol w:w="1273"/>
        <w:gridCol w:w="1396"/>
        <w:gridCol w:w="1701"/>
      </w:tblGrid>
      <w:tr w:rsidR="00CA63EE" w:rsidRPr="00CA63EE" w:rsidTr="00CA63EE">
        <w:trPr>
          <w:trHeight w:val="1531"/>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Contraloría</w:t>
            </w:r>
            <w:r w:rsidRPr="00CA63EE">
              <w:rPr>
                <w:rFonts w:ascii="Verdana" w:hAnsi="Verdana"/>
                <w:bCs/>
                <w:sz w:val="20"/>
              </w:rPr>
              <w:br/>
            </w:r>
            <w:r w:rsidRPr="00CA63EE">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Confirmación,</w:t>
            </w:r>
            <w:r w:rsidRPr="00CA63EE">
              <w:rPr>
                <w:rFonts w:ascii="Verdana" w:hAnsi="Verdana"/>
                <w:bCs/>
                <w:sz w:val="20"/>
              </w:rPr>
              <w:br/>
            </w:r>
            <w:r w:rsidRPr="00CA63EE">
              <w:rPr>
                <w:rFonts w:ascii="Verdana" w:hAnsi="Verdana"/>
                <w:b/>
                <w:bCs/>
                <w:sz w:val="20"/>
              </w:rPr>
              <w:t>Liquidación,</w:t>
            </w:r>
            <w:r w:rsidRPr="00CA63EE">
              <w:rPr>
                <w:rFonts w:ascii="Verdana" w:hAnsi="Verdana"/>
                <w:bCs/>
                <w:sz w:val="20"/>
              </w:rPr>
              <w:br/>
            </w:r>
            <w:r w:rsidRPr="00CA63EE">
              <w:rPr>
                <w:rFonts w:ascii="Verdana" w:hAnsi="Verdana"/>
                <w:b/>
                <w:bCs/>
                <w:sz w:val="20"/>
              </w:rPr>
              <w:t>Asignación, y</w:t>
            </w:r>
            <w:r w:rsidRPr="00CA63EE">
              <w:rPr>
                <w:rFonts w:ascii="Verdana" w:hAnsi="Verdana"/>
                <w:bCs/>
                <w:sz w:val="20"/>
              </w:rPr>
              <w:br/>
            </w:r>
            <w:r w:rsidRPr="00CA63EE">
              <w:rPr>
                <w:rFonts w:ascii="Verdana" w:hAnsi="Verdana"/>
                <w:b/>
                <w:bCs/>
                <w:sz w:val="20"/>
              </w:rPr>
              <w:t>Registro</w:t>
            </w:r>
            <w:r w:rsidRPr="00CA63EE">
              <w:rPr>
                <w:rFonts w:ascii="Verdana" w:hAnsi="Verdana"/>
                <w:bCs/>
                <w:sz w:val="20"/>
              </w:rPr>
              <w:br/>
            </w:r>
            <w:r w:rsidRPr="00CA63EE">
              <w:rPr>
                <w:rFonts w:ascii="Verdana" w:hAnsi="Verdana"/>
                <w:b/>
                <w:bCs/>
                <w:sz w:val="20"/>
              </w:rPr>
              <w:t>Contable</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3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691"/>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Certificación en Derivados (Publicadas en la página de </w:t>
            </w:r>
            <w:r w:rsidRPr="00CA63EE">
              <w:rPr>
                <w:rFonts w:ascii="Verdana" w:hAnsi="Verdana"/>
                <w:bCs/>
                <w:sz w:val="20"/>
              </w:rPr>
              <w:lastRenderedPageBreak/>
              <w:t>Internet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77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w:t>
            </w:r>
          </w:p>
          <w:p w:rsidR="00CA63EE" w:rsidRPr="00CA63EE" w:rsidRDefault="00CA63EE" w:rsidP="00CA63EE">
            <w:pPr>
              <w:jc w:val="both"/>
              <w:rPr>
                <w:rFonts w:ascii="Verdana" w:hAnsi="Verdana"/>
                <w:bCs/>
                <w:sz w:val="20"/>
              </w:rPr>
            </w:pPr>
            <w:r w:rsidRPr="00CA63EE">
              <w:rPr>
                <w:rFonts w:ascii="Verdana" w:hAnsi="Verdana"/>
                <w:bCs/>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76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Financial</w:t>
            </w:r>
            <w:proofErr w:type="spellEnd"/>
            <w:r w:rsidRPr="00CA63EE">
              <w:rPr>
                <w:rFonts w:ascii="Verdana" w:hAnsi="Verdana"/>
                <w:bCs/>
                <w:sz w:val="20"/>
              </w:rPr>
              <w:t xml:space="preserve">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(FRM-GARP)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76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Professional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(PRM-PRMIA) 2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105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Associate</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(ASA)</w:t>
            </w:r>
          </w:p>
          <w:p w:rsidR="00CA63EE" w:rsidRPr="00CA63EE" w:rsidRDefault="00CA63EE" w:rsidP="00CA63EE">
            <w:pPr>
              <w:jc w:val="both"/>
              <w:rPr>
                <w:rFonts w:ascii="Verdana" w:hAnsi="Verdana"/>
                <w:bCs/>
                <w:sz w:val="20"/>
              </w:rPr>
            </w:pPr>
            <w:r w:rsidRPr="00CA63EE">
              <w:rPr>
                <w:rFonts w:ascii="Verdana" w:hAnsi="Verdana"/>
                <w:bCs/>
                <w:sz w:val="20"/>
              </w:rPr>
              <w:t>3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CA63EE" w:rsidRPr="00CA63EE" w:rsidTr="00CA63EE">
        <w:trPr>
          <w:trHeight w:val="676"/>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 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762"/>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Professional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(PRM-PRMIA) 3 Exámenes</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676"/>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Associate</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(ASA)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Permanente de las certificaciones concluidas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CA63EE" w:rsidRPr="00CA63EE" w:rsidTr="00CA63EE">
        <w:trPr>
          <w:trHeight w:val="396"/>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762"/>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Financial</w:t>
            </w:r>
            <w:proofErr w:type="spellEnd"/>
            <w:r w:rsidRPr="00CA63EE">
              <w:rPr>
                <w:rFonts w:ascii="Verdana" w:hAnsi="Verdana"/>
                <w:bCs/>
                <w:sz w:val="20"/>
              </w:rPr>
              <w:t xml:space="preserve"> </w:t>
            </w:r>
            <w:proofErr w:type="spellStart"/>
            <w:r w:rsidRPr="00CA63EE">
              <w:rPr>
                <w:rFonts w:ascii="Verdana" w:hAnsi="Verdana"/>
                <w:bCs/>
                <w:sz w:val="20"/>
              </w:rPr>
              <w:t>Risk</w:t>
            </w:r>
            <w:proofErr w:type="spellEnd"/>
            <w:r w:rsidRPr="00CA63EE">
              <w:rPr>
                <w:rFonts w:ascii="Verdana" w:hAnsi="Verdana"/>
                <w:bCs/>
                <w:sz w:val="20"/>
              </w:rPr>
              <w:t xml:space="preserve"> Manager</w:t>
            </w:r>
          </w:p>
          <w:p w:rsidR="00CA63EE" w:rsidRPr="00CA63EE" w:rsidRDefault="00CA63EE" w:rsidP="00CA63EE">
            <w:pPr>
              <w:jc w:val="both"/>
              <w:rPr>
                <w:rFonts w:ascii="Verdana" w:hAnsi="Verdana"/>
                <w:bCs/>
                <w:sz w:val="20"/>
              </w:rPr>
            </w:pPr>
            <w:r w:rsidRPr="00CA63EE">
              <w:rPr>
                <w:rFonts w:ascii="Verdana" w:hAnsi="Verdana"/>
                <w:bCs/>
                <w:sz w:val="20"/>
              </w:rPr>
              <w:t>(FRM-GARP)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rPr>
          <w:trHeight w:val="956"/>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lastRenderedPageBreak/>
              <w:t>Fellow</w:t>
            </w:r>
            <w:proofErr w:type="spellEnd"/>
            <w:r w:rsidRPr="00CA63EE">
              <w:rPr>
                <w:rFonts w:ascii="Verdana" w:hAnsi="Verdana"/>
                <w:bCs/>
                <w:sz w:val="20"/>
              </w:rPr>
              <w:t xml:space="preserve"> of </w:t>
            </w:r>
            <w:proofErr w:type="spellStart"/>
            <w:r w:rsidRPr="00CA63EE">
              <w:rPr>
                <w:rFonts w:ascii="Verdana" w:hAnsi="Verdana"/>
                <w:bCs/>
                <w:sz w:val="20"/>
              </w:rPr>
              <w:t>the</w:t>
            </w:r>
            <w:proofErr w:type="spellEnd"/>
            <w:r w:rsidRPr="00CA63EE">
              <w:rPr>
                <w:rFonts w:ascii="Verdana" w:hAnsi="Verdana"/>
                <w:bCs/>
                <w:sz w:val="20"/>
              </w:rPr>
              <w:t xml:space="preserve"> </w:t>
            </w:r>
            <w:proofErr w:type="spellStart"/>
            <w:r w:rsidRPr="00CA63EE">
              <w:rPr>
                <w:rFonts w:ascii="Verdana" w:hAnsi="Verdana"/>
                <w:bCs/>
                <w:sz w:val="20"/>
              </w:rPr>
              <w:t>Society</w:t>
            </w:r>
            <w:proofErr w:type="spellEnd"/>
            <w:r w:rsidRPr="00CA63EE">
              <w:rPr>
                <w:rFonts w:ascii="Verdana" w:hAnsi="Verdana"/>
                <w:bCs/>
                <w:sz w:val="20"/>
              </w:rPr>
              <w:t xml:space="preserve"> of </w:t>
            </w:r>
            <w:proofErr w:type="spellStart"/>
            <w:r w:rsidRPr="00CA63EE">
              <w:rPr>
                <w:rFonts w:ascii="Verdana" w:hAnsi="Verdana"/>
                <w:bCs/>
                <w:sz w:val="20"/>
              </w:rPr>
              <w:t>Actuaries</w:t>
            </w:r>
            <w:proofErr w:type="spellEnd"/>
            <w:r w:rsidRPr="00CA63EE">
              <w:rPr>
                <w:rFonts w:ascii="Verdana" w:hAnsi="Verdana"/>
                <w:bCs/>
                <w:sz w:val="20"/>
              </w:rPr>
              <w:t xml:space="preserve"> (FSA): Especialización en </w:t>
            </w:r>
            <w:proofErr w:type="spellStart"/>
            <w:r w:rsidRPr="00CA63EE">
              <w:rPr>
                <w:rFonts w:ascii="Verdana" w:hAnsi="Verdana"/>
                <w:bCs/>
                <w:sz w:val="20"/>
              </w:rPr>
              <w:t>Quantitative</w:t>
            </w:r>
            <w:proofErr w:type="spellEnd"/>
            <w:r w:rsidRPr="00CA63EE">
              <w:rPr>
                <w:rFonts w:ascii="Verdana" w:hAnsi="Verdana"/>
                <w:bCs/>
                <w:sz w:val="20"/>
              </w:rPr>
              <w:t> </w:t>
            </w:r>
            <w:proofErr w:type="spellStart"/>
            <w:r w:rsidRPr="00CA63EE">
              <w:rPr>
                <w:rFonts w:ascii="Verdana" w:hAnsi="Verdana"/>
                <w:bCs/>
                <w:sz w:val="20"/>
              </w:rPr>
              <w:t>Finance</w:t>
            </w:r>
            <w:proofErr w:type="spellEnd"/>
            <w:r w:rsidRPr="00CA63EE">
              <w:rPr>
                <w:rFonts w:ascii="Verdana" w:hAnsi="Verdana"/>
                <w:bCs/>
                <w:sz w:val="20"/>
              </w:rPr>
              <w:t xml:space="preserve"> and </w:t>
            </w:r>
            <w:proofErr w:type="spellStart"/>
            <w:r w:rsidRPr="00CA63EE">
              <w:rPr>
                <w:rFonts w:ascii="Verdana" w:hAnsi="Verdana"/>
                <w:bCs/>
                <w:sz w:val="20"/>
              </w:rPr>
              <w:t>Investment</w:t>
            </w:r>
            <w:proofErr w:type="spellEnd"/>
            <w:r w:rsidRPr="00CA63EE">
              <w:rPr>
                <w:rFonts w:ascii="Verdana" w:hAnsi="Verdana"/>
                <w:bCs/>
                <w:sz w:val="20"/>
              </w:rPr>
              <w:t xml:space="preserve"> (QFI)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3. Certificación de Funcionarios para Instrumentos Estructurados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061"/>
        <w:gridCol w:w="1473"/>
        <w:gridCol w:w="1273"/>
        <w:gridCol w:w="1396"/>
        <w:gridCol w:w="1701"/>
      </w:tblGrid>
      <w:tr w:rsidR="00CA63EE" w:rsidRPr="00CA63EE" w:rsidTr="00CA63EE">
        <w:trPr>
          <w:trHeight w:val="1090"/>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Contraloría</w:t>
            </w:r>
            <w:r w:rsidRPr="00CA63EE">
              <w:rPr>
                <w:rFonts w:ascii="Verdana" w:hAnsi="Verdana"/>
                <w:bCs/>
                <w:sz w:val="20"/>
              </w:rPr>
              <w:br/>
            </w:r>
            <w:r w:rsidRPr="00CA63EE">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Confirmación,</w:t>
            </w:r>
            <w:r w:rsidRPr="00CA63EE">
              <w:rPr>
                <w:rFonts w:ascii="Verdana" w:hAnsi="Verdana"/>
                <w:bCs/>
                <w:sz w:val="20"/>
              </w:rPr>
              <w:br/>
            </w:r>
            <w:r w:rsidRPr="00CA63EE">
              <w:rPr>
                <w:rFonts w:ascii="Verdana" w:hAnsi="Verdana"/>
                <w:b/>
                <w:bCs/>
                <w:sz w:val="20"/>
              </w:rPr>
              <w:t>Liquidación,</w:t>
            </w:r>
            <w:r w:rsidRPr="00CA63EE">
              <w:rPr>
                <w:rFonts w:ascii="Verdana" w:hAnsi="Verdana"/>
                <w:bCs/>
                <w:sz w:val="20"/>
              </w:rPr>
              <w:br/>
            </w:r>
            <w:r w:rsidRPr="00CA63EE">
              <w:rPr>
                <w:rFonts w:ascii="Verdana" w:hAnsi="Verdana"/>
                <w:b/>
                <w:bCs/>
                <w:sz w:val="20"/>
              </w:rPr>
              <w:t>Asignación, y</w:t>
            </w:r>
            <w:r w:rsidRPr="00CA63EE">
              <w:rPr>
                <w:rFonts w:ascii="Verdana" w:hAnsi="Verdana"/>
                <w:bCs/>
                <w:sz w:val="20"/>
              </w:rPr>
              <w:br/>
            </w:r>
            <w:r w:rsidRPr="00CA63EE">
              <w:rPr>
                <w:rFonts w:ascii="Verdana" w:hAnsi="Verdana"/>
                <w:b/>
                <w:bCs/>
                <w:sz w:val="20"/>
              </w:rPr>
              <w:t>Registro</w:t>
            </w:r>
            <w:r w:rsidRPr="00CA63EE">
              <w:rPr>
                <w:rFonts w:ascii="Verdana" w:hAnsi="Verdana"/>
                <w:bCs/>
                <w:sz w:val="20"/>
              </w:rPr>
              <w:br/>
            </w:r>
            <w:r w:rsidRPr="00CA63EE">
              <w:rPr>
                <w:rFonts w:ascii="Verdana" w:hAnsi="Verdana"/>
                <w:b/>
                <w:bCs/>
                <w:sz w:val="20"/>
              </w:rPr>
              <w:t>Contable</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3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690"/>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Certificación en </w:t>
            </w:r>
            <w:proofErr w:type="spellStart"/>
            <w:r w:rsidRPr="00CA63EE">
              <w:rPr>
                <w:rFonts w:ascii="Verdana" w:hAnsi="Verdana"/>
                <w:bCs/>
                <w:sz w:val="20"/>
              </w:rPr>
              <w:t>InstrumentosEstructurados</w:t>
            </w:r>
            <w:proofErr w:type="spellEnd"/>
            <w:r w:rsidRPr="00CA63EE">
              <w:rPr>
                <w:rFonts w:ascii="Verdana" w:hAnsi="Verdana"/>
                <w:bCs/>
                <w:sz w:val="20"/>
              </w:rPr>
              <w:t xml:space="preserve"> (Publicadas en la </w:t>
            </w:r>
            <w:proofErr w:type="spellStart"/>
            <w:r w:rsidRPr="00CA63EE">
              <w:rPr>
                <w:rFonts w:ascii="Verdana" w:hAnsi="Verdana"/>
                <w:bCs/>
                <w:sz w:val="20"/>
              </w:rPr>
              <w:t>páginade</w:t>
            </w:r>
            <w:proofErr w:type="spellEnd"/>
            <w:r w:rsidRPr="00CA63EE">
              <w:rPr>
                <w:rFonts w:ascii="Verdana" w:hAnsi="Verdana"/>
                <w:bCs/>
                <w:sz w:val="20"/>
              </w:rPr>
              <w:t xml:space="preserve"> Internet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No requerido</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535"/>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w:t>
            </w:r>
          </w:p>
          <w:p w:rsidR="00CA63EE" w:rsidRPr="00CA63EE" w:rsidRDefault="00CA63EE" w:rsidP="00CA63EE">
            <w:pPr>
              <w:jc w:val="both"/>
              <w:rPr>
                <w:rFonts w:ascii="Verdana" w:hAnsi="Verdana"/>
                <w:bCs/>
                <w:sz w:val="20"/>
              </w:rPr>
            </w:pPr>
            <w:r w:rsidRPr="00CA63EE">
              <w:rPr>
                <w:rFonts w:ascii="Verdana" w:hAnsi="Verdana"/>
                <w:bCs/>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No requerido</w:t>
            </w:r>
          </w:p>
        </w:tc>
      </w:tr>
      <w:tr w:rsidR="00CA63EE" w:rsidRPr="00CA63EE" w:rsidTr="00CA63EE">
        <w:trPr>
          <w:trHeight w:val="475"/>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Chartered</w:t>
            </w:r>
            <w:proofErr w:type="spellEnd"/>
            <w:r w:rsidRPr="00CA63EE">
              <w:rPr>
                <w:rFonts w:ascii="Verdana" w:hAnsi="Verdana"/>
                <w:bCs/>
                <w:sz w:val="20"/>
              </w:rPr>
              <w:t xml:space="preserve"> </w:t>
            </w:r>
            <w:proofErr w:type="spellStart"/>
            <w:r w:rsidRPr="00CA63EE">
              <w:rPr>
                <w:rFonts w:ascii="Verdana" w:hAnsi="Verdana"/>
                <w:bCs/>
                <w:sz w:val="20"/>
              </w:rPr>
              <w:t>Alternative</w:t>
            </w:r>
            <w:proofErr w:type="spellEnd"/>
            <w:r w:rsidRPr="00CA63EE">
              <w:rPr>
                <w:rFonts w:ascii="Verdana" w:hAnsi="Verdana"/>
                <w:bCs/>
                <w:sz w:val="20"/>
              </w:rPr>
              <w:t xml:space="preserve"> </w:t>
            </w:r>
            <w:proofErr w:type="spellStart"/>
            <w:r w:rsidRPr="00CA63EE">
              <w:rPr>
                <w:rFonts w:ascii="Verdana" w:hAnsi="Verdana"/>
                <w:bCs/>
                <w:sz w:val="20"/>
              </w:rPr>
              <w:t>Investment</w:t>
            </w:r>
            <w:proofErr w:type="spellEnd"/>
            <w:r w:rsidRPr="00CA63EE">
              <w:rPr>
                <w:rFonts w:ascii="Verdana" w:hAnsi="Verdana"/>
                <w:bCs/>
                <w:sz w:val="20"/>
              </w:rPr>
              <w:t> </w:t>
            </w:r>
            <w:proofErr w:type="spellStart"/>
            <w:r w:rsidRPr="00CA63EE">
              <w:rPr>
                <w:rFonts w:ascii="Verdana" w:hAnsi="Verdana"/>
                <w:bCs/>
                <w:sz w:val="20"/>
              </w:rPr>
              <w:t>Analyst</w:t>
            </w:r>
            <w:proofErr w:type="spellEnd"/>
            <w:r w:rsidRPr="00CA63EE">
              <w:rPr>
                <w:rFonts w:ascii="Verdana" w:hAnsi="Verdana"/>
                <w:bCs/>
                <w:sz w:val="20"/>
              </w:rPr>
              <w:t xml:space="preserve"> (CAIA)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No requerido</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4 años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CA63EE" w:rsidRPr="00CA63EE" w:rsidTr="00CA63EE">
        <w:trPr>
          <w:trHeight w:val="490"/>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t>Analyst</w:t>
            </w:r>
            <w:proofErr w:type="spellEnd"/>
            <w:r w:rsidRPr="00CA63EE">
              <w:rPr>
                <w:rFonts w:ascii="Verdana" w:hAnsi="Verdana"/>
                <w:bCs/>
                <w:sz w:val="20"/>
              </w:rPr>
              <w:t> (CFA) 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No requerido</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Vigencia: Permanente de las certificaciones concluidas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CA63EE" w:rsidRPr="00CA63EE" w:rsidTr="00CA63EE">
        <w:trPr>
          <w:trHeight w:val="275"/>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A63EE" w:rsidRPr="00CA63EE" w:rsidRDefault="00CA63EE" w:rsidP="00CA63EE">
            <w:pPr>
              <w:jc w:val="both"/>
              <w:rPr>
                <w:rFonts w:ascii="Verdana" w:hAnsi="Verdana"/>
                <w:bCs/>
                <w:sz w:val="20"/>
              </w:rPr>
            </w:pPr>
            <w:proofErr w:type="spellStart"/>
            <w:r w:rsidRPr="00CA63EE">
              <w:rPr>
                <w:rFonts w:ascii="Verdana" w:hAnsi="Verdana"/>
                <w:bCs/>
                <w:i/>
                <w:iCs/>
                <w:sz w:val="20"/>
              </w:rPr>
              <w:t>Chartered</w:t>
            </w:r>
            <w:proofErr w:type="spellEnd"/>
            <w:r w:rsidRPr="00CA63EE">
              <w:rPr>
                <w:rFonts w:ascii="Verdana" w:hAnsi="Verdana"/>
                <w:bCs/>
                <w:i/>
                <w:iCs/>
                <w:sz w:val="20"/>
              </w:rPr>
              <w:t xml:space="preserve"> </w:t>
            </w:r>
            <w:proofErr w:type="spellStart"/>
            <w:r w:rsidRPr="00CA63EE">
              <w:rPr>
                <w:rFonts w:ascii="Verdana" w:hAnsi="Verdana"/>
                <w:bCs/>
                <w:i/>
                <w:iCs/>
                <w:sz w:val="20"/>
              </w:rPr>
              <w:t>Financial</w:t>
            </w:r>
            <w:proofErr w:type="spellEnd"/>
            <w:r w:rsidRPr="00CA63EE">
              <w:rPr>
                <w:rFonts w:ascii="Verdana" w:hAnsi="Verdana"/>
                <w:bCs/>
                <w:i/>
                <w:iCs/>
                <w:sz w:val="20"/>
              </w:rPr>
              <w:t xml:space="preserve"> </w:t>
            </w:r>
            <w:proofErr w:type="spellStart"/>
            <w:r w:rsidRPr="00CA63EE">
              <w:rPr>
                <w:rFonts w:ascii="Verdana" w:hAnsi="Verdana"/>
                <w:bCs/>
                <w:i/>
                <w:iCs/>
                <w:sz w:val="20"/>
              </w:rPr>
              <w:lastRenderedPageBreak/>
              <w:t>Analyst</w:t>
            </w:r>
            <w:proofErr w:type="spellEnd"/>
            <w:r w:rsidRPr="00CA63EE">
              <w:rPr>
                <w:rFonts w:ascii="Verdana" w:hAnsi="Verdana"/>
                <w:bCs/>
                <w:sz w:val="20"/>
              </w:rPr>
              <w:t> (CFA)</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xml:space="preserve">No </w:t>
            </w:r>
            <w:r w:rsidRPr="00CA63EE">
              <w:rPr>
                <w:rFonts w:ascii="Verdana" w:hAnsi="Verdana"/>
                <w:bCs/>
                <w:sz w:val="20"/>
              </w:rPr>
              <w:lastRenderedPageBreak/>
              <w:t>requerido</w:t>
            </w:r>
          </w:p>
        </w:tc>
      </w:tr>
      <w:tr w:rsidR="00CA63EE" w:rsidRPr="00CA63EE" w:rsidTr="00CA63EE">
        <w:trPr>
          <w:trHeight w:val="475"/>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lastRenderedPageBreak/>
              <w:t>Chartered</w:t>
            </w:r>
            <w:proofErr w:type="spellEnd"/>
            <w:r w:rsidRPr="00CA63EE">
              <w:rPr>
                <w:rFonts w:ascii="Verdana" w:hAnsi="Verdana"/>
                <w:bCs/>
                <w:sz w:val="20"/>
              </w:rPr>
              <w:t xml:space="preserve"> </w:t>
            </w:r>
            <w:proofErr w:type="spellStart"/>
            <w:r w:rsidRPr="00CA63EE">
              <w:rPr>
                <w:rFonts w:ascii="Verdana" w:hAnsi="Verdana"/>
                <w:bCs/>
                <w:sz w:val="20"/>
              </w:rPr>
              <w:t>Alternative</w:t>
            </w:r>
            <w:proofErr w:type="spellEnd"/>
            <w:r w:rsidRPr="00CA63EE">
              <w:rPr>
                <w:rFonts w:ascii="Verdana" w:hAnsi="Verdana"/>
                <w:bCs/>
                <w:sz w:val="20"/>
              </w:rPr>
              <w:t xml:space="preserve"> </w:t>
            </w:r>
            <w:proofErr w:type="spellStart"/>
            <w:r w:rsidRPr="00CA63EE">
              <w:rPr>
                <w:rFonts w:ascii="Verdana" w:hAnsi="Verdana"/>
                <w:bCs/>
                <w:sz w:val="20"/>
              </w:rPr>
              <w:t>Investment</w:t>
            </w:r>
            <w:proofErr w:type="spellEnd"/>
            <w:r w:rsidRPr="00CA63EE">
              <w:rPr>
                <w:rFonts w:ascii="Verdana" w:hAnsi="Verdana"/>
                <w:bCs/>
                <w:sz w:val="20"/>
              </w:rPr>
              <w:t> </w:t>
            </w:r>
            <w:proofErr w:type="spellStart"/>
            <w:r w:rsidRPr="00CA63EE">
              <w:rPr>
                <w:rFonts w:ascii="Verdana" w:hAnsi="Verdana"/>
                <w:bCs/>
                <w:sz w:val="20"/>
              </w:rPr>
              <w:t>Analyst</w:t>
            </w:r>
            <w:proofErr w:type="spellEnd"/>
            <w:r w:rsidRPr="00CA63EE">
              <w:rPr>
                <w:rFonts w:ascii="Verdana" w:hAnsi="Verdana"/>
                <w:bCs/>
                <w:sz w:val="20"/>
              </w:rPr>
              <w:t xml:space="preserve"> (CAIA)</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n.a</w:t>
            </w:r>
            <w:proofErr w:type="spellEnd"/>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No requerido</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todos los casos anteriores, la vigencia de las certificaciones contará a partir de la fecha en que el Funcionario obtenga la certificación, hasta el término del periodo contemplado en el esquema contenido en el presente Anexo. Lo anterior con independencia de la Administradora a la que el Funcionario esté adscrito.</w:t>
      </w:r>
    </w:p>
    <w:p w:rsidR="00CA63EE" w:rsidRPr="00CA63EE" w:rsidRDefault="00CA63EE" w:rsidP="00CA63EE">
      <w:pPr>
        <w:jc w:val="both"/>
        <w:rPr>
          <w:rFonts w:ascii="Verdana" w:hAnsi="Verdana"/>
          <w:bCs/>
          <w:sz w:val="20"/>
        </w:rPr>
      </w:pPr>
      <w:r w:rsidRPr="00CA63EE">
        <w:rPr>
          <w:rFonts w:ascii="Verdana" w:hAnsi="Verdana"/>
          <w:bCs/>
          <w:sz w:val="20"/>
        </w:rPr>
        <w:t>Los exámenes y certificaciones referidas en las tablas anteriores computan simultáneamente para las actividades previstas en dichas tablas, en caso de que el funcionario cuente con dos o más certificaciones vigentes, se tomará en cuenta la vigencia de aquella que contemple mayor plazo.</w:t>
      </w:r>
    </w:p>
    <w:p w:rsidR="00CA63EE" w:rsidRPr="00CA63EE" w:rsidRDefault="00CA63EE" w:rsidP="00CA63EE">
      <w:pPr>
        <w:jc w:val="both"/>
        <w:rPr>
          <w:rFonts w:ascii="Verdana" w:hAnsi="Verdana"/>
          <w:b/>
          <w:bCs/>
          <w:sz w:val="20"/>
        </w:rPr>
      </w:pPr>
      <w:r w:rsidRPr="00CA63EE">
        <w:rPr>
          <w:rFonts w:ascii="Verdana" w:hAnsi="Verdana"/>
          <w:b/>
          <w:bCs/>
          <w:sz w:val="20"/>
        </w:rPr>
        <w:t>ANEXO K</w:t>
      </w:r>
    </w:p>
    <w:p w:rsidR="00CA63EE" w:rsidRPr="00CA63EE" w:rsidRDefault="00CA63EE" w:rsidP="00CA63EE">
      <w:pPr>
        <w:jc w:val="both"/>
        <w:rPr>
          <w:rFonts w:ascii="Verdana" w:hAnsi="Verdana"/>
          <w:bCs/>
          <w:sz w:val="20"/>
        </w:rPr>
      </w:pPr>
      <w:r w:rsidRPr="00CA63EE">
        <w:rPr>
          <w:rFonts w:ascii="Verdana" w:hAnsi="Verdana"/>
          <w:b/>
          <w:bCs/>
          <w:sz w:val="20"/>
        </w:rPr>
        <w:t>Revelación de los portafolios de referencia y la política de desviación con la cartera de inversión</w:t>
      </w:r>
    </w:p>
    <w:p w:rsidR="00CA63EE" w:rsidRPr="00CA63EE" w:rsidRDefault="00CA63EE" w:rsidP="00CA63EE">
      <w:pPr>
        <w:jc w:val="both"/>
        <w:rPr>
          <w:rFonts w:ascii="Verdana" w:hAnsi="Verdana"/>
          <w:bCs/>
          <w:sz w:val="20"/>
        </w:rPr>
      </w:pPr>
      <w:r w:rsidRPr="00CA63EE">
        <w:rPr>
          <w:rFonts w:ascii="Verdana" w:hAnsi="Verdana"/>
          <w:bCs/>
          <w:sz w:val="20"/>
        </w:rPr>
        <w:t>Para efectos de revelar las características generales de los portafolios de referencia aplicable a la cartera de inversión del Activo Total de la Sociedad de Inversión, las Administradoras podrán publicar en su página de Internet los siguientes elementos: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57"/>
        <w:gridCol w:w="887"/>
      </w:tblGrid>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Portafolio de Referencia</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Renta Fija</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Renta Variable</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Otros</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Total</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Los Activos Administrados por los Mandatarios podrán ser excluidos para lo previsto en el presente anexo.</w:t>
      </w:r>
    </w:p>
    <w:p w:rsidR="00CA63EE" w:rsidRPr="00CA63EE" w:rsidRDefault="00CA63EE" w:rsidP="00CA63EE">
      <w:pPr>
        <w:jc w:val="both"/>
        <w:rPr>
          <w:rFonts w:ascii="Verdana" w:hAnsi="Verdana"/>
          <w:bCs/>
          <w:sz w:val="20"/>
        </w:rPr>
      </w:pPr>
      <w:r w:rsidRPr="00CA63EE">
        <w:rPr>
          <w:rFonts w:ascii="Verdana" w:hAnsi="Verdana"/>
          <w:bCs/>
          <w:sz w:val="20"/>
        </w:rPr>
        <w:t>Asimismo, en relación con la información de la política de desviación autorizada por el Comité de Inversión de la Sociedad de Inversión que corresponda, la Administradora podrá revelar los siguientes elementos: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57"/>
        <w:gridCol w:w="895"/>
      </w:tblGrid>
      <w:tr w:rsidR="00CA63EE" w:rsidRPr="00CA63EE" w:rsidTr="00CA63EE">
        <w:tc>
          <w:tcPr>
            <w:tcW w:w="354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CA63EE" w:rsidRPr="00CA63EE" w:rsidRDefault="00CA63EE" w:rsidP="00CA63EE">
            <w:pPr>
              <w:jc w:val="both"/>
              <w:divId w:val="1099639017"/>
              <w:rPr>
                <w:rFonts w:ascii="Verdana" w:hAnsi="Verdana"/>
                <w:bCs/>
                <w:sz w:val="20"/>
              </w:rPr>
            </w:pPr>
            <w:r w:rsidRPr="00CA63EE">
              <w:rPr>
                <w:rFonts w:ascii="Verdana" w:hAnsi="Verdana"/>
                <w:bCs/>
                <w:sz w:val="20"/>
              </w:rPr>
              <w:t>Límite de Tracking Error</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Siefore</w:t>
            </w:r>
            <w:proofErr w:type="spellEnd"/>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Puntos</w:t>
            </w:r>
            <w:r w:rsidRPr="00CA63EE">
              <w:rPr>
                <w:rFonts w:ascii="Verdana" w:hAnsi="Verdana"/>
                <w:bCs/>
                <w:sz w:val="20"/>
              </w:rPr>
              <w:br/>
              <w:t>base</w:t>
            </w:r>
          </w:p>
        </w:tc>
      </w:tr>
      <w:tr w:rsidR="00CA63EE" w:rsidRPr="00CA63EE" w:rsidTr="00CA63EE">
        <w:tc>
          <w:tcPr>
            <w:tcW w:w="26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 </w:t>
            </w: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
          <w:bCs/>
          <w:sz w:val="20"/>
        </w:rPr>
      </w:pPr>
      <w:r w:rsidRPr="00CA63EE">
        <w:rPr>
          <w:rFonts w:ascii="Verdana" w:hAnsi="Verdana"/>
          <w:b/>
          <w:bCs/>
          <w:sz w:val="20"/>
        </w:rPr>
        <w:t>ANEXO L</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Requisitos que deberá cumplir el Sistema Integral Automatizado para la adquisición, enajenación, registro en línea de Activos Objeto de Inversión del Sistema Integral Automatizado</w:t>
      </w:r>
    </w:p>
    <w:p w:rsidR="00CA63EE" w:rsidRPr="00CA63EE" w:rsidRDefault="00CA63EE" w:rsidP="00CA63EE">
      <w:pPr>
        <w:jc w:val="both"/>
        <w:rPr>
          <w:rFonts w:ascii="Verdana" w:hAnsi="Verdana"/>
          <w:bCs/>
          <w:sz w:val="20"/>
        </w:rPr>
      </w:pPr>
      <w:r w:rsidRPr="00CA63EE">
        <w:rPr>
          <w:rFonts w:ascii="Verdana" w:hAnsi="Verdana"/>
          <w:bCs/>
          <w:sz w:val="20"/>
        </w:rPr>
        <w:t>El Sistema Integral Automatizado al que se refiere el presente Anexo deberá permitir a la Administradora cumplir con las siguientes procedimientos, entre otros:</w:t>
      </w:r>
    </w:p>
    <w:p w:rsidR="00CA63EE" w:rsidRPr="00CA63EE" w:rsidRDefault="00CA63EE" w:rsidP="00CA63EE">
      <w:pPr>
        <w:jc w:val="both"/>
        <w:rPr>
          <w:rFonts w:ascii="Verdana" w:hAnsi="Verdana"/>
          <w:bCs/>
          <w:sz w:val="20"/>
        </w:rPr>
      </w:pPr>
      <w:r w:rsidRPr="00CA63EE">
        <w:rPr>
          <w:rFonts w:ascii="Verdana" w:hAnsi="Verdana"/>
          <w:bCs/>
          <w:sz w:val="20"/>
        </w:rPr>
        <w:t>I.     Llevar el registro histórico de las operaciones de adquisición, enajenación, reporto y préstamo de valores de cada Sociedad de Inversión, por número de títulos, series, valor, plazo de liquidación, identificador, número de folio, precios de concertación, tasas de concertación, medio de concertación, Contrapartes, valores nominales, subyacentes, tipos de mercados, fecha, hora y operador de la transacción y demás criterios que determine el Comité de Inversión;</w:t>
      </w:r>
    </w:p>
    <w:p w:rsidR="00CA63EE" w:rsidRPr="00CA63EE" w:rsidRDefault="00CA63EE" w:rsidP="00CA63EE">
      <w:pPr>
        <w:jc w:val="both"/>
        <w:rPr>
          <w:rFonts w:ascii="Verdana" w:hAnsi="Verdana"/>
          <w:bCs/>
          <w:sz w:val="20"/>
        </w:rPr>
      </w:pPr>
      <w:r w:rsidRPr="00CA63EE">
        <w:rPr>
          <w:rFonts w:ascii="Verdana" w:hAnsi="Verdana"/>
          <w:bCs/>
          <w:sz w:val="20"/>
        </w:rPr>
        <w:t>II.     Llevar el registro histórico de la posición de cada Sociedad de Inversión, por número de títulos, series, valor, identificador, número de folio, emisores, valores nominales, valores a mercado, Valor Delta Equivalente para las posiciones en Derivados, subyacentes y demás criterios que determine el Comité de Inversión;</w:t>
      </w:r>
    </w:p>
    <w:p w:rsidR="00CA63EE" w:rsidRPr="00CA63EE" w:rsidRDefault="00CA63EE" w:rsidP="00CA63EE">
      <w:pPr>
        <w:jc w:val="both"/>
        <w:rPr>
          <w:rFonts w:ascii="Verdana" w:hAnsi="Verdana"/>
          <w:bCs/>
          <w:sz w:val="20"/>
        </w:rPr>
      </w:pPr>
      <w:r w:rsidRPr="00CA63EE">
        <w:rPr>
          <w:rFonts w:ascii="Verdana" w:hAnsi="Verdana"/>
          <w:bCs/>
          <w:sz w:val="20"/>
        </w:rPr>
        <w:t>III.    Llevar un registro de la exposición por Clase de Activo y por instrumento como porcentaje del Activo Total de la Sociedad de Inversión;</w:t>
      </w:r>
    </w:p>
    <w:p w:rsidR="00CA63EE" w:rsidRPr="00CA63EE" w:rsidRDefault="00CA63EE" w:rsidP="00CA63EE">
      <w:pPr>
        <w:jc w:val="both"/>
        <w:rPr>
          <w:rFonts w:ascii="Verdana" w:hAnsi="Verdana"/>
          <w:bCs/>
          <w:sz w:val="20"/>
        </w:rPr>
      </w:pPr>
      <w:r w:rsidRPr="00CA63EE">
        <w:rPr>
          <w:rFonts w:ascii="Verdana" w:hAnsi="Verdana"/>
          <w:bCs/>
          <w:sz w:val="20"/>
        </w:rPr>
        <w:t>IV.   Establecer mecanismos de seguridad y contraseñas a diferentes niveles para la autorización mancomunada de:</w:t>
      </w:r>
    </w:p>
    <w:p w:rsidR="00CA63EE" w:rsidRPr="00CA63EE" w:rsidRDefault="00CA63EE" w:rsidP="00CA63EE">
      <w:pPr>
        <w:jc w:val="both"/>
        <w:rPr>
          <w:rFonts w:ascii="Verdana" w:hAnsi="Verdana"/>
          <w:bCs/>
          <w:sz w:val="20"/>
        </w:rPr>
      </w:pPr>
      <w:r w:rsidRPr="00CA63EE">
        <w:rPr>
          <w:rFonts w:ascii="Verdana" w:hAnsi="Verdana"/>
          <w:bCs/>
          <w:sz w:val="20"/>
        </w:rPr>
        <w:t>a)   La asignación de operaciones, y</w:t>
      </w:r>
    </w:p>
    <w:p w:rsidR="00CA63EE" w:rsidRPr="00CA63EE" w:rsidRDefault="00CA63EE" w:rsidP="00CA63EE">
      <w:pPr>
        <w:jc w:val="both"/>
        <w:rPr>
          <w:rFonts w:ascii="Verdana" w:hAnsi="Verdana"/>
          <w:bCs/>
          <w:sz w:val="20"/>
        </w:rPr>
      </w:pPr>
      <w:r w:rsidRPr="00CA63EE">
        <w:rPr>
          <w:rFonts w:ascii="Verdana" w:hAnsi="Verdana"/>
          <w:bCs/>
          <w:sz w:val="20"/>
        </w:rPr>
        <w:t>b)   Operaciones que detonen algún exceso en los Límites Prudenciales;</w:t>
      </w:r>
    </w:p>
    <w:p w:rsidR="00CA63EE" w:rsidRPr="00CA63EE" w:rsidRDefault="00CA63EE" w:rsidP="00CA63EE">
      <w:pPr>
        <w:jc w:val="both"/>
        <w:rPr>
          <w:rFonts w:ascii="Verdana" w:hAnsi="Verdana"/>
          <w:bCs/>
          <w:sz w:val="20"/>
        </w:rPr>
      </w:pPr>
      <w:r w:rsidRPr="00CA63EE">
        <w:rPr>
          <w:rFonts w:ascii="Verdana" w:hAnsi="Verdana"/>
          <w:bCs/>
          <w:sz w:val="20"/>
        </w:rPr>
        <w:t xml:space="preserve">V.    Tener </w:t>
      </w:r>
      <w:proofErr w:type="spellStart"/>
      <w:r w:rsidRPr="00CA63EE">
        <w:rPr>
          <w:rFonts w:ascii="Verdana" w:hAnsi="Verdana"/>
          <w:bCs/>
          <w:sz w:val="20"/>
        </w:rPr>
        <w:t>parametrizadas</w:t>
      </w:r>
      <w:proofErr w:type="spellEnd"/>
      <w:r w:rsidRPr="00CA63EE">
        <w:rPr>
          <w:rFonts w:ascii="Verdana" w:hAnsi="Verdana"/>
          <w:bCs/>
          <w:sz w:val="20"/>
        </w:rPr>
        <w:t xml:space="preserve"> Alarmas Tempranas en línea para anticipar posibles excesos en límites regulatorios y Límites Prudenciales. Dichas alarmas podrán provenir del Sistema Integral Automatizado en la actividad de administración de riesgos;</w:t>
      </w:r>
    </w:p>
    <w:p w:rsidR="00CA63EE" w:rsidRPr="00CA63EE" w:rsidRDefault="00CA63EE" w:rsidP="00CA63EE">
      <w:pPr>
        <w:jc w:val="both"/>
        <w:rPr>
          <w:rFonts w:ascii="Verdana" w:hAnsi="Verdana"/>
          <w:bCs/>
          <w:sz w:val="20"/>
        </w:rPr>
      </w:pPr>
      <w:r w:rsidRPr="00CA63EE">
        <w:rPr>
          <w:rFonts w:ascii="Verdana" w:hAnsi="Verdana"/>
          <w:bCs/>
          <w:sz w:val="20"/>
        </w:rPr>
        <w:t>VI.   Identificar las operaciones pendientes por asignar y operaciones que sufrieron cambios en los términos concertados identificando el motivo de dichos cambios;</w:t>
      </w:r>
    </w:p>
    <w:p w:rsidR="00CA63EE" w:rsidRPr="00CA63EE" w:rsidRDefault="00CA63EE" w:rsidP="00CA63EE">
      <w:pPr>
        <w:jc w:val="both"/>
        <w:rPr>
          <w:rFonts w:ascii="Verdana" w:hAnsi="Verdana"/>
          <w:bCs/>
          <w:sz w:val="20"/>
        </w:rPr>
      </w:pPr>
      <w:r w:rsidRPr="00CA63EE">
        <w:rPr>
          <w:rFonts w:ascii="Verdana" w:hAnsi="Verdana"/>
          <w:bCs/>
          <w:sz w:val="20"/>
        </w:rPr>
        <w:t>VII.   Generar los siguientes reportes diarios e históricos:</w:t>
      </w:r>
    </w:p>
    <w:p w:rsidR="00CA63EE" w:rsidRPr="00CA63EE" w:rsidRDefault="00CA63EE" w:rsidP="00CA63EE">
      <w:pPr>
        <w:jc w:val="both"/>
        <w:rPr>
          <w:rFonts w:ascii="Verdana" w:hAnsi="Verdana"/>
          <w:bCs/>
          <w:sz w:val="20"/>
        </w:rPr>
      </w:pPr>
      <w:r w:rsidRPr="00CA63EE">
        <w:rPr>
          <w:rFonts w:ascii="Verdana" w:hAnsi="Verdana"/>
          <w:bCs/>
          <w:sz w:val="20"/>
        </w:rPr>
        <w:t>a)   Reporte de las operaciones de adquisición, enajenación, reporto y préstamo de valores de cada Sociedad de Inversión, el cual podrá incluir los conceptos relacionados en la fracción I anterior, al inicio o bien al final del día de operación, pero observando consistencia en la generación de dicha información;</w:t>
      </w:r>
    </w:p>
    <w:p w:rsidR="00CA63EE" w:rsidRPr="00CA63EE" w:rsidRDefault="00CA63EE" w:rsidP="00CA63EE">
      <w:pPr>
        <w:jc w:val="both"/>
        <w:rPr>
          <w:rFonts w:ascii="Verdana" w:hAnsi="Verdana"/>
          <w:bCs/>
          <w:sz w:val="20"/>
        </w:rPr>
      </w:pPr>
      <w:r w:rsidRPr="00CA63EE">
        <w:rPr>
          <w:rFonts w:ascii="Verdana" w:hAnsi="Verdana"/>
          <w:bCs/>
          <w:sz w:val="20"/>
        </w:rPr>
        <w:lastRenderedPageBreak/>
        <w:t>b)   Reporte de la posición en cada uno de los Activos Objeto de Inversión, el cual podrá incluir los conceptos relacionados en la fracción II anterior, al inicio o bien al final del día de operación, pero observando consistencia en la generación de dicha información;</w:t>
      </w:r>
    </w:p>
    <w:p w:rsidR="00CA63EE" w:rsidRPr="00CA63EE" w:rsidRDefault="00CA63EE" w:rsidP="00CA63EE">
      <w:pPr>
        <w:jc w:val="both"/>
        <w:rPr>
          <w:rFonts w:ascii="Verdana" w:hAnsi="Verdana"/>
          <w:bCs/>
          <w:sz w:val="20"/>
        </w:rPr>
      </w:pPr>
      <w:r w:rsidRPr="00CA63EE">
        <w:rPr>
          <w:rFonts w:ascii="Verdana" w:hAnsi="Verdana"/>
          <w:bCs/>
          <w:sz w:val="20"/>
        </w:rPr>
        <w:t>c)   Reporte de efectivo disponible al inicio o bien al final del día de operación, pero observando consistencia en la generación de dicha información. Dicho reporte deberá incluir todos los flujos esperados, especificando cuales de estos son flujos conocidos y cuales son estimados, desagregados por tipo de Divisa;</w:t>
      </w:r>
    </w:p>
    <w:p w:rsidR="00CA63EE" w:rsidRPr="00CA63EE" w:rsidRDefault="00CA63EE" w:rsidP="00CA63EE">
      <w:pPr>
        <w:jc w:val="both"/>
        <w:rPr>
          <w:rFonts w:ascii="Verdana" w:hAnsi="Verdana"/>
          <w:bCs/>
          <w:sz w:val="20"/>
        </w:rPr>
      </w:pPr>
      <w:r w:rsidRPr="00CA63EE">
        <w:rPr>
          <w:rFonts w:ascii="Verdana" w:hAnsi="Verdana"/>
          <w:bCs/>
          <w:sz w:val="20"/>
        </w:rPr>
        <w:t>d)   Reporte de cumplimiento para cada uno de los límites regulatorios y Límites Prudenciales detallando el nivel de consumo relativo a la referencia que el propio Comité de Riesgos Financieros defina, tales como el Activo Neto, límite regulatorio, y Límite Prudencial;</w:t>
      </w:r>
    </w:p>
    <w:p w:rsidR="00CA63EE" w:rsidRPr="00CA63EE" w:rsidRDefault="00CA63EE" w:rsidP="00CA63EE">
      <w:pPr>
        <w:jc w:val="both"/>
        <w:rPr>
          <w:rFonts w:ascii="Verdana" w:hAnsi="Verdana"/>
          <w:bCs/>
          <w:sz w:val="20"/>
        </w:rPr>
      </w:pPr>
      <w:r w:rsidRPr="00CA63EE">
        <w:rPr>
          <w:rFonts w:ascii="Verdana" w:hAnsi="Verdana"/>
          <w:bCs/>
          <w:sz w:val="20"/>
        </w:rPr>
        <w:t>e)   Reporte de exposición total en Instrumentos de Renta Variable y Valores Extranjeros de Renta Variable de conformidad con la medida de exposición prevista en el Anexo N de las Disposiciones de carácter general que establecen el régimen de inversión al que deberán sujetarse las Sociedades de Inversión. Dichos reportes deberán poder desagregarse por índice accionario, tipo de instrumento o Vehículo, País Elegible para Inversiones y Divisa;</w:t>
      </w:r>
    </w:p>
    <w:p w:rsidR="00CA63EE" w:rsidRPr="00CA63EE" w:rsidRDefault="00CA63EE" w:rsidP="00CA63EE">
      <w:pPr>
        <w:jc w:val="both"/>
        <w:rPr>
          <w:rFonts w:ascii="Verdana" w:hAnsi="Verdana"/>
          <w:bCs/>
          <w:sz w:val="20"/>
        </w:rPr>
      </w:pPr>
      <w:r w:rsidRPr="00CA63EE">
        <w:rPr>
          <w:rFonts w:ascii="Verdana" w:hAnsi="Verdana"/>
          <w:bCs/>
          <w:sz w:val="20"/>
        </w:rPr>
        <w:t>f)    Reporte de posiciones en Derivados expresadas en nocionales, valores a mercado y exposición en posiciones de Derivados en renta variable y Mercancías, ésta última de conformidad con las presentes Disposiciones y las Disposiciones de carácter general que establecen el régimen de inversión al que deberán sujetarse las Sociedades de Inversión y el Valor Delta Equivalente para el resto de las posiciones en Derivados, identificando las características principales, tales como Clase de Activo del subyacente, Contraparte, tipo de mercado;</w:t>
      </w:r>
    </w:p>
    <w:p w:rsidR="00CA63EE" w:rsidRPr="00CA63EE" w:rsidRDefault="00CA63EE" w:rsidP="00CA63EE">
      <w:pPr>
        <w:jc w:val="both"/>
        <w:rPr>
          <w:rFonts w:ascii="Verdana" w:hAnsi="Verdana"/>
          <w:bCs/>
          <w:sz w:val="20"/>
        </w:rPr>
      </w:pPr>
      <w:r w:rsidRPr="00CA63EE">
        <w:rPr>
          <w:rFonts w:ascii="Verdana" w:hAnsi="Verdana"/>
          <w:bCs/>
          <w:sz w:val="20"/>
        </w:rPr>
        <w:t>g)   Reporte de garantías, a valor a mercado y aplicando el descuento, conocidos en la práctica y en el idioma inglés como </w:t>
      </w:r>
      <w:proofErr w:type="spellStart"/>
      <w:r w:rsidRPr="00CA63EE">
        <w:rPr>
          <w:rFonts w:ascii="Verdana" w:hAnsi="Verdana"/>
          <w:bCs/>
          <w:i/>
          <w:iCs/>
          <w:sz w:val="20"/>
        </w:rPr>
        <w:t>haircut</w:t>
      </w:r>
      <w:proofErr w:type="spellEnd"/>
      <w:r w:rsidRPr="00CA63EE">
        <w:rPr>
          <w:rFonts w:ascii="Verdana" w:hAnsi="Verdana"/>
          <w:bCs/>
          <w:i/>
          <w:iCs/>
          <w:sz w:val="20"/>
        </w:rPr>
        <w:t>'</w:t>
      </w:r>
      <w:r w:rsidRPr="00CA63EE">
        <w:rPr>
          <w:rFonts w:ascii="Verdana" w:hAnsi="Verdana"/>
          <w:bCs/>
          <w:sz w:val="20"/>
        </w:rPr>
        <w:t>, recibidas y entregadas desagregadas por Contraparte incluyendo las cámaras de compensación, por tipo de la operación que les dio origen, tales como reporto, préstamo de valores, y Derivados;</w:t>
      </w:r>
    </w:p>
    <w:p w:rsidR="00CA63EE" w:rsidRPr="00CA63EE" w:rsidRDefault="00CA63EE" w:rsidP="00CA63EE">
      <w:pPr>
        <w:jc w:val="both"/>
        <w:rPr>
          <w:rFonts w:ascii="Verdana" w:hAnsi="Verdana"/>
          <w:bCs/>
          <w:sz w:val="20"/>
        </w:rPr>
      </w:pPr>
      <w:r w:rsidRPr="00CA63EE">
        <w:rPr>
          <w:rFonts w:ascii="Verdana" w:hAnsi="Verdana"/>
          <w:bCs/>
          <w:sz w:val="20"/>
        </w:rPr>
        <w:t>h)   Reporte de exposición por emisor o Contraparte que incluya los distintos tipos de Clases de Activos, las calificaciones crediticias provistas por las instituciones calificadoras de valores, así como la evaluación crediticia adicional;</w:t>
      </w:r>
    </w:p>
    <w:p w:rsidR="00CA63EE" w:rsidRPr="00CA63EE" w:rsidRDefault="00CA63EE" w:rsidP="00CA63EE">
      <w:pPr>
        <w:jc w:val="both"/>
        <w:rPr>
          <w:rFonts w:ascii="Verdana" w:hAnsi="Verdana"/>
          <w:bCs/>
          <w:sz w:val="20"/>
        </w:rPr>
      </w:pPr>
      <w:r w:rsidRPr="00CA63EE">
        <w:rPr>
          <w:rFonts w:ascii="Verdana" w:hAnsi="Verdana"/>
          <w:bCs/>
          <w:sz w:val="20"/>
        </w:rPr>
        <w:t>i)    Reporte de incumplimientos a los límites regulatorios y Límites Prudenciales;</w:t>
      </w:r>
    </w:p>
    <w:p w:rsidR="00CA63EE" w:rsidRPr="00CA63EE" w:rsidRDefault="00CA63EE" w:rsidP="00CA63EE">
      <w:pPr>
        <w:jc w:val="both"/>
        <w:rPr>
          <w:rFonts w:ascii="Verdana" w:hAnsi="Verdana"/>
          <w:bCs/>
          <w:sz w:val="20"/>
        </w:rPr>
      </w:pPr>
      <w:r w:rsidRPr="00CA63EE">
        <w:rPr>
          <w:rFonts w:ascii="Verdana" w:hAnsi="Verdana"/>
          <w:bCs/>
          <w:sz w:val="20"/>
        </w:rPr>
        <w:t>j)    Reporte de operaciones asignadas y pendientes por asignar, y</w:t>
      </w:r>
    </w:p>
    <w:p w:rsidR="00CA63EE" w:rsidRPr="00CA63EE" w:rsidRDefault="00CA63EE" w:rsidP="00CA63EE">
      <w:pPr>
        <w:jc w:val="both"/>
        <w:rPr>
          <w:rFonts w:ascii="Verdana" w:hAnsi="Verdana"/>
          <w:bCs/>
          <w:sz w:val="20"/>
        </w:rPr>
      </w:pPr>
      <w:r w:rsidRPr="00CA63EE">
        <w:rPr>
          <w:rFonts w:ascii="Verdana" w:hAnsi="Verdana"/>
          <w:bCs/>
          <w:sz w:val="20"/>
        </w:rPr>
        <w:t>k)   Reporte para el director general de la Administradora con un resumen de los aspectos más importantes de la operación diaria. El informe diario podrá contener únicamente los aspectos que el director general determine, de entre los previstos en el presente Anexo, para lo cual el Comité de Inversión deberá tomar conocimiento y deberá quedar asentada esta definición del director general en el Acta Pormenorizada del Comité de Inversión de la Sociedad de Inversión que corresponda.</w:t>
      </w:r>
    </w:p>
    <w:p w:rsidR="00CA63EE" w:rsidRPr="00CA63EE" w:rsidRDefault="00CA63EE" w:rsidP="00CA63EE">
      <w:pPr>
        <w:jc w:val="both"/>
        <w:rPr>
          <w:rFonts w:ascii="Verdana" w:hAnsi="Verdana"/>
          <w:bCs/>
          <w:sz w:val="20"/>
        </w:rPr>
      </w:pPr>
      <w:r w:rsidRPr="00CA63EE">
        <w:rPr>
          <w:rFonts w:ascii="Verdana" w:hAnsi="Verdana"/>
          <w:bCs/>
          <w:sz w:val="20"/>
        </w:rPr>
        <w:lastRenderedPageBreak/>
        <w:t>VIII.  Tener la capacidad de restringir los accesos por usuarios y perfiles. Las políticas de seguridad en el acceso deberán estar documentadas y ser susceptibles de auditoría;</w:t>
      </w:r>
    </w:p>
    <w:p w:rsidR="00CA63EE" w:rsidRPr="00CA63EE" w:rsidRDefault="00CA63EE" w:rsidP="00CA63EE">
      <w:pPr>
        <w:jc w:val="both"/>
        <w:rPr>
          <w:rFonts w:ascii="Verdana" w:hAnsi="Verdana"/>
          <w:b/>
          <w:bCs/>
          <w:sz w:val="20"/>
        </w:rPr>
      </w:pPr>
      <w:r w:rsidRPr="00CA63EE">
        <w:rPr>
          <w:rFonts w:ascii="Verdana" w:hAnsi="Verdana"/>
          <w:b/>
          <w:bCs/>
          <w:sz w:val="20"/>
        </w:rPr>
        <w:t> </w:t>
      </w:r>
    </w:p>
    <w:p w:rsidR="00CA63EE" w:rsidRPr="00CA63EE" w:rsidRDefault="00CA63EE" w:rsidP="00CA63EE">
      <w:pPr>
        <w:jc w:val="both"/>
        <w:rPr>
          <w:rFonts w:ascii="Verdana" w:hAnsi="Verdana"/>
          <w:b/>
          <w:bCs/>
          <w:sz w:val="20"/>
        </w:rPr>
      </w:pPr>
      <w:r w:rsidRPr="00CA63EE">
        <w:rPr>
          <w:rFonts w:ascii="Verdana" w:hAnsi="Verdana"/>
          <w:b/>
          <w:bCs/>
          <w:sz w:val="20"/>
        </w:rPr>
        <w:t>ANEXO M</w:t>
      </w:r>
    </w:p>
    <w:p w:rsidR="00CA63EE" w:rsidRPr="00CA63EE" w:rsidRDefault="00CA63EE" w:rsidP="00CA63EE">
      <w:pPr>
        <w:jc w:val="both"/>
        <w:rPr>
          <w:rFonts w:ascii="Verdana" w:hAnsi="Verdana"/>
          <w:bCs/>
          <w:sz w:val="20"/>
        </w:rPr>
      </w:pPr>
      <w:r w:rsidRPr="00CA63EE">
        <w:rPr>
          <w:rFonts w:ascii="Verdana" w:hAnsi="Verdana"/>
          <w:b/>
          <w:bCs/>
          <w:sz w:val="20"/>
        </w:rPr>
        <w:t>De las Operaciones con Derivados sobre Derivados</w:t>
      </w:r>
    </w:p>
    <w:p w:rsidR="00CA63EE" w:rsidRPr="00CA63EE" w:rsidRDefault="00CA63EE" w:rsidP="00CA63EE">
      <w:pPr>
        <w:jc w:val="both"/>
        <w:rPr>
          <w:rFonts w:ascii="Verdana" w:hAnsi="Verdana"/>
          <w:bCs/>
          <w:sz w:val="20"/>
        </w:rPr>
      </w:pPr>
      <w:r w:rsidRPr="00CA63EE">
        <w:rPr>
          <w:rFonts w:ascii="Verdana" w:hAnsi="Verdana"/>
          <w:bCs/>
          <w:sz w:val="20"/>
        </w:rPr>
        <w:t>De conformidad con los artículos 2, fracciones XXX, XXXI y XXXII, y 122 de las presentes Disposiciones, así como las Disposiciones de carácter general que establecen el régimen de inversión al que deberán sujetarse las Sociedades de Inversión, y la Circular 6/2013, Las Reglas a las que deberán sujetarse las sociedades de inversión especializadas de fondos para el retiro en la realización de operaciones derivadas, éstas últimas emitidas por Banco de México, se establece que las Sociedades de Inversión podrán realizar las siguientes operaciones permitidas:</w:t>
      </w:r>
    </w:p>
    <w:p w:rsidR="00CA63EE" w:rsidRPr="00CA63EE" w:rsidRDefault="00CA63EE" w:rsidP="00CA63EE">
      <w:pPr>
        <w:jc w:val="both"/>
        <w:rPr>
          <w:rFonts w:ascii="Verdana" w:hAnsi="Verdana"/>
          <w:bCs/>
          <w:sz w:val="20"/>
        </w:rPr>
      </w:pPr>
      <w:r w:rsidRPr="00CA63EE">
        <w:rPr>
          <w:rFonts w:ascii="Verdana" w:hAnsi="Verdana"/>
          <w:bCs/>
          <w:sz w:val="20"/>
        </w:rPr>
        <w:t>Operaciones derivadas y subyacentes permitidas:</w:t>
      </w:r>
    </w:p>
    <w:p w:rsidR="00CA63EE" w:rsidRPr="00CA63EE" w:rsidRDefault="00CA63EE" w:rsidP="00CA63EE">
      <w:pPr>
        <w:jc w:val="both"/>
        <w:rPr>
          <w:rFonts w:ascii="Verdana" w:hAnsi="Verdana"/>
          <w:bCs/>
          <w:sz w:val="20"/>
        </w:rPr>
      </w:pPr>
      <w:r w:rsidRPr="00CA63EE">
        <w:rPr>
          <w:rFonts w:ascii="Verdana" w:hAnsi="Verdana"/>
          <w:bCs/>
          <w:sz w:val="20"/>
        </w:rPr>
        <w:t>I.     Operaciones a Futuro sobre Contratos de Intercambio (Swaps) de tasas de interés en distintas Divisas. Las Divisas serán únicamente del Grupo 1 definido por el Comité de Análisis de Riesgos y conforme al Anexo D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II.     Operaciones de Opción sobre Operaciones a Futuro de Índices Accionarios, de tasas de interés en distintas Divisas. Las Divisas serán únicamente del Grupo 1 definido por el Comité de Análisis de Riesgos y conforme al Anexo D de las presentes Disposiciones, y</w:t>
      </w:r>
    </w:p>
    <w:p w:rsidR="00CA63EE" w:rsidRPr="00CA63EE" w:rsidRDefault="00CA63EE" w:rsidP="00CA63EE">
      <w:pPr>
        <w:jc w:val="both"/>
        <w:rPr>
          <w:rFonts w:ascii="Verdana" w:hAnsi="Verdana"/>
          <w:bCs/>
          <w:sz w:val="20"/>
        </w:rPr>
      </w:pPr>
      <w:r w:rsidRPr="00CA63EE">
        <w:rPr>
          <w:rFonts w:ascii="Verdana" w:hAnsi="Verdana"/>
          <w:bCs/>
          <w:sz w:val="20"/>
        </w:rPr>
        <w:t>III.    Operaciones de Opción sobre Contratos de Intercambio (Swaps) de tasas de interés en distintas Divisas. Las Divisas serán únicamente del Grupo 1 definido por el Comité de Análisis de Riesgos y conforme al Anexo D de las presentes Disposiciones.</w:t>
      </w:r>
    </w:p>
    <w:p w:rsidR="00CA63EE" w:rsidRPr="00CA63EE" w:rsidRDefault="00CA63EE" w:rsidP="00CA63EE">
      <w:pPr>
        <w:jc w:val="both"/>
        <w:rPr>
          <w:rFonts w:ascii="Verdana" w:hAnsi="Verdana"/>
          <w:bCs/>
          <w:sz w:val="20"/>
        </w:rPr>
      </w:pPr>
      <w:r w:rsidRPr="00CA63EE">
        <w:rPr>
          <w:rFonts w:ascii="Verdana" w:hAnsi="Verdana"/>
          <w:bCs/>
          <w:sz w:val="20"/>
        </w:rPr>
        <w:t>Las Administradoras podrán realizar las operaciones antes listadas siempre que cumpla al menos con los requerimientos que se describen a continuación:</w:t>
      </w:r>
    </w:p>
    <w:p w:rsidR="00CA63EE" w:rsidRPr="00CA63EE" w:rsidRDefault="00CA63EE" w:rsidP="00CA63EE">
      <w:pPr>
        <w:jc w:val="both"/>
        <w:rPr>
          <w:rFonts w:ascii="Verdana" w:hAnsi="Verdana"/>
          <w:bCs/>
          <w:sz w:val="20"/>
        </w:rPr>
      </w:pPr>
      <w:r w:rsidRPr="00CA63EE">
        <w:rPr>
          <w:rFonts w:ascii="Verdana" w:hAnsi="Verdana"/>
          <w:bCs/>
          <w:sz w:val="20"/>
        </w:rPr>
        <w:t>I.     Contar con la no objeción de la Comisión para celebrar operaciones con los Derivados y subyacentes descritos en el presente Anexo;</w:t>
      </w:r>
    </w:p>
    <w:p w:rsidR="00CA63EE" w:rsidRPr="00CA63EE" w:rsidRDefault="00CA63EE" w:rsidP="00CA63EE">
      <w:pPr>
        <w:jc w:val="both"/>
        <w:rPr>
          <w:rFonts w:ascii="Verdana" w:hAnsi="Verdana"/>
          <w:bCs/>
          <w:sz w:val="20"/>
        </w:rPr>
      </w:pPr>
      <w:r w:rsidRPr="00CA63EE">
        <w:rPr>
          <w:rFonts w:ascii="Verdana" w:hAnsi="Verdana"/>
          <w:bCs/>
          <w:sz w:val="20"/>
        </w:rPr>
        <w:t>II.     Contar con políticas y procedimientos autorizados por sus Comités para realizar estas operaciones, incluidos los reportes para los miembros de sus Comités;</w:t>
      </w:r>
    </w:p>
    <w:p w:rsidR="00CA63EE" w:rsidRPr="00CA63EE" w:rsidRDefault="00CA63EE" w:rsidP="00CA63EE">
      <w:pPr>
        <w:jc w:val="both"/>
        <w:rPr>
          <w:rFonts w:ascii="Verdana" w:hAnsi="Verdana"/>
          <w:bCs/>
          <w:sz w:val="20"/>
        </w:rPr>
      </w:pPr>
      <w:r w:rsidRPr="00CA63EE">
        <w:rPr>
          <w:rFonts w:ascii="Verdana" w:hAnsi="Verdana"/>
          <w:bCs/>
          <w:sz w:val="20"/>
        </w:rPr>
        <w:t>III.    Tener la capacidad de valuar esta clase de operaciones a través de su propio Sistema Integral Automatizado y con independencia del Proveedor de Precios;</w:t>
      </w:r>
    </w:p>
    <w:p w:rsidR="00CA63EE" w:rsidRPr="00CA63EE" w:rsidRDefault="00CA63EE" w:rsidP="00CA63EE">
      <w:pPr>
        <w:jc w:val="both"/>
        <w:rPr>
          <w:rFonts w:ascii="Verdana" w:hAnsi="Verdana"/>
          <w:bCs/>
          <w:sz w:val="20"/>
        </w:rPr>
      </w:pPr>
      <w:r w:rsidRPr="00CA63EE">
        <w:rPr>
          <w:rFonts w:ascii="Verdana" w:hAnsi="Verdana"/>
          <w:bCs/>
          <w:sz w:val="20"/>
        </w:rPr>
        <w:t>IV.   Contar con Límites Prudenciales respecto a esta clase de operaciones;</w:t>
      </w:r>
    </w:p>
    <w:p w:rsidR="00CA63EE" w:rsidRPr="00CA63EE" w:rsidRDefault="00CA63EE" w:rsidP="00CA63EE">
      <w:pPr>
        <w:jc w:val="both"/>
        <w:rPr>
          <w:rFonts w:ascii="Verdana" w:hAnsi="Verdana"/>
          <w:bCs/>
          <w:sz w:val="20"/>
        </w:rPr>
      </w:pPr>
      <w:r w:rsidRPr="00CA63EE">
        <w:rPr>
          <w:rFonts w:ascii="Verdana" w:hAnsi="Verdana"/>
          <w:bCs/>
          <w:sz w:val="20"/>
        </w:rPr>
        <w:t>V.    Analizar a través de su propio Sistema Integral Automatizado el efecto de incorporar estas operaciones, y</w:t>
      </w:r>
    </w:p>
    <w:p w:rsidR="00CA63EE" w:rsidRPr="00CA63EE" w:rsidRDefault="00CA63EE" w:rsidP="00CA63EE">
      <w:pPr>
        <w:jc w:val="both"/>
        <w:rPr>
          <w:rFonts w:ascii="Verdana" w:hAnsi="Verdana"/>
          <w:bCs/>
          <w:sz w:val="20"/>
        </w:rPr>
      </w:pPr>
      <w:r w:rsidRPr="00CA63EE">
        <w:rPr>
          <w:rFonts w:ascii="Verdana" w:hAnsi="Verdana"/>
          <w:bCs/>
          <w:sz w:val="20"/>
        </w:rPr>
        <w:lastRenderedPageBreak/>
        <w:t>VI.   El Operador de Derivados deberá estar certificado por alguno de los terceros independientes que al efecto designe la Comisión.</w:t>
      </w:r>
    </w:p>
    <w:p w:rsidR="00CA63EE" w:rsidRPr="00CA63EE" w:rsidRDefault="00CA63EE" w:rsidP="00CA63EE">
      <w:pPr>
        <w:jc w:val="both"/>
        <w:rPr>
          <w:rFonts w:ascii="Verdana" w:hAnsi="Verdana"/>
          <w:b/>
          <w:bCs/>
          <w:sz w:val="20"/>
        </w:rPr>
      </w:pPr>
      <w:r w:rsidRPr="00CA63EE">
        <w:rPr>
          <w:rFonts w:ascii="Verdana" w:hAnsi="Verdana"/>
          <w:b/>
          <w:bCs/>
          <w:sz w:val="20"/>
        </w:rPr>
        <w:t>ANEXO N</w:t>
      </w:r>
    </w:p>
    <w:p w:rsidR="00CA63EE" w:rsidRPr="00CA63EE" w:rsidRDefault="00CA63EE" w:rsidP="00CA63EE">
      <w:pPr>
        <w:jc w:val="both"/>
        <w:rPr>
          <w:rFonts w:ascii="Verdana" w:hAnsi="Verdana"/>
          <w:bCs/>
          <w:sz w:val="20"/>
        </w:rPr>
      </w:pPr>
      <w:r w:rsidRPr="00CA63EE">
        <w:rPr>
          <w:rFonts w:ascii="Verdana" w:hAnsi="Verdana"/>
          <w:b/>
          <w:bCs/>
          <w:sz w:val="20"/>
        </w:rPr>
        <w:t>Metodología para calcular el Coeficiente de Liquidez</w:t>
      </w:r>
    </w:p>
    <w:p w:rsidR="00CA63EE" w:rsidRPr="00CA63EE" w:rsidRDefault="00CA63EE" w:rsidP="00CA63EE">
      <w:pPr>
        <w:jc w:val="both"/>
        <w:rPr>
          <w:rFonts w:ascii="Verdana" w:hAnsi="Verdana"/>
          <w:bCs/>
          <w:sz w:val="20"/>
        </w:rPr>
      </w:pPr>
      <w:r w:rsidRPr="00CA63EE">
        <w:rPr>
          <w:rFonts w:ascii="Verdana" w:hAnsi="Verdana"/>
          <w:bCs/>
          <w:sz w:val="20"/>
        </w:rPr>
        <w:t>Las Sociedades de Inversión deberán cumplir diariamente con el siguiente nivel de Coeficiente de Liquidez </w:t>
      </w:r>
      <w:r w:rsidRPr="00CA63EE">
        <w:rPr>
          <w:rFonts w:ascii="Verdana" w:hAnsi="Verdana"/>
          <w:bCs/>
          <w:sz w:val="20"/>
        </w:rPr>
        <w:drawing>
          <wp:inline distT="0" distB="0" distL="0" distR="0">
            <wp:extent cx="285750" cy="133350"/>
            <wp:effectExtent l="0" t="0" r="0" b="0"/>
            <wp:docPr id="14" name="Imagen 14" descr="http://www.dof.gob.mx/imagenes_diarios/2018/11/16/MAT/shcp2a11_Cimg_1189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8/11/16/MAT/shcp2a11_Cimg_11891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1371600" cy="352425"/>
            <wp:effectExtent l="0" t="0" r="0" b="9525"/>
            <wp:docPr id="13" name="Imagen 13" descr="http://www.dof.gob.mx/imagenes_diarios/2018/11/16/MAT/shcp2a11_Cimg_1189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8/11/16/MAT/shcp2a11_Cimg_118997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El numerador del coeficiente de liquidez "PID" corresponde al valor de la Provisión por exposición en Instrumentos Derivados y el denominador "AAC" corresponde al valor de los Activos de Alta Calidad.</w:t>
      </w:r>
    </w:p>
    <w:p w:rsidR="00CA63EE" w:rsidRPr="00CA63EE" w:rsidRDefault="00CA63EE" w:rsidP="00CA63EE">
      <w:pPr>
        <w:jc w:val="both"/>
        <w:rPr>
          <w:rFonts w:ascii="Verdana" w:hAnsi="Verdana"/>
          <w:bCs/>
          <w:sz w:val="20"/>
        </w:rPr>
      </w:pPr>
      <w:r w:rsidRPr="00CA63EE">
        <w:rPr>
          <w:rFonts w:ascii="Verdana" w:hAnsi="Verdana"/>
          <w:bCs/>
          <w:sz w:val="20"/>
        </w:rPr>
        <w:t>En particular, el numerador del coeficiente CL se define como sigue y todos los sumandos deben encontrarse en la misma Divisa: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610225" cy="2047875"/>
            <wp:effectExtent l="0" t="0" r="9525" b="9525"/>
            <wp:docPr id="12" name="Imagen 12" descr="http://www.dof.gob.mx/imagenes_diarios/2018/11/16/MAT/shcp2a11_Cimg_1193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8/11/16/MAT/shcp2a11_Cimg_119386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Dónde:</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04825" cy="142875"/>
            <wp:effectExtent l="0" t="0" r="9525" b="9525"/>
            <wp:docPr id="11" name="Imagen 11" descr="http://www.dof.gob.mx/imagenes_diarios/2018/11/16/MAT/shcp2a11_Cimg_1207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8/11/16/MAT/shcp2a11_Cimg_12073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a:ln>
                      <a:noFill/>
                    </a:ln>
                  </pic:spPr>
                </pic:pic>
              </a:graphicData>
            </a:graphic>
          </wp:inline>
        </w:drawing>
      </w:r>
      <w:r w:rsidRPr="00CA63EE">
        <w:rPr>
          <w:rFonts w:ascii="Verdana" w:hAnsi="Verdana"/>
          <w:bCs/>
          <w:sz w:val="20"/>
        </w:rPr>
        <w:t>representa el valor a mercado de la n-</w:t>
      </w:r>
      <w:proofErr w:type="spellStart"/>
      <w:r w:rsidRPr="00CA63EE">
        <w:rPr>
          <w:rFonts w:ascii="Verdana" w:hAnsi="Verdana"/>
          <w:bCs/>
          <w:sz w:val="20"/>
        </w:rPr>
        <w:t>ésima</w:t>
      </w:r>
      <w:proofErr w:type="spellEnd"/>
      <w:r w:rsidRPr="00CA63EE">
        <w:rPr>
          <w:rFonts w:ascii="Verdana" w:hAnsi="Verdana"/>
          <w:bCs/>
          <w:sz w:val="20"/>
        </w:rPr>
        <w:t xml:space="preserve"> operación de derivados OTC, que carece de un acuerdo de manejo de colaterales también conocido como "</w:t>
      </w:r>
      <w:proofErr w:type="spellStart"/>
      <w:r w:rsidRPr="00CA63EE">
        <w:rPr>
          <w:rFonts w:ascii="Verdana" w:hAnsi="Verdana"/>
          <w:bCs/>
          <w:sz w:val="20"/>
        </w:rPr>
        <w:t>Credit</w:t>
      </w:r>
      <w:proofErr w:type="spellEnd"/>
      <w:r w:rsidRPr="00CA63EE">
        <w:rPr>
          <w:rFonts w:ascii="Verdana" w:hAnsi="Verdana"/>
          <w:bCs/>
          <w:sz w:val="20"/>
        </w:rPr>
        <w:t xml:space="preserve"> </w:t>
      </w:r>
      <w:proofErr w:type="spellStart"/>
      <w:r w:rsidRPr="00CA63EE">
        <w:rPr>
          <w:rFonts w:ascii="Verdana" w:hAnsi="Verdana"/>
          <w:bCs/>
          <w:sz w:val="20"/>
        </w:rPr>
        <w:t>Support</w:t>
      </w:r>
      <w:proofErr w:type="spellEnd"/>
      <w:r w:rsidRPr="00CA63EE">
        <w:rPr>
          <w:rFonts w:ascii="Verdana" w:hAnsi="Verdana"/>
          <w:bCs/>
          <w:sz w:val="20"/>
        </w:rPr>
        <w:t> </w:t>
      </w:r>
      <w:proofErr w:type="spellStart"/>
      <w:r w:rsidRPr="00CA63EE">
        <w:rPr>
          <w:rFonts w:ascii="Verdana" w:hAnsi="Verdana"/>
          <w:bCs/>
          <w:sz w:val="20"/>
        </w:rPr>
        <w:t>Annex</w:t>
      </w:r>
      <w:proofErr w:type="spellEnd"/>
      <w:r w:rsidRPr="00CA63EE">
        <w:rPr>
          <w:rFonts w:ascii="Verdana" w:hAnsi="Verdana"/>
          <w:bCs/>
          <w:sz w:val="20"/>
        </w:rPr>
        <w:t>" (CSA), y que es permitido dentro del m-</w:t>
      </w:r>
      <w:proofErr w:type="spellStart"/>
      <w:r w:rsidRPr="00CA63EE">
        <w:rPr>
          <w:rFonts w:ascii="Verdana" w:hAnsi="Verdana"/>
          <w:bCs/>
          <w:sz w:val="20"/>
        </w:rPr>
        <w:t>ésimo</w:t>
      </w:r>
      <w:proofErr w:type="spellEnd"/>
      <w:r w:rsidRPr="00CA63EE">
        <w:rPr>
          <w:rFonts w:ascii="Verdana" w:hAnsi="Verdana"/>
          <w:bCs/>
          <w:sz w:val="20"/>
        </w:rPr>
        <w:t xml:space="preserve"> Contrato Marco aprobado por la "International Swaps and </w:t>
      </w:r>
      <w:proofErr w:type="spellStart"/>
      <w:r w:rsidRPr="00CA63EE">
        <w:rPr>
          <w:rFonts w:ascii="Verdana" w:hAnsi="Verdana"/>
          <w:bCs/>
          <w:sz w:val="20"/>
        </w:rPr>
        <w:t>Derivatives</w:t>
      </w:r>
      <w:proofErr w:type="spellEnd"/>
      <w:r w:rsidRPr="00CA63EE">
        <w:rPr>
          <w:rFonts w:ascii="Verdana" w:hAnsi="Verdana"/>
          <w:bCs/>
          <w:sz w:val="20"/>
        </w:rPr>
        <w:t xml:space="preserve"> </w:t>
      </w:r>
      <w:proofErr w:type="spellStart"/>
      <w:r w:rsidRPr="00CA63EE">
        <w:rPr>
          <w:rFonts w:ascii="Verdana" w:hAnsi="Verdana"/>
          <w:bCs/>
          <w:sz w:val="20"/>
        </w:rPr>
        <w:t>Association</w:t>
      </w:r>
      <w:proofErr w:type="spellEnd"/>
      <w:r w:rsidRPr="00CA63EE">
        <w:rPr>
          <w:rFonts w:ascii="Verdana" w:hAnsi="Verdana"/>
          <w:bCs/>
          <w:sz w:val="20"/>
        </w:rPr>
        <w:t xml:space="preserve">, Inc.", ISDA, por su acrónimo en el idioma inglés y traducida en el idioma español como la Asociación Internacional de Agentes </w:t>
      </w:r>
      <w:proofErr w:type="spellStart"/>
      <w:r w:rsidRPr="00CA63EE">
        <w:rPr>
          <w:rFonts w:ascii="Verdana" w:hAnsi="Verdana"/>
          <w:bCs/>
          <w:sz w:val="20"/>
        </w:rPr>
        <w:t>deSwaps</w:t>
      </w:r>
      <w:proofErr w:type="spellEnd"/>
      <w:r w:rsidRPr="00CA63EE">
        <w:rPr>
          <w:rFonts w:ascii="Verdana" w:hAnsi="Verdana"/>
          <w:bCs/>
          <w:sz w:val="20"/>
        </w:rPr>
        <w:t xml:space="preserve"> o su equivalente (en lo sucesivo el "contrato" en el presente Anexo) para operación de derivados OTC (cada contraparte podrá mantener un sólo contrato de derivados OTC con la Sociedad de Inversión en cuestión o tener más de uno y por ello considerar los contratos y no a las contrapartes). Cabe señalar que esta suma permite </w:t>
      </w:r>
      <w:proofErr w:type="spellStart"/>
      <w:r w:rsidRPr="00CA63EE">
        <w:rPr>
          <w:rFonts w:ascii="Verdana" w:hAnsi="Verdana"/>
          <w:bCs/>
          <w:sz w:val="20"/>
        </w:rPr>
        <w:t>netear</w:t>
      </w:r>
      <w:proofErr w:type="spellEnd"/>
      <w:r w:rsidRPr="00CA63EE">
        <w:rPr>
          <w:rFonts w:ascii="Verdana" w:hAnsi="Verdana"/>
          <w:bCs/>
          <w:sz w:val="20"/>
        </w:rPr>
        <w:t xml:space="preserve"> las posiciones deudoras y las acreedoras de la Sociedad de Inversión, previstas en un mismo contrato. El saldo neto de un contrato que se computa es no-positivo. No se permite </w:t>
      </w:r>
      <w:proofErr w:type="spellStart"/>
      <w:r w:rsidRPr="00CA63EE">
        <w:rPr>
          <w:rFonts w:ascii="Verdana" w:hAnsi="Verdana"/>
          <w:bCs/>
          <w:sz w:val="20"/>
        </w:rPr>
        <w:t>netear</w:t>
      </w:r>
      <w:proofErr w:type="spellEnd"/>
      <w:r w:rsidRPr="00CA63EE">
        <w:rPr>
          <w:rFonts w:ascii="Verdana" w:hAnsi="Verdana"/>
          <w:bCs/>
          <w:sz w:val="20"/>
        </w:rPr>
        <w:t xml:space="preserve"> los saldos entre los distintos contratos.</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457200" cy="123825"/>
            <wp:effectExtent l="0" t="0" r="0" b="9525"/>
            <wp:docPr id="10" name="Imagen 10" descr="http://www.dof.gob.mx/imagenes_diarios/2018/11/16/MAT/shcp2a11_Cimg_120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8/11/16/MAT/shcp2a11_Cimg_12085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a mercado del n-</w:t>
      </w:r>
      <w:proofErr w:type="spellStart"/>
      <w:r w:rsidRPr="00CA63EE">
        <w:rPr>
          <w:rFonts w:ascii="Verdana" w:hAnsi="Verdana"/>
          <w:bCs/>
          <w:sz w:val="20"/>
        </w:rPr>
        <w:t>ésimo</w:t>
      </w:r>
      <w:proofErr w:type="spellEnd"/>
      <w:r w:rsidRPr="00CA63EE">
        <w:rPr>
          <w:rFonts w:ascii="Verdana" w:hAnsi="Verdana"/>
          <w:bCs/>
          <w:sz w:val="20"/>
        </w:rPr>
        <w:t xml:space="preserve"> derivado OTC con CSA, para el m-</w:t>
      </w:r>
      <w:proofErr w:type="spellStart"/>
      <w:r w:rsidRPr="00CA63EE">
        <w:rPr>
          <w:rFonts w:ascii="Verdana" w:hAnsi="Verdana"/>
          <w:bCs/>
          <w:sz w:val="20"/>
        </w:rPr>
        <w:t>ésimo</w:t>
      </w:r>
      <w:proofErr w:type="spellEnd"/>
      <w:r w:rsidRPr="00CA63EE">
        <w:rPr>
          <w:rFonts w:ascii="Verdana" w:hAnsi="Verdana"/>
          <w:bCs/>
          <w:sz w:val="20"/>
        </w:rPr>
        <w:t> contrato de derivados OTC con CSA.</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61950" cy="133350"/>
            <wp:effectExtent l="0" t="0" r="0" b="0"/>
            <wp:docPr id="9" name="Imagen 9" descr="http://www.dof.gob.mx/imagenes_diarios/2018/11/16/MAT/shcp2a11_Cimg_1209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8/11/16/MAT/shcp2a11_Cimg_120955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133350"/>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de las garantías entregadas al amparo del m-</w:t>
      </w:r>
      <w:proofErr w:type="spellStart"/>
      <w:r w:rsidRPr="00CA63EE">
        <w:rPr>
          <w:rFonts w:ascii="Verdana" w:hAnsi="Verdana"/>
          <w:bCs/>
          <w:sz w:val="20"/>
        </w:rPr>
        <w:t>ésimo</w:t>
      </w:r>
      <w:proofErr w:type="spellEnd"/>
      <w:r w:rsidRPr="00CA63EE">
        <w:rPr>
          <w:rFonts w:ascii="Verdana" w:hAnsi="Verdana"/>
          <w:bCs/>
          <w:sz w:val="20"/>
        </w:rPr>
        <w:t xml:space="preserve"> contrato de derivados con CSA.</w:t>
      </w:r>
    </w:p>
    <w:p w:rsidR="00CA63EE" w:rsidRPr="00CA63EE" w:rsidRDefault="00CA63EE" w:rsidP="00CA63EE">
      <w:pPr>
        <w:jc w:val="both"/>
        <w:rPr>
          <w:rFonts w:ascii="Verdana" w:hAnsi="Verdana"/>
          <w:bCs/>
          <w:sz w:val="20"/>
        </w:rPr>
      </w:pPr>
      <w:r w:rsidRPr="00CA63EE">
        <w:rPr>
          <w:rFonts w:ascii="Verdana" w:hAnsi="Verdana"/>
          <w:bCs/>
          <w:sz w:val="20"/>
        </w:rPr>
        <w:t xml:space="preserve">Cabe señalar que en la segunda suma se permite </w:t>
      </w:r>
      <w:proofErr w:type="spellStart"/>
      <w:r w:rsidRPr="00CA63EE">
        <w:rPr>
          <w:rFonts w:ascii="Verdana" w:hAnsi="Verdana"/>
          <w:bCs/>
          <w:sz w:val="20"/>
        </w:rPr>
        <w:t>netear</w:t>
      </w:r>
      <w:proofErr w:type="spellEnd"/>
      <w:r w:rsidRPr="00CA63EE">
        <w:rPr>
          <w:rFonts w:ascii="Verdana" w:hAnsi="Verdana"/>
          <w:bCs/>
          <w:sz w:val="20"/>
        </w:rPr>
        <w:t xml:space="preserve"> las posiciones deudoras, las posiciones acreedoras y las garantías entregadas por la Sociedad de Inversión, resultantes de operaciones de derivados OTC con CSA previstas en un mismo contrato. El saldo neto de un contrato que se computa es no-positivo. No se permite </w:t>
      </w:r>
      <w:proofErr w:type="spellStart"/>
      <w:r w:rsidRPr="00CA63EE">
        <w:rPr>
          <w:rFonts w:ascii="Verdana" w:hAnsi="Verdana"/>
          <w:bCs/>
          <w:sz w:val="20"/>
        </w:rPr>
        <w:t>netear</w:t>
      </w:r>
      <w:proofErr w:type="spellEnd"/>
      <w:r w:rsidRPr="00CA63EE">
        <w:rPr>
          <w:rFonts w:ascii="Verdana" w:hAnsi="Verdana"/>
          <w:bCs/>
          <w:sz w:val="20"/>
        </w:rPr>
        <w:t xml:space="preserve"> los saldos entre los distintos contratos.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04825" cy="142875"/>
            <wp:effectExtent l="0" t="0" r="9525" b="9525"/>
            <wp:docPr id="8" name="Imagen 8" descr="http://www.dof.gob.mx/imagenes_diarios/2018/11/16/MAT/shcp2a11_Cimg_1210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8/11/16/MAT/shcp2a11_Cimg_12105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a mercado del n-</w:t>
      </w:r>
      <w:proofErr w:type="spellStart"/>
      <w:r w:rsidRPr="00CA63EE">
        <w:rPr>
          <w:rFonts w:ascii="Verdana" w:hAnsi="Verdana"/>
          <w:bCs/>
          <w:sz w:val="20"/>
        </w:rPr>
        <w:t>ésimo</w:t>
      </w:r>
      <w:proofErr w:type="spellEnd"/>
      <w:r w:rsidRPr="00CA63EE">
        <w:rPr>
          <w:rFonts w:ascii="Verdana" w:hAnsi="Verdana"/>
          <w:bCs/>
          <w:sz w:val="20"/>
        </w:rPr>
        <w:t xml:space="preserve"> derivado listado, para el m-</w:t>
      </w:r>
      <w:proofErr w:type="spellStart"/>
      <w:r w:rsidRPr="00CA63EE">
        <w:rPr>
          <w:rFonts w:ascii="Verdana" w:hAnsi="Verdana"/>
          <w:bCs/>
          <w:sz w:val="20"/>
        </w:rPr>
        <w:t>ésimo</w:t>
      </w:r>
      <w:proofErr w:type="spellEnd"/>
      <w:r w:rsidRPr="00CA63EE">
        <w:rPr>
          <w:rFonts w:ascii="Verdana" w:hAnsi="Verdana"/>
          <w:bCs/>
          <w:sz w:val="20"/>
        </w:rPr>
        <w:t xml:space="preserve"> socio liquidador en el respectivo mercado listado.</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61950" cy="123825"/>
            <wp:effectExtent l="0" t="0" r="0" b="9525"/>
            <wp:docPr id="7" name="Imagen 7" descr="http://www.dof.gob.mx/imagenes_diarios/2018/11/16/MAT/shcp2a11_Cimg_121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8/11/16/MAT/shcp2a11_Cimg_12117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de las garantías entregadas al amparo del m-</w:t>
      </w:r>
      <w:proofErr w:type="spellStart"/>
      <w:r w:rsidRPr="00CA63EE">
        <w:rPr>
          <w:rFonts w:ascii="Verdana" w:hAnsi="Verdana"/>
          <w:bCs/>
          <w:sz w:val="20"/>
        </w:rPr>
        <w:t>ésimo</w:t>
      </w:r>
      <w:proofErr w:type="spellEnd"/>
      <w:r w:rsidRPr="00CA63EE">
        <w:rPr>
          <w:rFonts w:ascii="Verdana" w:hAnsi="Verdana"/>
          <w:bCs/>
          <w:sz w:val="20"/>
        </w:rPr>
        <w:t xml:space="preserve"> contrato de derivados listados (socio liquidador de dicho mercado).</w:t>
      </w:r>
    </w:p>
    <w:p w:rsidR="00CA63EE" w:rsidRPr="00CA63EE" w:rsidRDefault="00CA63EE" w:rsidP="00CA63EE">
      <w:pPr>
        <w:jc w:val="both"/>
        <w:rPr>
          <w:rFonts w:ascii="Verdana" w:hAnsi="Verdana"/>
          <w:bCs/>
          <w:sz w:val="20"/>
        </w:rPr>
      </w:pPr>
      <w:r w:rsidRPr="00CA63EE">
        <w:rPr>
          <w:rFonts w:ascii="Verdana" w:hAnsi="Verdana"/>
          <w:bCs/>
          <w:sz w:val="20"/>
        </w:rPr>
        <w:t xml:space="preserve">Cabe señalar que en la tercera suma se permite </w:t>
      </w:r>
      <w:proofErr w:type="spellStart"/>
      <w:r w:rsidRPr="00CA63EE">
        <w:rPr>
          <w:rFonts w:ascii="Verdana" w:hAnsi="Verdana"/>
          <w:bCs/>
          <w:sz w:val="20"/>
        </w:rPr>
        <w:t>netear</w:t>
      </w:r>
      <w:proofErr w:type="spellEnd"/>
      <w:r w:rsidRPr="00CA63EE">
        <w:rPr>
          <w:rFonts w:ascii="Verdana" w:hAnsi="Verdana"/>
          <w:bCs/>
          <w:sz w:val="20"/>
        </w:rPr>
        <w:t xml:space="preserve"> las posiciones deudoras, las posiciones acreedoras y las garantías entregadas por la Sociedad de Inversión, resultantes de operaciones de derivados listados en un mismo mercado realizadas con un mismo socio liquidador. El saldo neto de un contrato que se computa es no-positivo. No se permite </w:t>
      </w:r>
      <w:proofErr w:type="spellStart"/>
      <w:r w:rsidRPr="00CA63EE">
        <w:rPr>
          <w:rFonts w:ascii="Verdana" w:hAnsi="Verdana"/>
          <w:bCs/>
          <w:sz w:val="20"/>
        </w:rPr>
        <w:t>netear</w:t>
      </w:r>
      <w:proofErr w:type="spellEnd"/>
      <w:r w:rsidRPr="00CA63EE">
        <w:rPr>
          <w:rFonts w:ascii="Verdana" w:hAnsi="Verdana"/>
          <w:bCs/>
          <w:sz w:val="20"/>
        </w:rPr>
        <w:t> los saldos entre los distintos contratos.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61950" cy="142875"/>
            <wp:effectExtent l="0" t="0" r="0" b="9525"/>
            <wp:docPr id="6" name="Imagen 6" descr="http://www.dof.gob.mx/imagenes_diarios/2018/11/16/MAT/shcp2a11_Cimg_1212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8/11/16/MAT/shcp2a11_Cimg_12126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en Riesgo Condicional (calculado de conformidad con las Disposiciones emitidas por la Comisión) de todas las operaciones realizadas con la m-</w:t>
      </w:r>
      <w:proofErr w:type="spellStart"/>
      <w:r w:rsidRPr="00CA63EE">
        <w:rPr>
          <w:rFonts w:ascii="Verdana" w:hAnsi="Verdana"/>
          <w:bCs/>
          <w:sz w:val="20"/>
        </w:rPr>
        <w:t>ésima</w:t>
      </w:r>
      <w:proofErr w:type="spellEnd"/>
      <w:r w:rsidRPr="00CA63EE">
        <w:rPr>
          <w:rFonts w:ascii="Verdana" w:hAnsi="Verdana"/>
          <w:bCs/>
          <w:sz w:val="20"/>
        </w:rPr>
        <w:t xml:space="preserve"> contraparte, cuando en dichas operaciones se permite </w:t>
      </w:r>
      <w:proofErr w:type="spellStart"/>
      <w:r w:rsidRPr="00CA63EE">
        <w:rPr>
          <w:rFonts w:ascii="Verdana" w:hAnsi="Verdana"/>
          <w:bCs/>
          <w:sz w:val="20"/>
        </w:rPr>
        <w:t>netear</w:t>
      </w:r>
      <w:proofErr w:type="spellEnd"/>
      <w:r w:rsidRPr="00CA63EE">
        <w:rPr>
          <w:rFonts w:ascii="Verdana" w:hAnsi="Verdana"/>
          <w:bCs/>
          <w:sz w:val="20"/>
        </w:rPr>
        <w:t xml:space="preserve"> las llamadas al margen sin importar el subyacente u otra característica de los derivados.</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361950" cy="142875"/>
            <wp:effectExtent l="0" t="0" r="0" b="9525"/>
            <wp:docPr id="5" name="Imagen 5" descr="http://www.dof.gob.mx/imagenes_diarios/2018/11/16/MAT/shcp2a11_Cimg_1213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8/11/16/MAT/shcp2a11_Cimg_121369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proofErr w:type="gramStart"/>
      <w:r w:rsidRPr="00CA63EE">
        <w:rPr>
          <w:rFonts w:ascii="Verdana" w:hAnsi="Verdana"/>
          <w:bCs/>
          <w:sz w:val="20"/>
        </w:rPr>
        <w:t>representa</w:t>
      </w:r>
      <w:proofErr w:type="gramEnd"/>
      <w:r w:rsidRPr="00CA63EE">
        <w:rPr>
          <w:rFonts w:ascii="Verdana" w:hAnsi="Verdana"/>
          <w:bCs/>
          <w:sz w:val="20"/>
        </w:rPr>
        <w:t xml:space="preserve"> el Valor en Riesgo Condicional (calculado de conformidad con las Disposiciones emitidas por la Comisión) del n-</w:t>
      </w:r>
      <w:proofErr w:type="spellStart"/>
      <w:r w:rsidRPr="00CA63EE">
        <w:rPr>
          <w:rFonts w:ascii="Verdana" w:hAnsi="Verdana"/>
          <w:bCs/>
          <w:sz w:val="20"/>
        </w:rPr>
        <w:t>ésimo</w:t>
      </w:r>
      <w:proofErr w:type="spellEnd"/>
      <w:r w:rsidRPr="00CA63EE">
        <w:rPr>
          <w:rFonts w:ascii="Verdana" w:hAnsi="Verdana"/>
          <w:bCs/>
          <w:sz w:val="20"/>
        </w:rPr>
        <w:t xml:space="preserve"> derivado con la m-</w:t>
      </w:r>
      <w:proofErr w:type="spellStart"/>
      <w:r w:rsidRPr="00CA63EE">
        <w:rPr>
          <w:rFonts w:ascii="Verdana" w:hAnsi="Verdana"/>
          <w:bCs/>
          <w:sz w:val="20"/>
        </w:rPr>
        <w:t>ésima</w:t>
      </w:r>
      <w:proofErr w:type="spellEnd"/>
      <w:r w:rsidRPr="00CA63EE">
        <w:rPr>
          <w:rFonts w:ascii="Verdana" w:hAnsi="Verdana"/>
          <w:bCs/>
          <w:sz w:val="20"/>
        </w:rPr>
        <w:t xml:space="preserve"> contraparte,</w:t>
      </w:r>
    </w:p>
    <w:p w:rsidR="00CA63EE" w:rsidRPr="00CA63EE" w:rsidRDefault="00CA63EE" w:rsidP="00CA63EE">
      <w:pPr>
        <w:jc w:val="both"/>
        <w:rPr>
          <w:rFonts w:ascii="Verdana" w:hAnsi="Verdana"/>
          <w:bCs/>
          <w:sz w:val="20"/>
        </w:rPr>
      </w:pPr>
      <w:proofErr w:type="gramStart"/>
      <w:r w:rsidRPr="00CA63EE">
        <w:rPr>
          <w:rFonts w:ascii="Verdana" w:hAnsi="Verdana"/>
          <w:bCs/>
          <w:sz w:val="20"/>
        </w:rPr>
        <w:t>cuando</w:t>
      </w:r>
      <w:proofErr w:type="gramEnd"/>
      <w:r w:rsidRPr="00CA63EE">
        <w:rPr>
          <w:rFonts w:ascii="Verdana" w:hAnsi="Verdana"/>
          <w:bCs/>
          <w:sz w:val="20"/>
        </w:rPr>
        <w:t xml:space="preserve"> en dichas operaciones no se permite </w:t>
      </w:r>
      <w:proofErr w:type="spellStart"/>
      <w:r w:rsidRPr="00CA63EE">
        <w:rPr>
          <w:rFonts w:ascii="Verdana" w:hAnsi="Verdana"/>
          <w:bCs/>
          <w:sz w:val="20"/>
        </w:rPr>
        <w:t>netear</w:t>
      </w:r>
      <w:proofErr w:type="spellEnd"/>
      <w:r w:rsidRPr="00CA63EE">
        <w:rPr>
          <w:rFonts w:ascii="Verdana" w:hAnsi="Verdana"/>
          <w:bCs/>
          <w:sz w:val="20"/>
        </w:rPr>
        <w:t xml:space="preserve"> las llamadas al margen.</w:t>
      </w:r>
    </w:p>
    <w:p w:rsidR="00CA63EE" w:rsidRPr="00CA63EE" w:rsidRDefault="00CA63EE" w:rsidP="00CA63EE">
      <w:pPr>
        <w:jc w:val="both"/>
        <w:rPr>
          <w:rFonts w:ascii="Verdana" w:hAnsi="Verdana"/>
          <w:bCs/>
          <w:sz w:val="20"/>
        </w:rPr>
      </w:pPr>
      <w:r w:rsidRPr="00CA63EE">
        <w:rPr>
          <w:rFonts w:ascii="Verdana" w:hAnsi="Verdana"/>
          <w:bCs/>
          <w:sz w:val="20"/>
        </w:rPr>
        <w:lastRenderedPageBreak/>
        <w:drawing>
          <wp:inline distT="0" distB="0" distL="0" distR="0">
            <wp:extent cx="5619750" cy="3124200"/>
            <wp:effectExtent l="0" t="0" r="0" b="0"/>
            <wp:docPr id="4" name="Imagen 4" descr="http://www.dof.gob.mx/imagenes_diarios/2018/11/16/MAT/shcp2a11_Cimg_1214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8/11/16/MAT/shcp2a11_Cimg_121473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3124200"/>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El descuento, conocido en la práctica y en el idioma inglés como "</w:t>
      </w:r>
      <w:proofErr w:type="spellStart"/>
      <w:r w:rsidRPr="00CA63EE">
        <w:rPr>
          <w:rFonts w:ascii="Verdana" w:hAnsi="Verdana"/>
          <w:bCs/>
          <w:sz w:val="20"/>
        </w:rPr>
        <w:t>haircut</w:t>
      </w:r>
      <w:proofErr w:type="spellEnd"/>
      <w:r w:rsidRPr="00CA63EE">
        <w:rPr>
          <w:rFonts w:ascii="Verdana" w:hAnsi="Verdana"/>
          <w:bCs/>
          <w:sz w:val="20"/>
        </w:rPr>
        <w:t>", respecto de la valuación a mercado, a todos aquellos valores gubernamentales nacionales tanto de tasa real como nominal así como los Valores Gubernamentales de los gobiernos de los Países Elegibles para Inversiones, tanto de tasa real como nominal, que cuenten con una calificación crediticia cuando menos AA+ o su equivalente, definidos de acuerdo con la siguiente tabla, se incluye en los ponderadores de la fórmula anterior:</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51"/>
        <w:gridCol w:w="1494"/>
      </w:tblGrid>
      <w:tr w:rsidR="00CA63EE" w:rsidRPr="00CA63EE" w:rsidTr="00CA63EE">
        <w:trPr>
          <w:trHeight w:val="544"/>
        </w:trPr>
        <w:tc>
          <w:tcPr>
            <w:tcW w:w="3651"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Plazo a vencimiento</w:t>
            </w:r>
          </w:p>
        </w:tc>
        <w:tc>
          <w:tcPr>
            <w:tcW w:w="1494"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Descuento o</w:t>
            </w:r>
            <w:r w:rsidRPr="00CA63EE">
              <w:rPr>
                <w:rFonts w:ascii="Verdana" w:hAnsi="Verdana"/>
                <w:bCs/>
                <w:sz w:val="20"/>
              </w:rPr>
              <w:br/>
            </w:r>
            <w:proofErr w:type="spellStart"/>
            <w:r w:rsidRPr="00CA63EE">
              <w:rPr>
                <w:rFonts w:ascii="Verdana" w:hAnsi="Verdana"/>
                <w:bCs/>
                <w:sz w:val="20"/>
              </w:rPr>
              <w:t>haircut</w:t>
            </w:r>
            <w:proofErr w:type="spellEnd"/>
          </w:p>
        </w:tc>
      </w:tr>
      <w:tr w:rsidR="00CA63EE" w:rsidRPr="00CA63EE" w:rsidTr="00CA63EE">
        <w:trPr>
          <w:trHeight w:val="308"/>
        </w:trPr>
        <w:tc>
          <w:tcPr>
            <w:tcW w:w="3651"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Menor o igual a 1 año</w:t>
            </w:r>
          </w:p>
        </w:tc>
        <w:tc>
          <w:tcPr>
            <w:tcW w:w="1494"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Sin descuento</w:t>
            </w:r>
          </w:p>
        </w:tc>
      </w:tr>
      <w:tr w:rsidR="00CA63EE" w:rsidRPr="00CA63EE" w:rsidTr="00CA63EE">
        <w:trPr>
          <w:trHeight w:val="544"/>
        </w:trPr>
        <w:tc>
          <w:tcPr>
            <w:tcW w:w="3651"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Emitidos por el gobierno federal y convencimiento mayor a 1 año</w:t>
            </w:r>
          </w:p>
        </w:tc>
        <w:tc>
          <w:tcPr>
            <w:tcW w:w="1494"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10%</w:t>
            </w:r>
          </w:p>
        </w:tc>
      </w:tr>
      <w:tr w:rsidR="00CA63EE" w:rsidRPr="00CA63EE" w:rsidTr="00CA63EE">
        <w:trPr>
          <w:trHeight w:val="544"/>
        </w:trPr>
        <w:tc>
          <w:tcPr>
            <w:tcW w:w="3651"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Emitidos por gobiernos de países elegibles y con vencimiento mayor a 1 año</w:t>
            </w:r>
          </w:p>
        </w:tc>
        <w:tc>
          <w:tcPr>
            <w:tcW w:w="1494" w:type="dxa"/>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15%</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Entendiendo como Activos de Alta Calidad (AAC) a los siguientes:</w:t>
      </w:r>
    </w:p>
    <w:p w:rsidR="00CA63EE" w:rsidRPr="00CA63EE" w:rsidRDefault="00CA63EE" w:rsidP="00CA63EE">
      <w:pPr>
        <w:jc w:val="both"/>
        <w:rPr>
          <w:rFonts w:ascii="Verdana" w:hAnsi="Verdana"/>
          <w:bCs/>
          <w:sz w:val="20"/>
        </w:rPr>
      </w:pPr>
      <w:r w:rsidRPr="00CA63EE">
        <w:rPr>
          <w:rFonts w:ascii="Verdana" w:hAnsi="Verdana"/>
          <w:bCs/>
          <w:sz w:val="20"/>
        </w:rPr>
        <w:t>I.     Instrumentos de Deuda emitidos o avalados por el Gobierno Federal y a los emitidos por el Banco de México;</w:t>
      </w:r>
    </w:p>
    <w:p w:rsidR="00CA63EE" w:rsidRPr="00CA63EE" w:rsidRDefault="00CA63EE" w:rsidP="00CA63EE">
      <w:pPr>
        <w:jc w:val="both"/>
        <w:rPr>
          <w:rFonts w:ascii="Verdana" w:hAnsi="Verdana"/>
          <w:bCs/>
          <w:sz w:val="20"/>
        </w:rPr>
      </w:pPr>
      <w:r w:rsidRPr="00CA63EE">
        <w:rPr>
          <w:rFonts w:ascii="Verdana" w:hAnsi="Verdana"/>
          <w:bCs/>
          <w:sz w:val="20"/>
        </w:rPr>
        <w:t xml:space="preserve">II.     Valores Extranjeros de Deuda emitidos por gobiernos de Países Elegibles para Inversiones que cuenten con una calificación crediticia cuando menos equivalente a AA+ en escala global de acuerdo con Standard &amp; </w:t>
      </w:r>
      <w:proofErr w:type="spellStart"/>
      <w:r w:rsidRPr="00CA63EE">
        <w:rPr>
          <w:rFonts w:ascii="Verdana" w:hAnsi="Verdana"/>
          <w:bCs/>
          <w:sz w:val="20"/>
        </w:rPr>
        <w:t>Poor´s</w:t>
      </w:r>
      <w:proofErr w:type="spellEnd"/>
      <w:r w:rsidRPr="00CA63EE">
        <w:rPr>
          <w:rFonts w:ascii="Verdana" w:hAnsi="Verdana"/>
          <w:bCs/>
          <w:sz w:val="20"/>
        </w:rPr>
        <w:t xml:space="preserve"> Ratings, o en su caso, a las </w:t>
      </w:r>
      <w:r w:rsidRPr="00CA63EE">
        <w:rPr>
          <w:rFonts w:ascii="Verdana" w:hAnsi="Verdana"/>
          <w:bCs/>
          <w:sz w:val="20"/>
        </w:rPr>
        <w:lastRenderedPageBreak/>
        <w:t>escalas equivalentes de las demás instituciones calificadoras de valores reconocidas en las Disposiciones de carácter general que establecen el régimen de inversión al que deberán sujetarse las Sociedades de Inversión;</w:t>
      </w:r>
    </w:p>
    <w:p w:rsidR="00CA63EE" w:rsidRPr="00CA63EE" w:rsidRDefault="00CA63EE" w:rsidP="00CA63EE">
      <w:pPr>
        <w:jc w:val="both"/>
        <w:rPr>
          <w:rFonts w:ascii="Verdana" w:hAnsi="Verdana"/>
          <w:bCs/>
          <w:sz w:val="20"/>
        </w:rPr>
      </w:pPr>
      <w:r w:rsidRPr="00CA63EE">
        <w:rPr>
          <w:rFonts w:ascii="Verdana" w:hAnsi="Verdana"/>
          <w:bCs/>
          <w:sz w:val="20"/>
        </w:rPr>
        <w:t>III.    Depósitos en efectivo en bancos, custodios o socios operadores en la divisa en cuestión;</w:t>
      </w:r>
    </w:p>
    <w:p w:rsidR="00CA63EE" w:rsidRPr="00CA63EE" w:rsidRDefault="00CA63EE" w:rsidP="00CA63EE">
      <w:pPr>
        <w:jc w:val="both"/>
        <w:rPr>
          <w:rFonts w:ascii="Verdana" w:hAnsi="Verdana"/>
          <w:bCs/>
          <w:sz w:val="20"/>
        </w:rPr>
      </w:pPr>
      <w:r w:rsidRPr="00CA63EE">
        <w:rPr>
          <w:rFonts w:ascii="Verdana" w:hAnsi="Verdana"/>
          <w:bCs/>
          <w:sz w:val="20"/>
        </w:rPr>
        <w:t>IV.   Montos de las operaciones de reporto con plazo a un día (actualmente sólo contabiliza para el requerimiento de liquidez en moneda nacional, de acuerdo con los previsto en la Ley sobre este tipo de operaciones);</w:t>
      </w:r>
    </w:p>
    <w:p w:rsidR="00CA63EE" w:rsidRPr="00CA63EE" w:rsidRDefault="00CA63EE" w:rsidP="00CA63EE">
      <w:pPr>
        <w:jc w:val="both"/>
        <w:rPr>
          <w:rFonts w:ascii="Verdana" w:hAnsi="Verdana"/>
          <w:bCs/>
          <w:sz w:val="20"/>
        </w:rPr>
      </w:pPr>
      <w:r w:rsidRPr="00CA63EE">
        <w:rPr>
          <w:rFonts w:ascii="Verdana" w:hAnsi="Verdana"/>
          <w:bCs/>
          <w:sz w:val="20"/>
        </w:rPr>
        <w:t xml:space="preserve">V.    Aportaciones Iniciales Mínimas (conocida con el acrónimo </w:t>
      </w:r>
      <w:proofErr w:type="spellStart"/>
      <w:r w:rsidRPr="00CA63EE">
        <w:rPr>
          <w:rFonts w:ascii="Verdana" w:hAnsi="Verdana"/>
          <w:bCs/>
          <w:sz w:val="20"/>
        </w:rPr>
        <w:t>AIMs</w:t>
      </w:r>
      <w:proofErr w:type="spellEnd"/>
      <w:r w:rsidRPr="00CA63EE">
        <w:rPr>
          <w:rFonts w:ascii="Verdana" w:hAnsi="Verdana"/>
          <w:bCs/>
          <w:sz w:val="20"/>
        </w:rPr>
        <w:t>) excedentes, y</w:t>
      </w:r>
    </w:p>
    <w:p w:rsidR="00CA63EE" w:rsidRPr="00CA63EE" w:rsidRDefault="00CA63EE" w:rsidP="00CA63EE">
      <w:pPr>
        <w:jc w:val="both"/>
        <w:rPr>
          <w:rFonts w:ascii="Verdana" w:hAnsi="Verdana"/>
          <w:bCs/>
          <w:sz w:val="20"/>
        </w:rPr>
      </w:pPr>
      <w:r w:rsidRPr="00CA63EE">
        <w:rPr>
          <w:rFonts w:ascii="Verdana" w:hAnsi="Verdana"/>
          <w:bCs/>
          <w:sz w:val="20"/>
        </w:rPr>
        <w:t>VI.   No se permite aquellos activos que ya se encuentran en garantía, por ejemplo los depósitos en efectivo con socios liquidadores o los Instrumentos de Deuda o Valores Extranjeros de Deuda que se encuentran comprometidos (explícita o implícitamente) como garantía o enaltecedor crediticio en cualquier transacción.</w:t>
      </w:r>
    </w:p>
    <w:p w:rsidR="00CA63EE" w:rsidRPr="00CA63EE" w:rsidRDefault="00CA63EE" w:rsidP="00CA63EE">
      <w:pPr>
        <w:jc w:val="both"/>
        <w:rPr>
          <w:rFonts w:ascii="Verdana" w:hAnsi="Verdana"/>
          <w:bCs/>
          <w:sz w:val="20"/>
        </w:rPr>
      </w:pPr>
      <w:r w:rsidRPr="00CA63EE">
        <w:rPr>
          <w:rFonts w:ascii="Verdana" w:hAnsi="Verdana"/>
          <w:bCs/>
          <w:sz w:val="20"/>
        </w:rPr>
        <w:t>Las Administradoras podrán demostrar que cuentan con políticas de liquidez no previstas en el presente</w:t>
      </w:r>
    </w:p>
    <w:p w:rsidR="00CA63EE" w:rsidRPr="00CA63EE" w:rsidRDefault="00CA63EE" w:rsidP="00CA63EE">
      <w:pPr>
        <w:jc w:val="both"/>
        <w:rPr>
          <w:rFonts w:ascii="Verdana" w:hAnsi="Verdana"/>
          <w:bCs/>
          <w:sz w:val="20"/>
        </w:rPr>
      </w:pPr>
      <w:r w:rsidRPr="00CA63EE">
        <w:rPr>
          <w:rFonts w:ascii="Verdana" w:hAnsi="Verdana"/>
          <w:bCs/>
          <w:sz w:val="20"/>
        </w:rPr>
        <w:t>Anexo para lo cual se evaluará la pertinencia de considerarlas dentro del cómputo del Coeficiente de Liquidez.</w:t>
      </w:r>
    </w:p>
    <w:p w:rsidR="00CA63EE" w:rsidRPr="00CA63EE" w:rsidRDefault="00CA63EE" w:rsidP="00CA63EE">
      <w:pPr>
        <w:jc w:val="both"/>
        <w:rPr>
          <w:rFonts w:ascii="Verdana" w:hAnsi="Verdana"/>
          <w:b/>
          <w:bCs/>
          <w:sz w:val="20"/>
        </w:rPr>
      </w:pPr>
      <w:r w:rsidRPr="00CA63EE">
        <w:rPr>
          <w:rFonts w:ascii="Verdana" w:hAnsi="Verdana"/>
          <w:b/>
          <w:bCs/>
          <w:sz w:val="20"/>
        </w:rPr>
        <w:t>ANEXO O</w:t>
      </w:r>
    </w:p>
    <w:p w:rsidR="00CA63EE" w:rsidRPr="00CA63EE" w:rsidRDefault="00CA63EE" w:rsidP="00CA63EE">
      <w:pPr>
        <w:jc w:val="both"/>
        <w:rPr>
          <w:rFonts w:ascii="Verdana" w:hAnsi="Verdana"/>
          <w:bCs/>
          <w:sz w:val="20"/>
        </w:rPr>
      </w:pPr>
      <w:r w:rsidRPr="00CA63EE">
        <w:rPr>
          <w:rFonts w:ascii="Verdana" w:hAnsi="Verdana"/>
          <w:b/>
          <w:bCs/>
          <w:sz w:val="20"/>
        </w:rPr>
        <w:t>Criterios de valuación que se usarán para determinar el monto de la minusvalía de los activos con que</w:t>
      </w:r>
      <w:r w:rsidRPr="00CA63EE">
        <w:rPr>
          <w:rFonts w:ascii="Verdana" w:hAnsi="Verdana"/>
          <w:bCs/>
          <w:sz w:val="20"/>
        </w:rPr>
        <w:br/>
      </w:r>
      <w:r w:rsidRPr="00CA63EE">
        <w:rPr>
          <w:rFonts w:ascii="Verdana" w:hAnsi="Verdana"/>
          <w:b/>
          <w:bCs/>
          <w:sz w:val="20"/>
        </w:rPr>
        <w:t>se incumple el Régimen de Inversión</w:t>
      </w:r>
    </w:p>
    <w:p w:rsidR="00CA63EE" w:rsidRPr="00CA63EE" w:rsidRDefault="00CA63EE" w:rsidP="00CA63EE">
      <w:pPr>
        <w:jc w:val="both"/>
        <w:rPr>
          <w:rFonts w:ascii="Verdana" w:hAnsi="Verdana"/>
          <w:bCs/>
          <w:sz w:val="20"/>
        </w:rPr>
      </w:pPr>
      <w:r w:rsidRPr="00CA63EE">
        <w:rPr>
          <w:rFonts w:ascii="Verdana" w:hAnsi="Verdana"/>
          <w:bCs/>
          <w:sz w:val="20"/>
        </w:rPr>
        <w:t>Con base en las políticas de valuación adoptadas por los Proveedores de Precios, para determinar el monto de la minusvalía de los activos con que se incumple el régimen de inversión, se usarán los siguientes precios de valuación:</w:t>
      </w:r>
    </w:p>
    <w:p w:rsidR="00CA63EE" w:rsidRPr="00CA63EE" w:rsidRDefault="00CA63EE" w:rsidP="00CA63EE">
      <w:pPr>
        <w:jc w:val="both"/>
        <w:rPr>
          <w:rFonts w:ascii="Verdana" w:hAnsi="Verdana"/>
          <w:bCs/>
          <w:sz w:val="20"/>
        </w:rPr>
      </w:pPr>
      <w:r w:rsidRPr="00CA63EE">
        <w:rPr>
          <w:rFonts w:ascii="Verdana" w:hAnsi="Verdana"/>
          <w:bCs/>
          <w:sz w:val="20"/>
        </w:rPr>
        <w:t>I.     Para el caso de los límites máximos de inversión previstos en las presentes Disposiciones, se usarán los precios de concertación de las operaciones realizadas con el o los activos con que se incumpla el régimen de inversión y los precios de cierre de dichos activos en la fecha de incumplimiento. En este caso se computará la minusvalía de cada activo como la diferencia, cuando ésta es positiva, entre el precio de concertación del activo en cuestión menos el precio de dicho activo al cierre del día en que se incumple el régimen de inversión.</w:t>
      </w:r>
    </w:p>
    <w:p w:rsidR="00CA63EE" w:rsidRPr="00CA63EE" w:rsidRDefault="00CA63EE" w:rsidP="00CA63EE">
      <w:pPr>
        <w:jc w:val="both"/>
        <w:rPr>
          <w:rFonts w:ascii="Verdana" w:hAnsi="Verdana"/>
          <w:bCs/>
          <w:sz w:val="20"/>
        </w:rPr>
      </w:pPr>
      <w:r w:rsidRPr="00CA63EE">
        <w:rPr>
          <w:rFonts w:ascii="Verdana" w:hAnsi="Verdana"/>
          <w:bCs/>
          <w:sz w:val="20"/>
        </w:rPr>
        <w:t>       Para el caso de los límites mínimos, la minusvalía se calculará con base en la diferencia, cuando ésta es positiva, del precio de cierre menos el precio de adquisición, o en su caso el precio de valuación del día anterior.</w:t>
      </w:r>
    </w:p>
    <w:p w:rsidR="00CA63EE" w:rsidRPr="00CA63EE" w:rsidRDefault="00CA63EE" w:rsidP="00CA63EE">
      <w:pPr>
        <w:jc w:val="both"/>
        <w:rPr>
          <w:rFonts w:ascii="Verdana" w:hAnsi="Verdana"/>
          <w:bCs/>
          <w:sz w:val="20"/>
        </w:rPr>
      </w:pPr>
      <w:r w:rsidRPr="00CA63EE">
        <w:rPr>
          <w:rFonts w:ascii="Verdana" w:hAnsi="Verdana"/>
          <w:bCs/>
          <w:sz w:val="20"/>
        </w:rPr>
        <w:t xml:space="preserve">II.     Los tipos de cambio de las operaciones cambiarias realizadas por la Sociedad de Inversión, que en su caso estén asociadas a la transacción del activo que incumple con el Régimen de Inversión y el Tipo de Cambio determinado en la fecha que se incumpla el Régimen de Inversión. Cuando no se cuente con los tipos de cambio de las </w:t>
      </w:r>
      <w:r w:rsidRPr="00CA63EE">
        <w:rPr>
          <w:rFonts w:ascii="Verdana" w:hAnsi="Verdana"/>
          <w:bCs/>
          <w:sz w:val="20"/>
        </w:rPr>
        <w:lastRenderedPageBreak/>
        <w:t>operaciones cambiarias realizadas que están asociadas con la transacción del activo que incumple el Régimen de Inversión, se usará el Tipo de Cambio correspondiente a la fecha de cómputo de la minusvalía.</w:t>
      </w:r>
    </w:p>
    <w:p w:rsidR="00CA63EE" w:rsidRPr="00CA63EE" w:rsidRDefault="00CA63EE" w:rsidP="00CA63EE">
      <w:pPr>
        <w:jc w:val="both"/>
        <w:rPr>
          <w:rFonts w:ascii="Verdana" w:hAnsi="Verdana"/>
          <w:bCs/>
          <w:sz w:val="20"/>
        </w:rPr>
      </w:pPr>
      <w:r w:rsidRPr="00CA63EE">
        <w:rPr>
          <w:rFonts w:ascii="Verdana" w:hAnsi="Verdana"/>
          <w:bCs/>
          <w:sz w:val="20"/>
        </w:rPr>
        <w:t>       Los precios limpios de los instrumentos negociados, con los que se incumple el régimen de inversión, o en su caso para determinar la minusvalía del fondo, de los activos que conforman la cartera de la Sociedad de Inversión.</w:t>
      </w:r>
    </w:p>
    <w:p w:rsidR="00CA63EE" w:rsidRPr="00CA63EE" w:rsidRDefault="00CA63EE" w:rsidP="00CA63EE">
      <w:pPr>
        <w:jc w:val="both"/>
        <w:rPr>
          <w:rFonts w:ascii="Verdana" w:hAnsi="Verdana"/>
          <w:bCs/>
          <w:sz w:val="20"/>
        </w:rPr>
      </w:pPr>
      <w:r w:rsidRPr="00CA63EE">
        <w:rPr>
          <w:rFonts w:ascii="Verdana" w:hAnsi="Verdana"/>
          <w:bCs/>
          <w:sz w:val="20"/>
        </w:rPr>
        <w:t>       La Administradora deberá resarcir las minusvalías imputables a ésta, que repercutan sobre el Activo Total de las Sociedades de Inversión que opere, por incumplimientos al régimen de inversión a través del Activo Administrado por la Sociedades de Inversión, del Activo Administrado por Mandatarios o una combinación de los anteriores.</w:t>
      </w:r>
    </w:p>
    <w:p w:rsidR="00CA63EE" w:rsidRPr="00CA63EE" w:rsidRDefault="00CA63EE" w:rsidP="00CA63EE">
      <w:pPr>
        <w:jc w:val="both"/>
        <w:rPr>
          <w:rFonts w:ascii="Verdana" w:hAnsi="Verdana"/>
          <w:bCs/>
          <w:sz w:val="20"/>
        </w:rPr>
      </w:pPr>
      <w:r w:rsidRPr="00CA63EE">
        <w:rPr>
          <w:rFonts w:ascii="Verdana" w:hAnsi="Verdana"/>
          <w:bCs/>
          <w:sz w:val="20"/>
        </w:rPr>
        <w:t>       En caso de minusvalías imputables por violaciones al régimen de inversión a través de la gestión del Activo Administrado por algún Mandatario, la Comisión determinará el monto a resarcir con base en la información del Proveedor de Precios contratado para valuar dicha cartera de inversión.</w:t>
      </w:r>
    </w:p>
    <w:p w:rsidR="00CA63EE" w:rsidRPr="00CA63EE" w:rsidRDefault="00CA63EE" w:rsidP="00CA63EE">
      <w:pPr>
        <w:jc w:val="both"/>
        <w:rPr>
          <w:rFonts w:ascii="Verdana" w:hAnsi="Verdana"/>
          <w:bCs/>
          <w:sz w:val="20"/>
        </w:rPr>
      </w:pPr>
      <w:r w:rsidRPr="00CA63EE">
        <w:rPr>
          <w:rFonts w:ascii="Verdana" w:hAnsi="Verdana"/>
          <w:bCs/>
          <w:sz w:val="20"/>
        </w:rPr>
        <w:t>       La Administradora deberá prever contractualmente que el Proveedor de Precios facilite la información necesaria a la Comisión para determinar el monto a resarcir por minusvalías imputables a la Administradora, lo cual podrá consistir de información con periodicidad y detalle distintos de los que</w:t>
      </w:r>
    </w:p>
    <w:p w:rsidR="00CA63EE" w:rsidRPr="00CA63EE" w:rsidRDefault="00CA63EE" w:rsidP="00CA63EE">
      <w:pPr>
        <w:jc w:val="both"/>
        <w:rPr>
          <w:rFonts w:ascii="Verdana" w:hAnsi="Verdana"/>
          <w:bCs/>
          <w:sz w:val="20"/>
        </w:rPr>
      </w:pPr>
      <w:proofErr w:type="gramStart"/>
      <w:r w:rsidRPr="00CA63EE">
        <w:rPr>
          <w:rFonts w:ascii="Verdana" w:hAnsi="Verdana"/>
          <w:bCs/>
          <w:sz w:val="20"/>
        </w:rPr>
        <w:t>la</w:t>
      </w:r>
      <w:proofErr w:type="gramEnd"/>
      <w:r w:rsidRPr="00CA63EE">
        <w:rPr>
          <w:rFonts w:ascii="Verdana" w:hAnsi="Verdana"/>
          <w:bCs/>
          <w:sz w:val="20"/>
        </w:rPr>
        <w:t xml:space="preserve"> Comisión hubiere establecido en las Reglas generales que al efecto establezca la Comisión para la entrega de información.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910"/>
      </w:tblGrid>
      <w:tr w:rsidR="00CA63EE" w:rsidRPr="00CA63EE" w:rsidTr="00CA63EE">
        <w:trPr>
          <w:trHeight w:val="8061"/>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
                <w:bCs/>
                <w:sz w:val="20"/>
              </w:rPr>
            </w:pPr>
            <w:r w:rsidRPr="00CA63EE">
              <w:rPr>
                <w:rFonts w:ascii="Verdana" w:hAnsi="Verdana"/>
                <w:b/>
                <w:bCs/>
                <w:sz w:val="20"/>
              </w:rPr>
              <w:lastRenderedPageBreak/>
              <w:t>ANEXO P</w:t>
            </w:r>
          </w:p>
          <w:p w:rsidR="00CA63EE" w:rsidRPr="00CA63EE" w:rsidRDefault="00CA63EE" w:rsidP="00CA63EE">
            <w:pPr>
              <w:jc w:val="both"/>
              <w:rPr>
                <w:rFonts w:ascii="Verdana" w:hAnsi="Verdana"/>
                <w:bCs/>
                <w:sz w:val="20"/>
              </w:rPr>
            </w:pPr>
            <w:r w:rsidRPr="00CA63EE">
              <w:rPr>
                <w:rFonts w:ascii="Verdana" w:hAnsi="Verdana"/>
                <w:b/>
                <w:bCs/>
                <w:sz w:val="20"/>
              </w:rPr>
              <w:t>Modelo de Prospecto de Información</w:t>
            </w:r>
          </w:p>
          <w:p w:rsidR="00CA63EE" w:rsidRPr="00CA63EE" w:rsidRDefault="00CA63EE" w:rsidP="00CA63EE">
            <w:pPr>
              <w:jc w:val="both"/>
              <w:rPr>
                <w:rFonts w:ascii="Verdana" w:hAnsi="Verdana"/>
                <w:bCs/>
                <w:sz w:val="20"/>
              </w:rPr>
            </w:pPr>
            <w:r w:rsidRPr="00CA63EE">
              <w:rPr>
                <w:rFonts w:ascii="Verdana" w:hAnsi="Verdana"/>
                <w:b/>
                <w:bCs/>
                <w:sz w:val="20"/>
              </w:rPr>
              <w:t>PROSPECTO DE INFORMACION SIEFORE, S.A. de C.V. Sociedad de Inversión Especializada de</w:t>
            </w:r>
            <w:r w:rsidRPr="00CA63EE">
              <w:rPr>
                <w:rFonts w:ascii="Verdana" w:hAnsi="Verdana"/>
                <w:bCs/>
                <w:sz w:val="20"/>
              </w:rPr>
              <w:br/>
            </w:r>
            <w:r w:rsidRPr="00CA63EE">
              <w:rPr>
                <w:rFonts w:ascii="Verdana" w:hAnsi="Verdana"/>
                <w:b/>
                <w:bCs/>
                <w:sz w:val="20"/>
              </w:rPr>
              <w:t>Fondos para el Retiro</w:t>
            </w:r>
          </w:p>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137"/>
              <w:gridCol w:w="7469"/>
            </w:tblGrid>
            <w:tr w:rsidR="00CA63EE" w:rsidRPr="00CA63EE">
              <w:trPr>
                <w:trHeight w:val="615"/>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I. Datos Generales</w:t>
                  </w:r>
                </w:p>
              </w:tc>
              <w:tc>
                <w:tcPr>
                  <w:tcW w:w="522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i/>
                <w:iCs/>
                <w:sz w:val="20"/>
              </w:rPr>
              <w:t xml:space="preserve">Se señalará la información general de la Administradora y la SIEFORE correspondiente de </w:t>
            </w:r>
            <w:proofErr w:type="spellStart"/>
            <w:r w:rsidRPr="00CA63EE">
              <w:rPr>
                <w:rFonts w:ascii="Verdana" w:hAnsi="Verdana"/>
                <w:bCs/>
                <w:i/>
                <w:iCs/>
                <w:sz w:val="20"/>
              </w:rPr>
              <w:t>ac</w:t>
            </w:r>
            <w:proofErr w:type="spellEnd"/>
            <w:r w:rsidRPr="00CA63EE">
              <w:rPr>
                <w:rFonts w:ascii="Verdana" w:hAnsi="Verdana"/>
                <w:bCs/>
                <w:i/>
                <w:iCs/>
                <w:sz w:val="20"/>
              </w:rPr>
              <w:t xml:space="preserve"> </w:t>
            </w:r>
            <w:proofErr w:type="spellStart"/>
            <w:r w:rsidRPr="00CA63EE">
              <w:rPr>
                <w:rFonts w:ascii="Verdana" w:hAnsi="Verdana"/>
                <w:bCs/>
                <w:i/>
                <w:iCs/>
                <w:sz w:val="20"/>
              </w:rPr>
              <w:t>uerdo</w:t>
            </w:r>
            <w:proofErr w:type="spellEnd"/>
            <w:r w:rsidRPr="00CA63EE">
              <w:rPr>
                <w:rFonts w:ascii="Verdana" w:hAnsi="Verdana"/>
                <w:bCs/>
                <w:i/>
                <w:iCs/>
                <w:sz w:val="20"/>
              </w:rPr>
              <w:t xml:space="preserve"> a lo siguiente en no más de 10líneas.</w:t>
            </w:r>
          </w:p>
          <w:p w:rsidR="00CA63EE" w:rsidRPr="00CA63EE" w:rsidRDefault="00CA63EE" w:rsidP="00CA63EE">
            <w:pPr>
              <w:jc w:val="both"/>
              <w:rPr>
                <w:rFonts w:ascii="Verdana" w:hAnsi="Verdana"/>
                <w:bCs/>
                <w:sz w:val="20"/>
              </w:rPr>
            </w:pPr>
            <w:r w:rsidRPr="00CA63EE">
              <w:rPr>
                <w:rFonts w:ascii="Verdana" w:hAnsi="Verdana"/>
                <w:bCs/>
                <w:i/>
                <w:iCs/>
                <w:sz w:val="20"/>
              </w:rPr>
              <w:t>1. Denominación Social (Administradora y SIEFORE)</w:t>
            </w:r>
          </w:p>
          <w:p w:rsidR="00CA63EE" w:rsidRPr="00CA63EE" w:rsidRDefault="00CA63EE" w:rsidP="00CA63EE">
            <w:pPr>
              <w:jc w:val="both"/>
              <w:rPr>
                <w:rFonts w:ascii="Verdana" w:hAnsi="Verdana"/>
                <w:bCs/>
                <w:sz w:val="20"/>
              </w:rPr>
            </w:pPr>
            <w:r w:rsidRPr="00CA63EE">
              <w:rPr>
                <w:rFonts w:ascii="Verdana" w:hAnsi="Verdana"/>
                <w:bCs/>
                <w:i/>
                <w:iCs/>
                <w:sz w:val="20"/>
              </w:rPr>
              <w:t>1.1 Tipo de Sociedad de Inversión</w:t>
            </w:r>
          </w:p>
          <w:p w:rsidR="00CA63EE" w:rsidRPr="00CA63EE" w:rsidRDefault="00CA63EE" w:rsidP="00CA63EE">
            <w:pPr>
              <w:jc w:val="both"/>
              <w:rPr>
                <w:rFonts w:ascii="Verdana" w:hAnsi="Verdana"/>
                <w:bCs/>
                <w:sz w:val="20"/>
              </w:rPr>
            </w:pPr>
            <w:r w:rsidRPr="00CA63EE">
              <w:rPr>
                <w:rFonts w:ascii="Verdana" w:hAnsi="Verdana"/>
                <w:bCs/>
                <w:i/>
                <w:iCs/>
                <w:sz w:val="20"/>
              </w:rPr>
              <w:t>1.2 Tipo de Trabajador que podrá invertir en la Sociedad de Inversión</w:t>
            </w:r>
          </w:p>
          <w:p w:rsidR="00CA63EE" w:rsidRPr="00CA63EE" w:rsidRDefault="00CA63EE" w:rsidP="00CA63EE">
            <w:pPr>
              <w:jc w:val="both"/>
              <w:rPr>
                <w:rFonts w:ascii="Verdana" w:hAnsi="Verdana"/>
                <w:bCs/>
                <w:sz w:val="20"/>
              </w:rPr>
            </w:pPr>
            <w:r w:rsidRPr="00CA63EE">
              <w:rPr>
                <w:rFonts w:ascii="Verdana" w:hAnsi="Verdana"/>
                <w:bCs/>
                <w:i/>
                <w:iCs/>
                <w:sz w:val="20"/>
              </w:rPr>
              <w:t xml:space="preserve">1.3 Fecha y Número de Autorización (Administradora y SIEFORE) ___ de ___________ </w:t>
            </w:r>
            <w:proofErr w:type="spellStart"/>
            <w:r w:rsidRPr="00CA63EE">
              <w:rPr>
                <w:rFonts w:ascii="Verdana" w:hAnsi="Verdana"/>
                <w:bCs/>
                <w:i/>
                <w:iCs/>
                <w:sz w:val="20"/>
              </w:rPr>
              <w:t>de</w:t>
            </w:r>
            <w:proofErr w:type="spellEnd"/>
            <w:r w:rsidRPr="00CA63EE">
              <w:rPr>
                <w:rFonts w:ascii="Verdana" w:hAnsi="Verdana"/>
                <w:bCs/>
                <w:i/>
                <w:iCs/>
                <w:sz w:val="20"/>
              </w:rPr>
              <w:t xml:space="preserve"> ______ mediante el oficio número______________ de la Comisión Nacional del Sistema de Ahorro para el Retiro.</w:t>
            </w:r>
          </w:p>
          <w:p w:rsidR="00CA63EE" w:rsidRPr="00CA63EE" w:rsidRDefault="00CA63EE" w:rsidP="00CA63EE">
            <w:pPr>
              <w:jc w:val="both"/>
              <w:rPr>
                <w:rFonts w:ascii="Verdana" w:hAnsi="Verdana"/>
                <w:bCs/>
                <w:sz w:val="20"/>
              </w:rPr>
            </w:pPr>
            <w:r w:rsidRPr="00CA63EE">
              <w:rPr>
                <w:rFonts w:ascii="Verdana" w:hAnsi="Verdana"/>
                <w:b/>
                <w:bCs/>
                <w:sz w:val="20"/>
              </w:rPr>
              <w:t>1.4. Nexos patrimoniales y Sociedades Relacionadas Entre Sí de la Administradora.</w:t>
            </w:r>
          </w:p>
          <w:p w:rsidR="00CA63EE" w:rsidRPr="00CA63EE" w:rsidRDefault="00CA63EE" w:rsidP="00CA63EE">
            <w:pPr>
              <w:jc w:val="both"/>
              <w:rPr>
                <w:rFonts w:ascii="Verdana" w:hAnsi="Verdana"/>
                <w:bCs/>
                <w:sz w:val="20"/>
              </w:rPr>
            </w:pPr>
            <w:r w:rsidRPr="00CA63EE">
              <w:rPr>
                <w:rFonts w:ascii="Verdana" w:hAnsi="Verdana"/>
                <w:bCs/>
                <w:sz w:val="20"/>
              </w:rPr>
              <w:t xml:space="preserve">Se deberán identificar los Nexos Patrimoniales y Sociedades Relacionadas Entre Sí de la Administradora que opera la Sociedad </w:t>
            </w:r>
            <w:proofErr w:type="spellStart"/>
            <w:r w:rsidRPr="00CA63EE">
              <w:rPr>
                <w:rFonts w:ascii="Verdana" w:hAnsi="Verdana"/>
                <w:bCs/>
                <w:sz w:val="20"/>
              </w:rPr>
              <w:t>deInversión</w:t>
            </w:r>
            <w:proofErr w:type="spellEnd"/>
            <w:r w:rsidRPr="00CA63EE">
              <w:rPr>
                <w:rFonts w:ascii="Verdana" w:hAnsi="Verdana"/>
                <w:bCs/>
                <w:sz w:val="20"/>
              </w:rPr>
              <w:t xml:space="preserve"> conforme a las Disposiciones de carácter general que establecen el régimen de inversión al que deberán sujetarse </w:t>
            </w:r>
            <w:proofErr w:type="spellStart"/>
            <w:r w:rsidRPr="00CA63EE">
              <w:rPr>
                <w:rFonts w:ascii="Verdana" w:hAnsi="Verdana"/>
                <w:bCs/>
                <w:sz w:val="20"/>
              </w:rPr>
              <w:t>lassociedades</w:t>
            </w:r>
            <w:proofErr w:type="spellEnd"/>
            <w:r w:rsidRPr="00CA63EE">
              <w:rPr>
                <w:rFonts w:ascii="Verdana" w:hAnsi="Verdana"/>
                <w:bCs/>
                <w:sz w:val="20"/>
              </w:rPr>
              <w:t xml:space="preserve"> de inversión especializadas de fondos para el retiro, emitidas por la Comisión.</w:t>
            </w:r>
          </w:p>
          <w:p w:rsidR="00CA63EE" w:rsidRPr="00CA63EE" w:rsidRDefault="00CA63EE" w:rsidP="00CA63EE">
            <w:pPr>
              <w:jc w:val="both"/>
              <w:rPr>
                <w:rFonts w:ascii="Verdana" w:hAnsi="Verdana"/>
                <w:bCs/>
                <w:sz w:val="20"/>
              </w:rPr>
            </w:pPr>
            <w:r w:rsidRPr="00CA63EE">
              <w:rPr>
                <w:rFonts w:ascii="Verdana" w:hAnsi="Verdana"/>
                <w:b/>
                <w:bCs/>
                <w:sz w:val="20"/>
              </w:rPr>
              <w:t xml:space="preserve">1.5. Revelar si la Administradora realiza las inversiones y la administración de riesgos de conformidad a los </w:t>
            </w:r>
            <w:proofErr w:type="spellStart"/>
            <w:r w:rsidRPr="00CA63EE">
              <w:rPr>
                <w:rFonts w:ascii="Verdana" w:hAnsi="Verdana"/>
                <w:b/>
                <w:bCs/>
                <w:sz w:val="20"/>
              </w:rPr>
              <w:t>principiosambientales</w:t>
            </w:r>
            <w:proofErr w:type="spellEnd"/>
            <w:r w:rsidRPr="00CA63EE">
              <w:rPr>
                <w:rFonts w:ascii="Verdana" w:hAnsi="Verdana"/>
                <w:b/>
                <w:bCs/>
                <w:sz w:val="20"/>
              </w:rPr>
              <w:t xml:space="preserve">, sociales y de gobernanza corporativa (ESG por sus siglas en el idioma inglés) y explicar brevemente cual es </w:t>
            </w:r>
            <w:proofErr w:type="spellStart"/>
            <w:r w:rsidRPr="00CA63EE">
              <w:rPr>
                <w:rFonts w:ascii="Verdana" w:hAnsi="Verdana"/>
                <w:b/>
                <w:bCs/>
                <w:sz w:val="20"/>
              </w:rPr>
              <w:t>elobjetivo</w:t>
            </w:r>
            <w:proofErr w:type="spellEnd"/>
            <w:r w:rsidRPr="00CA63EE">
              <w:rPr>
                <w:rFonts w:ascii="Verdana" w:hAnsi="Verdana"/>
                <w:b/>
                <w:bCs/>
                <w:sz w:val="20"/>
              </w:rPr>
              <w:t xml:space="preserve"> de aplicar dichos principios.</w:t>
            </w:r>
          </w:p>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071"/>
              <w:gridCol w:w="7535"/>
            </w:tblGrid>
            <w:tr w:rsidR="00CA63EE" w:rsidRPr="00CA63EE">
              <w:trPr>
                <w:trHeight w:val="591"/>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II. Políticas de inversió</w:t>
                  </w:r>
                  <w:r w:rsidRPr="00CA63EE">
                    <w:rPr>
                      <w:rFonts w:ascii="Verdana" w:hAnsi="Verdana"/>
                      <w:b/>
                      <w:bCs/>
                      <w:sz w:val="20"/>
                    </w:rPr>
                    <w:lastRenderedPageBreak/>
                    <w:t>n</w:t>
                  </w:r>
                </w:p>
              </w:tc>
              <w:tc>
                <w:tcPr>
                  <w:tcW w:w="522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_________________________________________________________________</w:t>
                  </w:r>
                </w:p>
              </w:tc>
            </w:tr>
          </w:tbl>
          <w:p w:rsidR="00CA63EE" w:rsidRPr="00CA63EE" w:rsidRDefault="00CA63EE" w:rsidP="00CA63EE">
            <w:pPr>
              <w:jc w:val="both"/>
              <w:rPr>
                <w:rFonts w:ascii="Verdana" w:hAnsi="Verdana"/>
                <w:b/>
                <w:bCs/>
                <w:sz w:val="20"/>
              </w:rPr>
            </w:pPr>
            <w:r w:rsidRPr="00CA63EE">
              <w:rPr>
                <w:rFonts w:ascii="Verdana" w:hAnsi="Verdana"/>
                <w:b/>
                <w:bCs/>
                <w:sz w:val="20"/>
              </w:rPr>
              <w:lastRenderedPageBreak/>
              <w:t> </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5205"/>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divId w:val="1102385161"/>
              <w:rPr>
                <w:rFonts w:ascii="Verdana" w:hAnsi="Verdana"/>
                <w:bCs/>
                <w:sz w:val="20"/>
              </w:rPr>
            </w:pPr>
            <w:r w:rsidRPr="00CA63EE">
              <w:rPr>
                <w:rFonts w:ascii="Verdana" w:hAnsi="Verdana"/>
                <w:bCs/>
                <w:sz w:val="20"/>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132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152"/>
              <w:gridCol w:w="287"/>
              <w:gridCol w:w="4129"/>
            </w:tblGrid>
            <w:tr w:rsidR="00CA63EE" w:rsidRPr="00CA63EE">
              <w:tc>
                <w:tcPr>
                  <w:tcW w:w="4176"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(Máximo 200 palabras).</w:t>
                  </w:r>
                </w:p>
              </w:tc>
              <w:tc>
                <w:tcPr>
                  <w:tcW w:w="27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414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xml:space="preserve">ii.   Incluir un cuadro donde señale los tipos de Derivados </w:t>
                  </w:r>
                  <w:proofErr w:type="spellStart"/>
                  <w:r w:rsidRPr="00CA63EE">
                    <w:rPr>
                      <w:rFonts w:ascii="Verdana" w:hAnsi="Verdana"/>
                      <w:bCs/>
                      <w:sz w:val="20"/>
                    </w:rPr>
                    <w:t>queoperará</w:t>
                  </w:r>
                  <w:proofErr w:type="spellEnd"/>
                  <w:r w:rsidRPr="00CA63EE">
                    <w:rPr>
                      <w:rFonts w:ascii="Verdana" w:hAnsi="Verdana"/>
                      <w:bCs/>
                      <w:sz w:val="20"/>
                    </w:rPr>
                    <w:t xml:space="preserve">, el tipo de subyacente y, en el caso de </w:t>
                  </w:r>
                  <w:proofErr w:type="spellStart"/>
                  <w:r w:rsidRPr="00CA63EE">
                    <w:rPr>
                      <w:rFonts w:ascii="Verdana" w:hAnsi="Verdana"/>
                      <w:bCs/>
                      <w:sz w:val="20"/>
                    </w:rPr>
                    <w:t>mercadosestandarizados</w:t>
                  </w:r>
                  <w:proofErr w:type="spellEnd"/>
                  <w:r w:rsidRPr="00CA63EE">
                    <w:rPr>
                      <w:rFonts w:ascii="Verdana" w:hAnsi="Verdana"/>
                      <w:bCs/>
                      <w:sz w:val="20"/>
                    </w:rPr>
                    <w:t xml:space="preserve">, los mercados en los cuales </w:t>
                  </w:r>
                  <w:proofErr w:type="spellStart"/>
                  <w:r w:rsidRPr="00CA63EE">
                    <w:rPr>
                      <w:rFonts w:ascii="Verdana" w:hAnsi="Verdana"/>
                      <w:bCs/>
                      <w:sz w:val="20"/>
                    </w:rPr>
                    <w:t>operará.Dicho</w:t>
                  </w:r>
                  <w:proofErr w:type="spellEnd"/>
                  <w:r w:rsidRPr="00CA63EE">
                    <w:rPr>
                      <w:rFonts w:ascii="Verdana" w:hAnsi="Verdana"/>
                      <w:bCs/>
                      <w:sz w:val="20"/>
                    </w:rPr>
                    <w:t xml:space="preserve"> cuadro deberá incluir los límites de </w:t>
                  </w:r>
                  <w:proofErr w:type="spellStart"/>
                  <w:r w:rsidRPr="00CA63EE">
                    <w:rPr>
                      <w:rFonts w:ascii="Verdana" w:hAnsi="Verdana"/>
                      <w:bCs/>
                      <w:sz w:val="20"/>
                    </w:rPr>
                    <w:t>inversiónautorizados</w:t>
                  </w:r>
                  <w:proofErr w:type="spellEnd"/>
                  <w:r w:rsidRPr="00CA63EE">
                    <w:rPr>
                      <w:rFonts w:ascii="Verdana" w:hAnsi="Verdana"/>
                      <w:bCs/>
                      <w:sz w:val="20"/>
                    </w:rPr>
                    <w:t xml:space="preserve"> por su Comité de Inversión.</w:t>
                  </w:r>
                </w:p>
                <w:p w:rsidR="00CA63EE" w:rsidRPr="00CA63EE" w:rsidRDefault="00CA63EE" w:rsidP="00CA63EE">
                  <w:pPr>
                    <w:jc w:val="both"/>
                    <w:rPr>
                      <w:rFonts w:ascii="Verdana" w:hAnsi="Verdana"/>
                      <w:bCs/>
                      <w:sz w:val="20"/>
                    </w:rPr>
                  </w:pPr>
                  <w:r w:rsidRPr="00CA63EE">
                    <w:rPr>
                      <w:rFonts w:ascii="Verdana" w:hAnsi="Verdana"/>
                      <w:b/>
                      <w:bCs/>
                      <w:i/>
                      <w:iCs/>
                      <w:sz w:val="20"/>
                    </w:rPr>
                    <w:t>d) Inversión en Divisas</w:t>
                  </w:r>
                </w:p>
                <w:p w:rsidR="00CA63EE" w:rsidRPr="00CA63EE" w:rsidRDefault="00CA63EE" w:rsidP="00CA63EE">
                  <w:pPr>
                    <w:jc w:val="both"/>
                    <w:rPr>
                      <w:rFonts w:ascii="Verdana" w:hAnsi="Verdana"/>
                      <w:bCs/>
                      <w:sz w:val="20"/>
                    </w:rPr>
                  </w:pPr>
                  <w:r w:rsidRPr="00CA63EE">
                    <w:rPr>
                      <w:rFonts w:ascii="Verdana" w:hAnsi="Verdana"/>
                      <w:bCs/>
                      <w:sz w:val="20"/>
                    </w:rPr>
                    <w:t xml:space="preserve">En caso de que la Administradora, a través de sus </w:t>
                  </w:r>
                  <w:proofErr w:type="spellStart"/>
                  <w:r w:rsidRPr="00CA63EE">
                    <w:rPr>
                      <w:rFonts w:ascii="Verdana" w:hAnsi="Verdana"/>
                      <w:bCs/>
                      <w:sz w:val="20"/>
                    </w:rPr>
                    <w:t>Comités,decida</w:t>
                  </w:r>
                  <w:proofErr w:type="spellEnd"/>
                  <w:r w:rsidRPr="00CA63EE">
                    <w:rPr>
                      <w:rFonts w:ascii="Verdana" w:hAnsi="Verdana"/>
                      <w:bCs/>
                      <w:sz w:val="20"/>
                    </w:rPr>
                    <w:t xml:space="preserve"> invertir en Divisas deberá:</w:t>
                  </w:r>
                </w:p>
                <w:p w:rsidR="00CA63EE" w:rsidRPr="00CA63EE" w:rsidRDefault="00CA63EE" w:rsidP="00CA63EE">
                  <w:pPr>
                    <w:jc w:val="both"/>
                    <w:rPr>
                      <w:rFonts w:ascii="Verdana" w:hAnsi="Verdana"/>
                      <w:bCs/>
                      <w:sz w:val="20"/>
                    </w:rPr>
                  </w:pPr>
                  <w:r w:rsidRPr="00CA63EE">
                    <w:rPr>
                      <w:rFonts w:ascii="Verdana" w:hAnsi="Verdana"/>
                      <w:bCs/>
                      <w:sz w:val="20"/>
                    </w:rPr>
                    <w:t xml:space="preserve">i.   Explicar el objetivo de la inversión en Divisas por </w:t>
                  </w:r>
                  <w:proofErr w:type="spellStart"/>
                  <w:r w:rsidRPr="00CA63EE">
                    <w:rPr>
                      <w:rFonts w:ascii="Verdana" w:hAnsi="Verdana"/>
                      <w:bCs/>
                      <w:sz w:val="20"/>
                    </w:rPr>
                    <w:t>laSIEFORE</w:t>
                  </w:r>
                  <w:proofErr w:type="spellEnd"/>
                  <w:r w:rsidRPr="00CA63EE">
                    <w:rPr>
                      <w:rFonts w:ascii="Verdana" w:hAnsi="Verdana"/>
                      <w:bCs/>
                      <w:sz w:val="20"/>
                    </w:rPr>
                    <w:t xml:space="preserve"> (Máximo 200 palabras).</w:t>
                  </w:r>
                </w:p>
                <w:p w:rsidR="00CA63EE" w:rsidRPr="00CA63EE" w:rsidRDefault="00CA63EE" w:rsidP="00CA63EE">
                  <w:pPr>
                    <w:jc w:val="both"/>
                    <w:rPr>
                      <w:rFonts w:ascii="Verdana" w:hAnsi="Verdana"/>
                      <w:bCs/>
                      <w:sz w:val="20"/>
                    </w:rPr>
                  </w:pPr>
                  <w:r w:rsidRPr="00CA63EE">
                    <w:rPr>
                      <w:rFonts w:ascii="Verdana" w:hAnsi="Verdana"/>
                      <w:bCs/>
                      <w:sz w:val="20"/>
                    </w:rPr>
                    <w:t xml:space="preserve">ii.   Incluir un cuadro donde señale los tipos de Divisas </w:t>
                  </w:r>
                  <w:proofErr w:type="spellStart"/>
                  <w:r w:rsidRPr="00CA63EE">
                    <w:rPr>
                      <w:rFonts w:ascii="Verdana" w:hAnsi="Verdana"/>
                      <w:bCs/>
                      <w:sz w:val="20"/>
                    </w:rPr>
                    <w:t>queoperará</w:t>
                  </w:r>
                  <w:proofErr w:type="spellEnd"/>
                  <w:r w:rsidRPr="00CA63EE">
                    <w:rPr>
                      <w:rFonts w:ascii="Verdana" w:hAnsi="Verdana"/>
                      <w:bCs/>
                      <w:sz w:val="20"/>
                    </w:rPr>
                    <w:t xml:space="preserve">. Dicho cuadro deberá incluir los límites </w:t>
                  </w:r>
                  <w:proofErr w:type="spellStart"/>
                  <w:r w:rsidRPr="00CA63EE">
                    <w:rPr>
                      <w:rFonts w:ascii="Verdana" w:hAnsi="Verdana"/>
                      <w:bCs/>
                      <w:sz w:val="20"/>
                    </w:rPr>
                    <w:t>deinversión</w:t>
                  </w:r>
                  <w:proofErr w:type="spellEnd"/>
                  <w:r w:rsidRPr="00CA63EE">
                    <w:rPr>
                      <w:rFonts w:ascii="Verdana" w:hAnsi="Verdana"/>
                      <w:bCs/>
                      <w:sz w:val="20"/>
                    </w:rPr>
                    <w:t xml:space="preserve"> autorizados por su Comité de Inversión.</w:t>
                  </w:r>
                </w:p>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132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146"/>
              <w:gridCol w:w="287"/>
              <w:gridCol w:w="4135"/>
            </w:tblGrid>
            <w:tr w:rsidR="00CA63EE" w:rsidRPr="00CA63EE">
              <w:tc>
                <w:tcPr>
                  <w:tcW w:w="4176"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ii.   Describir los mercados, regiones y Clases de Activos </w:t>
                  </w:r>
                  <w:proofErr w:type="spellStart"/>
                  <w:r w:rsidRPr="00CA63EE">
                    <w:rPr>
                      <w:rFonts w:ascii="Verdana" w:hAnsi="Verdana"/>
                      <w:bCs/>
                      <w:sz w:val="20"/>
                    </w:rPr>
                    <w:t>enque</w:t>
                  </w:r>
                  <w:proofErr w:type="spellEnd"/>
                  <w:r w:rsidRPr="00CA63EE">
                    <w:rPr>
                      <w:rFonts w:ascii="Verdana" w:hAnsi="Verdana"/>
                      <w:bCs/>
                      <w:sz w:val="20"/>
                    </w:rPr>
                    <w:t xml:space="preserve"> invertirán los Mandatarios (Máximo 200 palabras);</w:t>
                  </w:r>
                </w:p>
                <w:p w:rsidR="00CA63EE" w:rsidRPr="00CA63EE" w:rsidRDefault="00CA63EE" w:rsidP="00CA63EE">
                  <w:pPr>
                    <w:jc w:val="both"/>
                    <w:rPr>
                      <w:rFonts w:ascii="Verdana" w:hAnsi="Verdana"/>
                      <w:bCs/>
                      <w:sz w:val="20"/>
                    </w:rPr>
                  </w:pPr>
                  <w:r w:rsidRPr="00CA63EE">
                    <w:rPr>
                      <w:rFonts w:ascii="Verdana" w:hAnsi="Verdana"/>
                      <w:bCs/>
                      <w:sz w:val="20"/>
                    </w:rPr>
                    <w:t>iii.   Incluir los límites de inversión en Mandatos, desagregados por región y Clase de Activo, autorizados por su Comité de Inversión.</w:t>
                  </w:r>
                </w:p>
                <w:p w:rsidR="00CA63EE" w:rsidRPr="00CA63EE" w:rsidRDefault="00CA63EE" w:rsidP="00CA63EE">
                  <w:pPr>
                    <w:jc w:val="both"/>
                    <w:rPr>
                      <w:rFonts w:ascii="Verdana" w:hAnsi="Verdana"/>
                      <w:bCs/>
                      <w:sz w:val="20"/>
                    </w:rPr>
                  </w:pPr>
                  <w:r w:rsidRPr="00CA63EE">
                    <w:rPr>
                      <w:rFonts w:ascii="Verdana" w:hAnsi="Verdana"/>
                      <w:b/>
                      <w:bCs/>
                      <w:i/>
                      <w:iCs/>
                      <w:sz w:val="20"/>
                    </w:rPr>
                    <w:t>h) Inversión en Fondos Mutuos</w:t>
                  </w:r>
                </w:p>
                <w:p w:rsidR="00CA63EE" w:rsidRPr="00CA63EE" w:rsidRDefault="00CA63EE" w:rsidP="00CA63EE">
                  <w:pPr>
                    <w:jc w:val="both"/>
                    <w:rPr>
                      <w:rFonts w:ascii="Verdana" w:hAnsi="Verdana"/>
                      <w:bCs/>
                      <w:sz w:val="20"/>
                    </w:rPr>
                  </w:pPr>
                  <w:r w:rsidRPr="00CA63EE">
                    <w:rPr>
                      <w:rFonts w:ascii="Verdana" w:hAnsi="Verdana"/>
                      <w:bCs/>
                      <w:sz w:val="20"/>
                    </w:rPr>
                    <w:t xml:space="preserve">En caso de que la Administradora, a través de sus </w:t>
                  </w:r>
                  <w:proofErr w:type="spellStart"/>
                  <w:r w:rsidRPr="00CA63EE">
                    <w:rPr>
                      <w:rFonts w:ascii="Verdana" w:hAnsi="Verdana"/>
                      <w:bCs/>
                      <w:sz w:val="20"/>
                    </w:rPr>
                    <w:t>Comités,decida</w:t>
                  </w:r>
                  <w:proofErr w:type="spellEnd"/>
                  <w:r w:rsidRPr="00CA63EE">
                    <w:rPr>
                      <w:rFonts w:ascii="Verdana" w:hAnsi="Verdana"/>
                      <w:bCs/>
                      <w:sz w:val="20"/>
                    </w:rPr>
                    <w:t xml:space="preserve"> invertir en Fondos Mutuos deberá:</w:t>
                  </w:r>
                </w:p>
                <w:p w:rsidR="00CA63EE" w:rsidRPr="00CA63EE" w:rsidRDefault="00CA63EE" w:rsidP="00CA63EE">
                  <w:pPr>
                    <w:jc w:val="both"/>
                    <w:rPr>
                      <w:rFonts w:ascii="Verdana" w:hAnsi="Verdana"/>
                      <w:bCs/>
                      <w:sz w:val="20"/>
                    </w:rPr>
                  </w:pPr>
                  <w:r w:rsidRPr="00CA63EE">
                    <w:rPr>
                      <w:rFonts w:ascii="Verdana" w:hAnsi="Verdana"/>
                      <w:bCs/>
                      <w:sz w:val="20"/>
                    </w:rPr>
                    <w:t>i.    Explicar el objetivo de la inversión en Fondos Mutuos por la SIEFORE (Máximo 200 palabras).</w:t>
                  </w:r>
                </w:p>
                <w:p w:rsidR="00CA63EE" w:rsidRPr="00CA63EE" w:rsidRDefault="00CA63EE" w:rsidP="00CA63EE">
                  <w:pPr>
                    <w:jc w:val="both"/>
                    <w:rPr>
                      <w:rFonts w:ascii="Verdana" w:hAnsi="Verdana"/>
                      <w:bCs/>
                      <w:sz w:val="20"/>
                    </w:rPr>
                  </w:pPr>
                  <w:r w:rsidRPr="00CA63EE">
                    <w:rPr>
                      <w:rFonts w:ascii="Verdana" w:hAnsi="Verdana"/>
                      <w:bCs/>
                      <w:sz w:val="20"/>
                    </w:rPr>
                    <w:t xml:space="preserve">ii.   Describir los mercados, regiones y Clases de Activos </w:t>
                  </w:r>
                  <w:proofErr w:type="spellStart"/>
                  <w:r w:rsidRPr="00CA63EE">
                    <w:rPr>
                      <w:rFonts w:ascii="Verdana" w:hAnsi="Verdana"/>
                      <w:bCs/>
                      <w:sz w:val="20"/>
                    </w:rPr>
                    <w:t>enque</w:t>
                  </w:r>
                  <w:proofErr w:type="spellEnd"/>
                  <w:r w:rsidRPr="00CA63EE">
                    <w:rPr>
                      <w:rFonts w:ascii="Verdana" w:hAnsi="Verdana"/>
                      <w:bCs/>
                      <w:sz w:val="20"/>
                    </w:rPr>
                    <w:t xml:space="preserve"> invertirá la SIEFORE, a través de los Fondos Mutuos (Máximo 200 palabras).</w:t>
                  </w:r>
                </w:p>
                <w:p w:rsidR="00CA63EE" w:rsidRPr="00CA63EE" w:rsidRDefault="00CA63EE" w:rsidP="00CA63EE">
                  <w:pPr>
                    <w:jc w:val="both"/>
                    <w:rPr>
                      <w:rFonts w:ascii="Verdana" w:hAnsi="Verdana"/>
                      <w:bCs/>
                      <w:sz w:val="20"/>
                    </w:rPr>
                  </w:pPr>
                  <w:r w:rsidRPr="00CA63EE">
                    <w:rPr>
                      <w:rFonts w:ascii="Verdana" w:hAnsi="Verdana"/>
                      <w:bCs/>
                      <w:sz w:val="20"/>
                    </w:rPr>
                    <w:t xml:space="preserve">iii.   Incluir los límites de inversión en Fondos </w:t>
                  </w:r>
                  <w:proofErr w:type="spellStart"/>
                  <w:r w:rsidRPr="00CA63EE">
                    <w:rPr>
                      <w:rFonts w:ascii="Verdana" w:hAnsi="Verdana"/>
                      <w:bCs/>
                      <w:sz w:val="20"/>
                    </w:rPr>
                    <w:t>Mutuosdesagregados</w:t>
                  </w:r>
                  <w:proofErr w:type="spellEnd"/>
                  <w:r w:rsidRPr="00CA63EE">
                    <w:rPr>
                      <w:rFonts w:ascii="Verdana" w:hAnsi="Verdana"/>
                      <w:bCs/>
                      <w:sz w:val="20"/>
                    </w:rPr>
                    <w:t xml:space="preserve"> por región y Clase de Activo, </w:t>
                  </w:r>
                  <w:proofErr w:type="spellStart"/>
                  <w:r w:rsidRPr="00CA63EE">
                    <w:rPr>
                      <w:rFonts w:ascii="Verdana" w:hAnsi="Verdana"/>
                      <w:bCs/>
                      <w:sz w:val="20"/>
                    </w:rPr>
                    <w:t>autorizadospor</w:t>
                  </w:r>
                  <w:proofErr w:type="spellEnd"/>
                  <w:r w:rsidRPr="00CA63EE">
                    <w:rPr>
                      <w:rFonts w:ascii="Verdana" w:hAnsi="Verdana"/>
                      <w:bCs/>
                      <w:sz w:val="20"/>
                    </w:rPr>
                    <w:t xml:space="preserve"> su Comité de Inversión.</w:t>
                  </w:r>
                </w:p>
              </w:tc>
              <w:tc>
                <w:tcPr>
                  <w:tcW w:w="27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414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iv.  Incluir los criterios generales empleados para seleccionar a los administradores de estos fondos (Máximo 200 palabras).</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2769"/>
                    <w:gridCol w:w="1126"/>
                  </w:tblGrid>
                  <w:tr w:rsidR="00CA63EE" w:rsidRPr="00CA63EE">
                    <w:trPr>
                      <w:trHeight w:val="842"/>
                    </w:trPr>
                    <w:tc>
                      <w:tcPr>
                        <w:tcW w:w="2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Clases de activo autorizados en el</w:t>
                        </w:r>
                        <w:r w:rsidRPr="00CA63EE">
                          <w:rPr>
                            <w:rFonts w:ascii="Verdana" w:hAnsi="Verdana"/>
                            <w:bCs/>
                            <w:sz w:val="20"/>
                          </w:rPr>
                          <w:br/>
                        </w:r>
                        <w:r w:rsidRPr="00CA63EE">
                          <w:rPr>
                            <w:rFonts w:ascii="Verdana" w:hAnsi="Verdana"/>
                            <w:b/>
                            <w:bCs/>
                            <w:sz w:val="20"/>
                          </w:rPr>
                          <w:t>régimen de inversión</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Activos en</w:t>
                        </w:r>
                        <w:r w:rsidRPr="00CA63EE">
                          <w:rPr>
                            <w:rFonts w:ascii="Verdana" w:hAnsi="Verdana"/>
                            <w:bCs/>
                            <w:sz w:val="20"/>
                          </w:rPr>
                          <w:br/>
                        </w:r>
                        <w:r w:rsidRPr="00CA63EE">
                          <w:rPr>
                            <w:rFonts w:ascii="Verdana" w:hAnsi="Verdana"/>
                            <w:b/>
                            <w:bCs/>
                            <w:sz w:val="20"/>
                          </w:rPr>
                          <w:t>los que</w:t>
                        </w:r>
                        <w:r w:rsidRPr="00CA63EE">
                          <w:rPr>
                            <w:rFonts w:ascii="Verdana" w:hAnsi="Verdana"/>
                            <w:bCs/>
                            <w:sz w:val="20"/>
                          </w:rPr>
                          <w:br/>
                        </w:r>
                        <w:r w:rsidRPr="00CA63EE">
                          <w:rPr>
                            <w:rFonts w:ascii="Verdana" w:hAnsi="Verdana"/>
                            <w:b/>
                            <w:bCs/>
                            <w:sz w:val="20"/>
                          </w:rPr>
                          <w:t>invierte la</w:t>
                        </w:r>
                        <w:r w:rsidRPr="00CA63EE">
                          <w:rPr>
                            <w:rFonts w:ascii="Verdana" w:hAnsi="Verdana"/>
                            <w:bCs/>
                            <w:sz w:val="20"/>
                          </w:rPr>
                          <w:br/>
                        </w:r>
                        <w:r w:rsidRPr="00CA63EE">
                          <w:rPr>
                            <w:rFonts w:ascii="Verdana" w:hAnsi="Verdana"/>
                            <w:b/>
                            <w:bCs/>
                            <w:sz w:val="20"/>
                          </w:rPr>
                          <w:t>SIEFORE</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Depósitos a la vista</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Instrumentos de Deuda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Gubernamental</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Privados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C.     Instrumentos de deuda híbridos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xml:space="preserve">D.     Instrumentos </w:t>
                        </w:r>
                        <w:proofErr w:type="spellStart"/>
                        <w:r w:rsidRPr="00CA63EE">
                          <w:rPr>
                            <w:rFonts w:ascii="Verdana" w:hAnsi="Verdana"/>
                            <w:b/>
                            <w:bCs/>
                            <w:sz w:val="20"/>
                          </w:rPr>
                          <w:t>Bursatilizados</w:t>
                        </w:r>
                        <w:proofErr w:type="spellEnd"/>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Certificados bursátiles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4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xml:space="preserve">b)    Certificados </w:t>
                        </w:r>
                        <w:proofErr w:type="spellStart"/>
                        <w:r w:rsidRPr="00CA63EE">
                          <w:rPr>
                            <w:rFonts w:ascii="Verdana" w:hAnsi="Verdana"/>
                            <w:b/>
                            <w:bCs/>
                            <w:sz w:val="20"/>
                          </w:rPr>
                          <w:t>Bursátilesvinculados</w:t>
                        </w:r>
                        <w:proofErr w:type="spellEnd"/>
                        <w:r w:rsidRPr="00CA63EE">
                          <w:rPr>
                            <w:rFonts w:ascii="Verdana" w:hAnsi="Verdana"/>
                            <w:b/>
                            <w:bCs/>
                            <w:sz w:val="20"/>
                          </w:rPr>
                          <w:t xml:space="preserve"> a proyectos reales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Valores Extranjeros de Deuda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Gubernamental</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Privados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Renta Variable</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Nacional</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4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lastRenderedPageBreak/>
                          <w:t xml:space="preserve">B.     Valores Extranjeros de </w:t>
                        </w:r>
                        <w:proofErr w:type="spellStart"/>
                        <w:r w:rsidRPr="00CA63EE">
                          <w:rPr>
                            <w:rFonts w:ascii="Verdana" w:hAnsi="Verdana"/>
                            <w:b/>
                            <w:bCs/>
                            <w:sz w:val="20"/>
                          </w:rPr>
                          <w:t>RentaVariable</w:t>
                        </w:r>
                        <w:proofErr w:type="spellEnd"/>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Instrumentos Estructurados</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xml:space="preserve">A.     </w:t>
                        </w:r>
                        <w:proofErr w:type="spellStart"/>
                        <w:r w:rsidRPr="00CA63EE">
                          <w:rPr>
                            <w:rFonts w:ascii="Verdana" w:hAnsi="Verdana"/>
                            <w:b/>
                            <w:bCs/>
                            <w:sz w:val="20"/>
                          </w:rPr>
                          <w:t>CKD's</w:t>
                        </w:r>
                        <w:proofErr w:type="spellEnd"/>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CERPIS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Fibras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Genéricas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Fibra-E</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Vehículos de inversión inmobiliaria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Divisas</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Mercancías</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Tipo de operaciones</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Reporto</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Préstamo de valores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Derivados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Mandatos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
                            <w:bCs/>
                            <w:sz w:val="20"/>
                          </w:rPr>
                          <w:t>ETFs</w:t>
                        </w:r>
                        <w:proofErr w:type="spellEnd"/>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Fondos Mutuos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35"/>
                    </w:trPr>
                    <w:tc>
                      <w:tcPr>
                        <w:tcW w:w="29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i/>
                      <w:iCs/>
                      <w:sz w:val="20"/>
                    </w:rPr>
                    <w:t>i) Inversiones ESG</w:t>
                  </w:r>
                </w:p>
                <w:p w:rsidR="00CA63EE" w:rsidRPr="00CA63EE" w:rsidRDefault="00CA63EE" w:rsidP="00CA63EE">
                  <w:pPr>
                    <w:jc w:val="both"/>
                    <w:rPr>
                      <w:rFonts w:ascii="Verdana" w:hAnsi="Verdana"/>
                      <w:bCs/>
                      <w:sz w:val="20"/>
                    </w:rPr>
                  </w:pPr>
                  <w:r w:rsidRPr="00CA63EE">
                    <w:rPr>
                      <w:rFonts w:ascii="Verdana" w:hAnsi="Verdana"/>
                      <w:bCs/>
                      <w:sz w:val="20"/>
                    </w:rPr>
                    <w:t xml:space="preserve">En caso de que la Administradora, a través de sus </w:t>
                  </w:r>
                  <w:proofErr w:type="spellStart"/>
                  <w:r w:rsidRPr="00CA63EE">
                    <w:rPr>
                      <w:rFonts w:ascii="Verdana" w:hAnsi="Verdana"/>
                      <w:bCs/>
                      <w:sz w:val="20"/>
                    </w:rPr>
                    <w:t>Comités,decida</w:t>
                  </w:r>
                  <w:proofErr w:type="spellEnd"/>
                  <w:r w:rsidRPr="00CA63EE">
                    <w:rPr>
                      <w:rFonts w:ascii="Verdana" w:hAnsi="Verdana"/>
                      <w:bCs/>
                      <w:sz w:val="20"/>
                    </w:rPr>
                    <w:t xml:space="preserve"> realizar las inversiones, así como la administración </w:t>
                  </w:r>
                  <w:proofErr w:type="spellStart"/>
                  <w:r w:rsidRPr="00CA63EE">
                    <w:rPr>
                      <w:rFonts w:ascii="Verdana" w:hAnsi="Verdana"/>
                      <w:bCs/>
                      <w:sz w:val="20"/>
                    </w:rPr>
                    <w:t>deriesgos</w:t>
                  </w:r>
                  <w:proofErr w:type="spellEnd"/>
                  <w:r w:rsidRPr="00CA63EE">
                    <w:rPr>
                      <w:rFonts w:ascii="Verdana" w:hAnsi="Verdana"/>
                      <w:bCs/>
                      <w:sz w:val="20"/>
                    </w:rPr>
                    <w:t xml:space="preserve"> de conformidad a los principios </w:t>
                  </w:r>
                  <w:r w:rsidRPr="00CA63EE">
                    <w:rPr>
                      <w:rFonts w:ascii="Verdana" w:hAnsi="Verdana"/>
                      <w:bCs/>
                      <w:sz w:val="20"/>
                    </w:rPr>
                    <w:lastRenderedPageBreak/>
                    <w:t xml:space="preserve">ambientales, sociales </w:t>
                  </w:r>
                  <w:proofErr w:type="spellStart"/>
                  <w:r w:rsidRPr="00CA63EE">
                    <w:rPr>
                      <w:rFonts w:ascii="Verdana" w:hAnsi="Verdana"/>
                      <w:bCs/>
                      <w:sz w:val="20"/>
                    </w:rPr>
                    <w:t>yde</w:t>
                  </w:r>
                  <w:proofErr w:type="spellEnd"/>
                  <w:r w:rsidRPr="00CA63EE">
                    <w:rPr>
                      <w:rFonts w:ascii="Verdana" w:hAnsi="Verdana"/>
                      <w:bCs/>
                      <w:sz w:val="20"/>
                    </w:rPr>
                    <w:t xml:space="preserve"> gobernanza corporativa (ESG por sus siglas en el </w:t>
                  </w:r>
                  <w:proofErr w:type="spellStart"/>
                  <w:r w:rsidRPr="00CA63EE">
                    <w:rPr>
                      <w:rFonts w:ascii="Verdana" w:hAnsi="Verdana"/>
                      <w:bCs/>
                      <w:sz w:val="20"/>
                    </w:rPr>
                    <w:t>idiomainglés</w:t>
                  </w:r>
                  <w:proofErr w:type="spellEnd"/>
                  <w:r w:rsidRPr="00CA63EE">
                    <w:rPr>
                      <w:rFonts w:ascii="Verdana" w:hAnsi="Verdana"/>
                      <w:bCs/>
                      <w:sz w:val="20"/>
                    </w:rPr>
                    <w:t>), deberá:</w:t>
                  </w:r>
                </w:p>
                <w:p w:rsidR="00CA63EE" w:rsidRPr="00CA63EE" w:rsidRDefault="00CA63EE" w:rsidP="00CA63EE">
                  <w:pPr>
                    <w:jc w:val="both"/>
                    <w:rPr>
                      <w:rFonts w:ascii="Verdana" w:hAnsi="Verdana"/>
                      <w:bCs/>
                      <w:sz w:val="20"/>
                    </w:rPr>
                  </w:pPr>
                  <w:r w:rsidRPr="00CA63EE">
                    <w:rPr>
                      <w:rFonts w:ascii="Verdana" w:hAnsi="Verdana"/>
                      <w:bCs/>
                      <w:sz w:val="20"/>
                    </w:rPr>
                    <w:t>i.    Explicar el objetivo de estas inversiones por las SIEFORE (Máximo 200 palabras).</w:t>
                  </w:r>
                </w:p>
                <w:p w:rsidR="00CA63EE" w:rsidRPr="00CA63EE" w:rsidRDefault="00CA63EE" w:rsidP="00CA63EE">
                  <w:pPr>
                    <w:jc w:val="both"/>
                    <w:rPr>
                      <w:rFonts w:ascii="Verdana" w:hAnsi="Verdana"/>
                      <w:bCs/>
                      <w:sz w:val="20"/>
                    </w:rPr>
                  </w:pPr>
                  <w:r w:rsidRPr="00CA63EE">
                    <w:rPr>
                      <w:rFonts w:ascii="Verdana" w:hAnsi="Verdana"/>
                      <w:bCs/>
                      <w:sz w:val="20"/>
                    </w:rPr>
                    <w:t>ii.    Explicar la forma en que incorporan dichos principios tanto en las inversiones como en la administración de riesgos (Máximo 200 palabras).</w:t>
                  </w:r>
                </w:p>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337"/>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divId w:val="668866253"/>
              <w:rPr>
                <w:rFonts w:ascii="Verdana" w:hAnsi="Verdana"/>
                <w:bCs/>
                <w:sz w:val="20"/>
              </w:rPr>
            </w:pPr>
            <w:r w:rsidRPr="00CA63EE">
              <w:rPr>
                <w:rFonts w:ascii="Verdana" w:hAnsi="Verdana"/>
                <w:bCs/>
                <w:sz w:val="20"/>
              </w:rPr>
              <w:lastRenderedPageBreak/>
              <w:t> </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910"/>
      </w:tblGrid>
      <w:tr w:rsidR="00CA63EE" w:rsidRPr="00CA63EE" w:rsidTr="00CA63EE">
        <w:trPr>
          <w:trHeight w:val="575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522"/>
              <w:gridCol w:w="7084"/>
            </w:tblGrid>
            <w:tr w:rsidR="00CA63EE" w:rsidRPr="00CA63EE">
              <w:trPr>
                <w:trHeight w:val="355"/>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III. Administración integral de riesgos</w:t>
                  </w:r>
                </w:p>
              </w:tc>
              <w:tc>
                <w:tcPr>
                  <w:tcW w:w="540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w:t>
            </w:r>
            <w:r w:rsidRPr="00CA63EE">
              <w:rPr>
                <w:rFonts w:ascii="Verdana" w:hAnsi="Verdana"/>
                <w:bCs/>
                <w:sz w:val="20"/>
              </w:rPr>
              <w:t xml:space="preserve">     Se deberá describir la política de administración integral de riesgos incluyendo los distintos tipos de riesgos a los que </w:t>
            </w:r>
            <w:proofErr w:type="spellStart"/>
            <w:r w:rsidRPr="00CA63EE">
              <w:rPr>
                <w:rFonts w:ascii="Verdana" w:hAnsi="Verdana"/>
                <w:bCs/>
                <w:sz w:val="20"/>
              </w:rPr>
              <w:t>seencuentra</w:t>
            </w:r>
            <w:proofErr w:type="spellEnd"/>
            <w:r w:rsidRPr="00CA63EE">
              <w:rPr>
                <w:rFonts w:ascii="Verdana" w:hAnsi="Verdana"/>
                <w:bCs/>
                <w:sz w:val="20"/>
              </w:rPr>
              <w:t xml:space="preserve"> expuesta la cartera de inversión, así como las políticas de la Sociedad de Inversión para mitigarlos. (Máximo 500palabras)</w:t>
            </w:r>
          </w:p>
          <w:p w:rsidR="00CA63EE" w:rsidRPr="00CA63EE" w:rsidRDefault="00CA63EE" w:rsidP="00CA63EE">
            <w:pPr>
              <w:jc w:val="both"/>
              <w:rPr>
                <w:rFonts w:ascii="Verdana" w:hAnsi="Verdana"/>
                <w:bCs/>
                <w:sz w:val="20"/>
              </w:rPr>
            </w:pPr>
            <w:r w:rsidRPr="00CA63EE">
              <w:rPr>
                <w:rFonts w:ascii="Verdana" w:hAnsi="Verdana"/>
                <w:b/>
                <w:bCs/>
                <w:sz w:val="20"/>
              </w:rPr>
              <w:t>-</w:t>
            </w:r>
            <w:r w:rsidRPr="00CA63EE">
              <w:rPr>
                <w:rFonts w:ascii="Verdana" w:hAnsi="Verdana"/>
                <w:bCs/>
                <w:sz w:val="20"/>
              </w:rPr>
              <w:t xml:space="preserve">     Se deberá indicar el límite máximo de alguno de los parámetros de control de riesgo al que deberá sujetarse la Sociedad </w:t>
            </w:r>
            <w:proofErr w:type="spellStart"/>
            <w:r w:rsidRPr="00CA63EE">
              <w:rPr>
                <w:rFonts w:ascii="Verdana" w:hAnsi="Verdana"/>
                <w:bCs/>
                <w:sz w:val="20"/>
              </w:rPr>
              <w:t>deInversión</w:t>
            </w:r>
            <w:proofErr w:type="spellEnd"/>
            <w:r w:rsidRPr="00CA63EE">
              <w:rPr>
                <w:rFonts w:ascii="Verdana" w:hAnsi="Verdana"/>
                <w:bCs/>
                <w:sz w:val="20"/>
              </w:rPr>
              <w:t xml:space="preserve"> y que se ajuste a las Disposiciones de carácter general que establecen el régimen de inversión al que </w:t>
            </w:r>
            <w:proofErr w:type="spellStart"/>
            <w:r w:rsidRPr="00CA63EE">
              <w:rPr>
                <w:rFonts w:ascii="Verdana" w:hAnsi="Verdana"/>
                <w:bCs/>
                <w:sz w:val="20"/>
              </w:rPr>
              <w:t>deberánsujetarse</w:t>
            </w:r>
            <w:proofErr w:type="spellEnd"/>
            <w:r w:rsidRPr="00CA63EE">
              <w:rPr>
                <w:rFonts w:ascii="Verdana" w:hAnsi="Verdana"/>
                <w:bCs/>
                <w:sz w:val="20"/>
              </w:rPr>
              <w:t xml:space="preserve"> las sociedades de inversión especializadas de fondos para el retiro, ya sea el Valor en Riesgo o el Diferencial del Valor en Riesgo Condicional.</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046"/>
              <w:gridCol w:w="7560"/>
            </w:tblGrid>
            <w:tr w:rsidR="00CA63EE" w:rsidRPr="00CA63EE">
              <w:trPr>
                <w:trHeight w:val="355"/>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IV. Límites de inversión</w:t>
                  </w:r>
                </w:p>
              </w:tc>
              <w:tc>
                <w:tcPr>
                  <w:tcW w:w="540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w:t>
            </w:r>
            <w:r w:rsidRPr="00CA63EE">
              <w:rPr>
                <w:rFonts w:ascii="Verdana" w:hAnsi="Verdana"/>
                <w:bCs/>
                <w:sz w:val="20"/>
              </w:rPr>
              <w:t>     Se deberán incluir los límites de inversión por Clase de Activo o Factor de Riesgo, definidos por el Comité de Riesgos Financieros.</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126"/>
              <w:gridCol w:w="7480"/>
            </w:tblGrid>
            <w:tr w:rsidR="00CA63EE" w:rsidRPr="00CA63EE">
              <w:trPr>
                <w:trHeight w:val="355"/>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V. Portafolio de referencia</w:t>
                  </w:r>
                </w:p>
              </w:tc>
              <w:tc>
                <w:tcPr>
                  <w:tcW w:w="540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w:t>
            </w:r>
            <w:r w:rsidRPr="00CA63EE">
              <w:rPr>
                <w:rFonts w:ascii="Verdana" w:hAnsi="Verdana"/>
                <w:bCs/>
                <w:sz w:val="20"/>
              </w:rPr>
              <w:t>     Incluir una descripción general del Portafolio de Referencia aplicable a la cartera de inversión del Activo Total de la Sociedad de Inversión (Máximo 500 palabras).</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124"/>
              <w:gridCol w:w="7482"/>
            </w:tblGrid>
            <w:tr w:rsidR="00CA63EE" w:rsidRPr="00CA63EE">
              <w:trPr>
                <w:trHeight w:val="355"/>
              </w:trPr>
              <w:tc>
                <w:tcPr>
                  <w:tcW w:w="312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 xml:space="preserve">VI. Políticas </w:t>
                  </w:r>
                  <w:r w:rsidRPr="00CA63EE">
                    <w:rPr>
                      <w:rFonts w:ascii="Verdana" w:hAnsi="Verdana"/>
                      <w:b/>
                      <w:bCs/>
                      <w:sz w:val="20"/>
                    </w:rPr>
                    <w:lastRenderedPageBreak/>
                    <w:t>de Operación</w:t>
                  </w:r>
                </w:p>
              </w:tc>
              <w:tc>
                <w:tcPr>
                  <w:tcW w:w="540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_________________________________________________________</w:t>
                  </w:r>
                  <w:r w:rsidRPr="00CA63EE">
                    <w:rPr>
                      <w:rFonts w:ascii="Verdana" w:hAnsi="Verdana"/>
                      <w:bCs/>
                      <w:sz w:val="20"/>
                    </w:rPr>
                    <w:lastRenderedPageBreak/>
                    <w:t>__________</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CA63EE" w:rsidRPr="00CA63EE" w:rsidTr="00CA63EE">
        <w:tc>
          <w:tcPr>
            <w:tcW w:w="0" w:type="auto"/>
            <w:shd w:val="clear" w:color="auto" w:fill="FFFFFF"/>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7325"/>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lastRenderedPageBreak/>
              <w:t>a) Tipos de recursos que se pueden invertir en la Sociedad de Inversión:</w:t>
            </w:r>
          </w:p>
          <w:p w:rsidR="00CA63EE" w:rsidRPr="00CA63EE" w:rsidRDefault="00CA63EE" w:rsidP="00CA63EE">
            <w:pPr>
              <w:jc w:val="both"/>
              <w:rPr>
                <w:rFonts w:ascii="Verdana" w:hAnsi="Verdana"/>
                <w:bCs/>
                <w:sz w:val="20"/>
              </w:rPr>
            </w:pPr>
            <w:r w:rsidRPr="00CA63EE">
              <w:rPr>
                <w:rFonts w:ascii="Verdana" w:hAnsi="Verdana"/>
                <w:bCs/>
                <w:sz w:val="20"/>
              </w:rPr>
              <w:t>Se mencionarán las subcuentas cuyos recursos se podrán invertir en la Sociedad de Inversión.</w:t>
            </w:r>
          </w:p>
          <w:p w:rsidR="00CA63EE" w:rsidRPr="00CA63EE" w:rsidRDefault="00CA63EE" w:rsidP="00CA63EE">
            <w:pPr>
              <w:jc w:val="both"/>
              <w:rPr>
                <w:rFonts w:ascii="Verdana" w:hAnsi="Verdana"/>
                <w:bCs/>
                <w:sz w:val="20"/>
              </w:rPr>
            </w:pPr>
            <w:r w:rsidRPr="00CA63EE">
              <w:rPr>
                <w:rFonts w:ascii="Verdana" w:hAnsi="Verdana"/>
                <w:b/>
                <w:bCs/>
                <w:sz w:val="20"/>
              </w:rPr>
              <w:t>b) Régimen de comisiones:</w:t>
            </w:r>
          </w:p>
          <w:p w:rsidR="00CA63EE" w:rsidRPr="00CA63EE" w:rsidRDefault="00CA63EE" w:rsidP="00CA63EE">
            <w:pPr>
              <w:jc w:val="both"/>
              <w:rPr>
                <w:rFonts w:ascii="Verdana" w:hAnsi="Verdana"/>
                <w:bCs/>
                <w:sz w:val="20"/>
              </w:rPr>
            </w:pPr>
            <w:r w:rsidRPr="00CA63EE">
              <w:rPr>
                <w:rFonts w:ascii="Verdana" w:hAnsi="Verdana"/>
                <w:bCs/>
                <w:sz w:val="20"/>
              </w:rPr>
              <w:t xml:space="preserve">Se describirá el régimen de comisiones vigentes aplicable a la Sociedad de Inversión, autorizado a la Administradora, con una </w:t>
            </w:r>
            <w:proofErr w:type="spellStart"/>
            <w:r w:rsidRPr="00CA63EE">
              <w:rPr>
                <w:rFonts w:ascii="Verdana" w:hAnsi="Verdana"/>
                <w:bCs/>
                <w:sz w:val="20"/>
              </w:rPr>
              <w:t>breveexplicación</w:t>
            </w:r>
            <w:proofErr w:type="spellEnd"/>
            <w:r w:rsidRPr="00CA63EE">
              <w:rPr>
                <w:rFonts w:ascii="Verdana" w:hAnsi="Verdana"/>
                <w:bCs/>
                <w:sz w:val="20"/>
              </w:rPr>
              <w:t xml:space="preserve"> de la forma de cálculo y porcentaje a aplicar por la Sociedad de Inversión, en el formato siguiente:</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1421"/>
            </w:tblGrid>
            <w:tr w:rsidR="00CA63EE" w:rsidRPr="00CA63EE">
              <w:trPr>
                <w:trHeight w:val="575"/>
              </w:trPr>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
                      <w:bCs/>
                      <w:sz w:val="20"/>
                    </w:rPr>
                    <w:t>COMISIÓN</w:t>
                  </w:r>
                </w:p>
                <w:p w:rsidR="00CA63EE" w:rsidRPr="00CA63EE" w:rsidRDefault="00CA63EE" w:rsidP="00CA63EE">
                  <w:pPr>
                    <w:jc w:val="both"/>
                    <w:rPr>
                      <w:rFonts w:ascii="Verdana" w:hAnsi="Verdana"/>
                      <w:bCs/>
                      <w:sz w:val="20"/>
                    </w:rPr>
                  </w:pPr>
                  <w:r w:rsidRPr="00CA63EE">
                    <w:rPr>
                      <w:rFonts w:ascii="Verdana" w:hAnsi="Verdana"/>
                      <w:b/>
                      <w:bCs/>
                      <w:sz w:val="20"/>
                    </w:rPr>
                    <w:t>(%)</w:t>
                  </w:r>
                </w:p>
              </w:tc>
            </w:tr>
            <w:tr w:rsidR="00CA63EE" w:rsidRPr="00CA63EE">
              <w:trPr>
                <w:trHeight w:val="280"/>
              </w:trPr>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Deberá añadirse la leyenda: "A menor comisión, mayor ahorro."</w:t>
            </w:r>
          </w:p>
          <w:p w:rsidR="00CA63EE" w:rsidRPr="00CA63EE" w:rsidRDefault="00CA63EE" w:rsidP="00CA63EE">
            <w:pPr>
              <w:jc w:val="both"/>
              <w:rPr>
                <w:rFonts w:ascii="Verdana" w:hAnsi="Verdana"/>
                <w:bCs/>
                <w:sz w:val="20"/>
              </w:rPr>
            </w:pPr>
            <w:r w:rsidRPr="00CA63EE">
              <w:rPr>
                <w:rFonts w:ascii="Verdana" w:hAnsi="Verdana"/>
                <w:bCs/>
                <w:sz w:val="20"/>
              </w:rPr>
              <w:t>Asimismo, 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"Las comisiones, así como los descuentos se aplicarán en forma uniforme para todos los trabajadores registrados, sin que se discrimine entre éstos.</w:t>
            </w:r>
          </w:p>
          <w:p w:rsidR="00CA63EE" w:rsidRPr="00CA63EE" w:rsidRDefault="00CA63EE" w:rsidP="00CA63EE">
            <w:pPr>
              <w:jc w:val="both"/>
              <w:rPr>
                <w:rFonts w:ascii="Verdana" w:hAnsi="Verdana"/>
                <w:bCs/>
                <w:sz w:val="20"/>
              </w:rPr>
            </w:pPr>
            <w:r w:rsidRPr="00CA63EE">
              <w:rPr>
                <w:rFonts w:ascii="Verdana" w:hAnsi="Verdana"/>
                <w:bCs/>
                <w:i/>
                <w:iCs/>
                <w:sz w:val="20"/>
              </w:rPr>
              <w:t>Las comisiones sobre saldo sólo se cobrarán cuando los recursos se encuentren efectivamente invertidos en la Sociedad de Inversión y se hayan registrado las provisiones diarias necesarias en la contabilidad de la Sociedad de Inversión.</w:t>
            </w:r>
          </w:p>
          <w:p w:rsidR="00CA63EE" w:rsidRPr="00CA63EE" w:rsidRDefault="00CA63EE" w:rsidP="00CA63EE">
            <w:pPr>
              <w:jc w:val="both"/>
              <w:rPr>
                <w:rFonts w:ascii="Verdana" w:hAnsi="Verdana"/>
                <w:bCs/>
                <w:sz w:val="20"/>
              </w:rPr>
            </w:pPr>
            <w:r w:rsidRPr="00CA63EE">
              <w:rPr>
                <w:rFonts w:ascii="Verdana" w:hAnsi="Verdana"/>
                <w:bCs/>
                <w:i/>
                <w:iCs/>
                <w:sz w:val="20"/>
              </w:rPr>
              <w:t>Las comisiones por servicios especiales serán pagadas directamente por el trabajador que solicitó el servicio y de ninguna forma podrán efectuarse con cargo a la cuenta individual del trabajador.</w:t>
            </w:r>
          </w:p>
          <w:p w:rsidR="00CA63EE" w:rsidRPr="00CA63EE" w:rsidRDefault="00CA63EE" w:rsidP="00CA63EE">
            <w:pPr>
              <w:jc w:val="both"/>
              <w:rPr>
                <w:rFonts w:ascii="Verdana" w:hAnsi="Verdana"/>
                <w:bCs/>
                <w:sz w:val="20"/>
              </w:rPr>
            </w:pPr>
            <w:r w:rsidRPr="00CA63EE">
              <w:rPr>
                <w:rFonts w:ascii="Verdana" w:hAnsi="Verdana"/>
                <w:bCs/>
                <w:i/>
                <w:iCs/>
                <w:sz w:val="20"/>
              </w:rPr>
              <w:t xml:space="preserve">Sin perjuicio de lo anterior, en forma permanente se mantendrá información completa y visible de la estructura de comisiones y, en </w:t>
            </w:r>
            <w:proofErr w:type="spellStart"/>
            <w:r w:rsidRPr="00CA63EE">
              <w:rPr>
                <w:rFonts w:ascii="Verdana" w:hAnsi="Verdana"/>
                <w:bCs/>
                <w:i/>
                <w:iCs/>
                <w:sz w:val="20"/>
              </w:rPr>
              <w:t>sucaso</w:t>
            </w:r>
            <w:proofErr w:type="spellEnd"/>
            <w:r w:rsidRPr="00CA63EE">
              <w:rPr>
                <w:rFonts w:ascii="Verdana" w:hAnsi="Verdana"/>
                <w:bCs/>
                <w:i/>
                <w:iCs/>
                <w:sz w:val="20"/>
              </w:rPr>
              <w:t>, del esquema de descuentos, en la página de internet que defina la Administradora.</w:t>
            </w:r>
          </w:p>
          <w:p w:rsidR="00CA63EE" w:rsidRPr="00CA63EE" w:rsidRDefault="00CA63EE" w:rsidP="00CA63EE">
            <w:pPr>
              <w:jc w:val="both"/>
              <w:rPr>
                <w:rFonts w:ascii="Verdana" w:hAnsi="Verdana"/>
                <w:bCs/>
                <w:sz w:val="20"/>
              </w:rPr>
            </w:pPr>
            <w:r w:rsidRPr="00CA63EE">
              <w:rPr>
                <w:rFonts w:ascii="Verdana" w:hAnsi="Verdana"/>
                <w:bCs/>
                <w:i/>
                <w:iCs/>
                <w:sz w:val="20"/>
              </w:rPr>
              <w:t>Como consecuencia del cambio del régimen de comisiones el trabajador podrá traspasar su cuenta individual a otra Administradora."</w:t>
            </w:r>
          </w:p>
          <w:p w:rsidR="00CA63EE" w:rsidRPr="00CA63EE" w:rsidRDefault="00CA63EE" w:rsidP="00CA63EE">
            <w:pPr>
              <w:jc w:val="both"/>
              <w:rPr>
                <w:rFonts w:ascii="Verdana" w:hAnsi="Verdana"/>
                <w:bCs/>
                <w:sz w:val="20"/>
              </w:rPr>
            </w:pPr>
            <w:r w:rsidRPr="00CA63EE">
              <w:rPr>
                <w:rFonts w:ascii="Verdana" w:hAnsi="Verdana"/>
                <w:b/>
                <w:bCs/>
                <w:sz w:val="20"/>
              </w:rPr>
              <w:t>c) Precio y plazo de liquidación de las acciones de la Sociedad de Inversión:</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 xml:space="preserve">"Las operaciones de compraventa de acciones representativas del capital social de la Sociedad de Inversión, se liquidarán el mismo día en que se ordenen, conforme a las Disposiciones de carácter general sobre el registro de la contabilidad, elaboración y presentación de estados financieros a las que deberán sujetarse las Sociedades de Inversión, así como las Disposiciones de carácter general en materia financiera de los Sistemas de Ahorro para el Retiro, emitidas por la Comisión, siempre que la instrucción se gire dentro del horario de operación (____ a ____ horas, tiempo de la </w:t>
            </w:r>
            <w:r w:rsidRPr="00CA63EE">
              <w:rPr>
                <w:rFonts w:ascii="Verdana" w:hAnsi="Verdana"/>
                <w:bCs/>
                <w:i/>
                <w:iCs/>
                <w:sz w:val="20"/>
              </w:rPr>
              <w:lastRenderedPageBreak/>
              <w:t>Ciudad de México). Las operaciones solicitadas fuera del horario antes citado, se realizarán al día hábil siguiente y se liquidarán al precio vigente de las acciones de la sociedad del día en que se realice la venta de las acciones."</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549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lastRenderedPageBreak/>
              <w:t>d) Política de permanencia del fondo:</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"Los recursos de la cuenta individual del trabajador permanecerán invertidos en acciones de la Sociedad de Inversión cuando menos un año, salvo en los siguientes casos: a) Que el trabajador solicite el traspaso de su cuenta individual a otra Administradora, habida cuenta del cumplimiento de la normatividad en la materia, o se transfieran sus recursos a otra Sociedad de Inversión operada por la misma Administradora que opere su cuenta individual, como consecuencia del cambio del régimen de comisiones, con motivo de su edad o de las políticas de inversión contenidas en este prospecto de información, o cuando la Comisión le haya designado Administradora en los términos del artículo 76 de la Ley; b) Cuando al trabajador, por motivo de su edad, le corresponda cambiar de Sociedad de Inversión, solicite que los recursos acumulados en la Sociedad de Inversión en la que se encontraban, permanezcan invertidos en dicha Sociedad de forma que en la nueva Sociedad de Inversión que le corresponda por edad únicamente se reciban los nuevos flujos de cuotas y aportaciones; c) Cuando la Administradora entre en estado de disolución o se fusione con otra Administradora teniendo el carácter de fusionada, y d) Cuando se retiren la totalidad de los recursos de la cuenta individual con motivo de la contratación de una renta vitalicia o, en su caso, se agoten los recursos de la misma por haberse efectuado retiros programados o el trabajador tenga derecho a retirar parcial o totalmente sus recursos en una sola exhibición.</w:t>
            </w:r>
          </w:p>
          <w:p w:rsidR="00CA63EE" w:rsidRPr="00CA63EE" w:rsidRDefault="00CA63EE" w:rsidP="00CA63EE">
            <w:pPr>
              <w:jc w:val="both"/>
              <w:rPr>
                <w:rFonts w:ascii="Verdana" w:hAnsi="Verdana"/>
                <w:bCs/>
                <w:sz w:val="20"/>
              </w:rPr>
            </w:pPr>
            <w:r w:rsidRPr="00CA63EE">
              <w:rPr>
                <w:rFonts w:ascii="Verdana" w:hAnsi="Verdana"/>
                <w:bCs/>
                <w:i/>
                <w:iCs/>
                <w:sz w:val="20"/>
              </w:rPr>
              <w:t>Asimismo, se deberán señalar los términos y el plazo en que podrá realizar retiros, cumpliendo cuando menos con los plazos que marca la Ley.</w:t>
            </w:r>
          </w:p>
        </w:tc>
      </w:tr>
    </w:tbl>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33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Cs/>
                <w:i/>
                <w:iCs/>
                <w:sz w:val="20"/>
              </w:rPr>
              <w:t>El trabajador podrá realizar retiros de su subcuenta de aportaciones voluntarias cada _______ meses posteriores a la primera aportación o al último retiro."</w:t>
            </w:r>
          </w:p>
          <w:p w:rsidR="00CA63EE" w:rsidRPr="00CA63EE" w:rsidRDefault="00CA63EE" w:rsidP="00CA63EE">
            <w:pPr>
              <w:jc w:val="both"/>
              <w:rPr>
                <w:rFonts w:ascii="Verdana" w:hAnsi="Verdana"/>
                <w:bCs/>
                <w:sz w:val="20"/>
              </w:rPr>
            </w:pPr>
            <w:r w:rsidRPr="00CA63EE">
              <w:rPr>
                <w:rFonts w:ascii="Verdana" w:hAnsi="Verdana"/>
                <w:bCs/>
                <w:sz w:val="20"/>
              </w:rPr>
              <w:t>Las Sociedades de Inversión que tengan por objeto la inversión de los recursos a que se refieren los artículos 74 bis, 74 ter y 74quinquies de la Ley, señalarán en el prospecto de información, los supuestos en los que dichos recursos podrán retirarse o traspasarse, así como los derechos y obligaciones de sus titulares.</w:t>
            </w:r>
          </w:p>
          <w:p w:rsidR="00CA63EE" w:rsidRPr="00CA63EE" w:rsidRDefault="00CA63EE" w:rsidP="00CA63EE">
            <w:pPr>
              <w:jc w:val="both"/>
              <w:rPr>
                <w:rFonts w:ascii="Verdana" w:hAnsi="Verdana"/>
                <w:bCs/>
                <w:sz w:val="20"/>
              </w:rPr>
            </w:pPr>
            <w:r w:rsidRPr="00CA63EE">
              <w:rPr>
                <w:rFonts w:ascii="Verdana" w:hAnsi="Verdana"/>
                <w:b/>
                <w:bCs/>
                <w:sz w:val="20"/>
              </w:rPr>
              <w:t>e) Mecánica de valuación.</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w:t>
            </w:r>
            <w:r w:rsidRPr="00CA63EE">
              <w:rPr>
                <w:rFonts w:ascii="Verdana" w:hAnsi="Verdana"/>
                <w:b/>
                <w:bCs/>
                <w:i/>
                <w:iCs/>
                <w:sz w:val="20"/>
              </w:rPr>
              <w:t>Los Activos Objeto de Inversión que conformen</w:t>
            </w:r>
            <w:r w:rsidRPr="00CA63EE">
              <w:rPr>
                <w:rFonts w:ascii="Verdana" w:hAnsi="Verdana"/>
                <w:bCs/>
                <w:i/>
                <w:iCs/>
                <w:sz w:val="20"/>
              </w:rPr>
              <w:t> </w:t>
            </w:r>
            <w:r w:rsidRPr="00CA63EE">
              <w:rPr>
                <w:rFonts w:ascii="Verdana" w:hAnsi="Verdana"/>
                <w:b/>
                <w:bCs/>
                <w:i/>
                <w:iCs/>
                <w:sz w:val="20"/>
                <w:u w:val="single"/>
              </w:rPr>
              <w:t xml:space="preserve">la cartera de valores de la Sociedad de Inversión, se deberán </w:t>
            </w:r>
            <w:proofErr w:type="spellStart"/>
            <w:r w:rsidRPr="00CA63EE">
              <w:rPr>
                <w:rFonts w:ascii="Verdana" w:hAnsi="Verdana"/>
                <w:b/>
                <w:bCs/>
                <w:i/>
                <w:iCs/>
                <w:sz w:val="20"/>
                <w:u w:val="single"/>
              </w:rPr>
              <w:t>valuardiariamente</w:t>
            </w:r>
            <w:proofErr w:type="spellEnd"/>
            <w:r w:rsidRPr="00CA63EE">
              <w:rPr>
                <w:rFonts w:ascii="Verdana" w:hAnsi="Verdana"/>
                <w:b/>
                <w:bCs/>
                <w:i/>
                <w:iCs/>
                <w:sz w:val="20"/>
                <w:u w:val="single"/>
              </w:rPr>
              <w:t> </w:t>
            </w:r>
            <w:r w:rsidRPr="00CA63EE">
              <w:rPr>
                <w:rFonts w:ascii="Verdana" w:hAnsi="Verdana"/>
                <w:bCs/>
                <w:i/>
                <w:iCs/>
                <w:sz w:val="20"/>
              </w:rPr>
              <w:t xml:space="preserve">por un Proveedor de Precios de conformidad con las Disposiciones de carácter general en materia financiera de </w:t>
            </w:r>
            <w:proofErr w:type="spellStart"/>
            <w:r w:rsidRPr="00CA63EE">
              <w:rPr>
                <w:rFonts w:ascii="Verdana" w:hAnsi="Verdana"/>
                <w:bCs/>
                <w:i/>
                <w:iCs/>
                <w:sz w:val="20"/>
              </w:rPr>
              <w:t>losSistemas</w:t>
            </w:r>
            <w:proofErr w:type="spellEnd"/>
            <w:r w:rsidRPr="00CA63EE">
              <w:rPr>
                <w:rFonts w:ascii="Verdana" w:hAnsi="Verdana"/>
                <w:bCs/>
                <w:i/>
                <w:iCs/>
                <w:sz w:val="20"/>
              </w:rPr>
              <w:t xml:space="preserve"> de Ahorro para el Retiro.</w:t>
            </w:r>
          </w:p>
          <w:p w:rsidR="00CA63EE" w:rsidRPr="00CA63EE" w:rsidRDefault="00CA63EE" w:rsidP="00CA63EE">
            <w:pPr>
              <w:jc w:val="both"/>
              <w:rPr>
                <w:rFonts w:ascii="Verdana" w:hAnsi="Verdana"/>
                <w:bCs/>
                <w:sz w:val="20"/>
              </w:rPr>
            </w:pPr>
            <w:r w:rsidRPr="00CA63EE">
              <w:rPr>
                <w:rFonts w:ascii="Verdana" w:hAnsi="Verdana"/>
                <w:bCs/>
                <w:i/>
                <w:iCs/>
                <w:sz w:val="20"/>
              </w:rPr>
              <w:t xml:space="preserve">El procedimiento de registro contable de la valuación, se sujetará a lo que establecen las Disposiciones de carácter general sobre </w:t>
            </w:r>
            <w:proofErr w:type="spellStart"/>
            <w:r w:rsidRPr="00CA63EE">
              <w:rPr>
                <w:rFonts w:ascii="Verdana" w:hAnsi="Verdana"/>
                <w:bCs/>
                <w:i/>
                <w:iCs/>
                <w:sz w:val="20"/>
              </w:rPr>
              <w:t>elregistro</w:t>
            </w:r>
            <w:proofErr w:type="spellEnd"/>
            <w:r w:rsidRPr="00CA63EE">
              <w:rPr>
                <w:rFonts w:ascii="Verdana" w:hAnsi="Verdana"/>
                <w:bCs/>
                <w:i/>
                <w:iCs/>
                <w:sz w:val="20"/>
              </w:rPr>
              <w:t xml:space="preserve"> de la contabilidad, elaboración y presentación de estados financieros a las que deberán sujetarse las </w:t>
            </w:r>
            <w:r w:rsidRPr="00CA63EE">
              <w:rPr>
                <w:rFonts w:ascii="Verdana" w:hAnsi="Verdana"/>
                <w:bCs/>
                <w:i/>
                <w:iCs/>
                <w:sz w:val="20"/>
              </w:rPr>
              <w:lastRenderedPageBreak/>
              <w:t xml:space="preserve">Sociedades de </w:t>
            </w:r>
            <w:proofErr w:type="spellStart"/>
            <w:r w:rsidRPr="00CA63EE">
              <w:rPr>
                <w:rFonts w:ascii="Verdana" w:hAnsi="Verdana"/>
                <w:bCs/>
                <w:i/>
                <w:iCs/>
                <w:sz w:val="20"/>
              </w:rPr>
              <w:t>Inversiónemitidas</w:t>
            </w:r>
            <w:proofErr w:type="spellEnd"/>
            <w:r w:rsidRPr="00CA63EE">
              <w:rPr>
                <w:rFonts w:ascii="Verdana" w:hAnsi="Verdana"/>
                <w:bCs/>
                <w:i/>
                <w:iCs/>
                <w:sz w:val="20"/>
              </w:rPr>
              <w:t xml:space="preserve"> por la Comisión, las cuales señalan que los registros contables serán analíticos y permitirán la identificación y secuencia de las operaciones, quedando registrados los movimientos contables el mismo día en que se celebre la operación."</w:t>
            </w:r>
          </w:p>
          <w:p w:rsidR="00CA63EE" w:rsidRPr="00CA63EE" w:rsidRDefault="00CA63EE" w:rsidP="00CA63EE">
            <w:pPr>
              <w:jc w:val="both"/>
              <w:rPr>
                <w:rFonts w:ascii="Verdana" w:hAnsi="Verdana"/>
                <w:bCs/>
                <w:sz w:val="20"/>
              </w:rPr>
            </w:pPr>
            <w:r w:rsidRPr="00CA63EE">
              <w:rPr>
                <w:rFonts w:ascii="Verdana" w:hAnsi="Verdana"/>
                <w:b/>
                <w:bCs/>
                <w:sz w:val="20"/>
              </w:rPr>
              <w:t>f) Régimen de recompra.</w:t>
            </w:r>
          </w:p>
          <w:p w:rsidR="00CA63EE" w:rsidRPr="00CA63EE" w:rsidRDefault="00CA63EE" w:rsidP="00CA63EE">
            <w:pPr>
              <w:jc w:val="both"/>
              <w:rPr>
                <w:rFonts w:ascii="Verdana" w:hAnsi="Verdana"/>
                <w:bCs/>
                <w:sz w:val="20"/>
              </w:rPr>
            </w:pPr>
            <w:r w:rsidRPr="00CA63EE">
              <w:rPr>
                <w:rFonts w:ascii="Verdana" w:hAnsi="Verdana"/>
                <w:bCs/>
                <w:sz w:val="20"/>
              </w:rPr>
              <w:t xml:space="preserve">Se indicarán los supuestos en los que el trabajador tendrá derecho a que la Sociedad de Inversión, a través de la Administradora que la </w:t>
            </w:r>
            <w:proofErr w:type="spellStart"/>
            <w:r w:rsidRPr="00CA63EE">
              <w:rPr>
                <w:rFonts w:ascii="Verdana" w:hAnsi="Verdana"/>
                <w:bCs/>
                <w:sz w:val="20"/>
              </w:rPr>
              <w:t>opera</w:t>
            </w:r>
            <w:proofErr w:type="spellEnd"/>
            <w:r w:rsidRPr="00CA63EE">
              <w:rPr>
                <w:rFonts w:ascii="Verdana" w:hAnsi="Verdana"/>
                <w:bCs/>
                <w:sz w:val="20"/>
              </w:rPr>
              <w:t>, le recompre hasta el 100% de su tenencia accionaria, conforme a lo previsto en las disposiciones legales aplicables a la Sociedad de Inversión de que se trate.</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910"/>
      </w:tblGrid>
      <w:tr w:rsidR="00CA63EE" w:rsidRPr="00CA63EE" w:rsidTr="00CA63EE">
        <w:trPr>
          <w:trHeight w:val="185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tbl>
            <w:tblPr>
              <w:tblW w:w="0" w:type="auto"/>
              <w:tblInd w:w="152" w:type="dxa"/>
              <w:tblCellMar>
                <w:top w:w="15" w:type="dxa"/>
                <w:left w:w="15" w:type="dxa"/>
                <w:bottom w:w="15" w:type="dxa"/>
                <w:right w:w="15" w:type="dxa"/>
              </w:tblCellMar>
              <w:tblLook w:val="04A0" w:firstRow="1" w:lastRow="0" w:firstColumn="1" w:lastColumn="0" w:noHBand="0" w:noVBand="1"/>
            </w:tblPr>
            <w:tblGrid>
              <w:gridCol w:w="1039"/>
              <w:gridCol w:w="7567"/>
            </w:tblGrid>
            <w:tr w:rsidR="00CA63EE" w:rsidRPr="00CA63EE">
              <w:trPr>
                <w:trHeight w:val="397"/>
              </w:trPr>
              <w:tc>
                <w:tcPr>
                  <w:tcW w:w="321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VII.- Régimen Fiscal</w:t>
                  </w:r>
                </w:p>
              </w:tc>
              <w:tc>
                <w:tcPr>
                  <w:tcW w:w="531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La Administradora hará del conocimiento del trabajador, que la Sociedad de Inversión en la cual se invierten sus recursos, debe cumplir con las Disposiciones fiscales que le son aplicables, para tal efecto se incluirán de manera concisa las disposiciones fiscales a las que se estará sujeto.</w:t>
            </w:r>
          </w:p>
        </w:tc>
      </w:tr>
    </w:tbl>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910"/>
      </w:tblGrid>
      <w:tr w:rsidR="00CA63EE" w:rsidRPr="00CA63EE" w:rsidTr="00CA63EE">
        <w:trPr>
          <w:trHeight w:val="6585"/>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1663"/>
              <w:gridCol w:w="6943"/>
            </w:tblGrid>
            <w:tr w:rsidR="00CA63EE" w:rsidRPr="00CA63EE">
              <w:trPr>
                <w:trHeight w:val="635"/>
              </w:trPr>
              <w:tc>
                <w:tcPr>
                  <w:tcW w:w="33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
                      <w:bCs/>
                      <w:sz w:val="20"/>
                    </w:rPr>
                    <w:t xml:space="preserve">VIII.- Advertencias generales a </w:t>
                  </w:r>
                  <w:proofErr w:type="spellStart"/>
                  <w:r w:rsidRPr="00CA63EE">
                    <w:rPr>
                      <w:rFonts w:ascii="Verdana" w:hAnsi="Verdana"/>
                      <w:b/>
                      <w:bCs/>
                      <w:sz w:val="20"/>
                    </w:rPr>
                    <w:t>lostrabajadores</w:t>
                  </w:r>
                  <w:proofErr w:type="spellEnd"/>
                </w:p>
              </w:tc>
              <w:tc>
                <w:tcPr>
                  <w:tcW w:w="5130" w:type="dxa"/>
                  <w:tcBorders>
                    <w:left w:val="single" w:sz="6" w:space="0" w:color="000000"/>
                  </w:tcBorders>
                  <w:tcMar>
                    <w:top w:w="15" w:type="dxa"/>
                    <w:left w:w="70" w:type="dxa"/>
                    <w:bottom w:w="15" w:type="dxa"/>
                    <w:right w:w="70" w:type="dxa"/>
                  </w:tcMar>
                  <w:hideMark/>
                </w:tcPr>
                <w:p w:rsidR="00CA63EE" w:rsidRPr="00CA63EE" w:rsidRDefault="00CA63EE" w:rsidP="00CA63EE">
                  <w:pPr>
                    <w:jc w:val="both"/>
                    <w:rPr>
                      <w:rFonts w:ascii="Verdana" w:hAnsi="Verdana"/>
                      <w:bCs/>
                      <w:sz w:val="20"/>
                    </w:rPr>
                  </w:pPr>
                  <w:r w:rsidRPr="00CA63EE">
                    <w:rPr>
                      <w:rFonts w:ascii="Verdana" w:hAnsi="Verdana"/>
                      <w:bCs/>
                      <w:sz w:val="20"/>
                    </w:rPr>
                    <w:t>______________________________________________________________</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a) Riesgos de inversión</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 xml:space="preserve">La Sociedad de Inversión busca ofrecer a los trabajadores un adecuado rendimiento de conformidad con las condiciones de </w:t>
            </w:r>
            <w:proofErr w:type="spellStart"/>
            <w:r w:rsidRPr="00CA63EE">
              <w:rPr>
                <w:rFonts w:ascii="Verdana" w:hAnsi="Verdana"/>
                <w:bCs/>
                <w:i/>
                <w:iCs/>
                <w:sz w:val="20"/>
              </w:rPr>
              <w:t>mercado</w:t>
            </w:r>
            <w:proofErr w:type="gramStart"/>
            <w:r w:rsidRPr="00CA63EE">
              <w:rPr>
                <w:rFonts w:ascii="Verdana" w:hAnsi="Verdana"/>
                <w:bCs/>
                <w:i/>
                <w:iCs/>
                <w:sz w:val="20"/>
              </w:rPr>
              <w:t>,sujetándose</w:t>
            </w:r>
            <w:proofErr w:type="spellEnd"/>
            <w:proofErr w:type="gramEnd"/>
            <w:r w:rsidRPr="00CA63EE">
              <w:rPr>
                <w:rFonts w:ascii="Verdana" w:hAnsi="Verdana"/>
                <w:bCs/>
                <w:i/>
                <w:iCs/>
                <w:sz w:val="20"/>
              </w:rPr>
              <w:t xml:space="preserve"> estrictamente al Régimen de Inversión Autorizado, sin que ello implique un rendimiento garantizado.</w:t>
            </w:r>
          </w:p>
          <w:p w:rsidR="00CA63EE" w:rsidRPr="00CA63EE" w:rsidRDefault="00CA63EE" w:rsidP="00CA63EE">
            <w:pPr>
              <w:jc w:val="both"/>
              <w:rPr>
                <w:rFonts w:ascii="Verdana" w:hAnsi="Verdana"/>
                <w:bCs/>
                <w:sz w:val="20"/>
              </w:rPr>
            </w:pPr>
            <w:r w:rsidRPr="00CA63EE">
              <w:rPr>
                <w:rFonts w:ascii="Verdana" w:hAnsi="Verdana"/>
                <w:bCs/>
                <w:i/>
                <w:iCs/>
                <w:sz w:val="20"/>
              </w:rPr>
              <w:t xml:space="preserve">Las calificaciones crediticias otorgadas a los Instrumentos de Deuda y Valores Extranjeros de Deuda, por agencias especializadas, </w:t>
            </w:r>
            <w:proofErr w:type="spellStart"/>
            <w:r w:rsidRPr="00CA63EE">
              <w:rPr>
                <w:rFonts w:ascii="Verdana" w:hAnsi="Verdana"/>
                <w:bCs/>
                <w:i/>
                <w:iCs/>
                <w:sz w:val="20"/>
              </w:rPr>
              <w:t>norepresentan</w:t>
            </w:r>
            <w:proofErr w:type="spellEnd"/>
            <w:r w:rsidRPr="00CA63EE">
              <w:rPr>
                <w:rFonts w:ascii="Verdana" w:hAnsi="Verdana"/>
                <w:bCs/>
                <w:i/>
                <w:iCs/>
                <w:sz w:val="20"/>
              </w:rPr>
              <w:t xml:space="preserve"> una garantía de repago de las inversiones iniciales, sino únicamente una opinión sobre las posibilidades de cumplimiento del emisor de dichos valores respecto a los términos previstos en los prospectos correspondientes.</w:t>
            </w:r>
          </w:p>
          <w:p w:rsidR="00CA63EE" w:rsidRPr="00CA63EE" w:rsidRDefault="00CA63EE" w:rsidP="00CA63EE">
            <w:pPr>
              <w:jc w:val="both"/>
              <w:rPr>
                <w:rFonts w:ascii="Verdana" w:hAnsi="Verdana"/>
                <w:bCs/>
                <w:sz w:val="20"/>
              </w:rPr>
            </w:pPr>
            <w:r w:rsidRPr="00CA63EE">
              <w:rPr>
                <w:rFonts w:ascii="Verdana" w:hAnsi="Verdana"/>
                <w:bCs/>
                <w:i/>
                <w:iCs/>
                <w:sz w:val="20"/>
              </w:rPr>
              <w:t>La inscripción en el Registro Nacional de Valores que sea aplicable a ciertos Instrumentos, no implica la certificación sobre la garantía de rendimientos del Instrumento o la solvencia de cada emisor.</w:t>
            </w:r>
          </w:p>
          <w:p w:rsidR="00CA63EE" w:rsidRPr="00CA63EE" w:rsidRDefault="00CA63EE" w:rsidP="00CA63EE">
            <w:pPr>
              <w:jc w:val="both"/>
              <w:rPr>
                <w:rFonts w:ascii="Verdana" w:hAnsi="Verdana"/>
                <w:bCs/>
                <w:sz w:val="20"/>
              </w:rPr>
            </w:pPr>
            <w:r w:rsidRPr="00CA63EE">
              <w:rPr>
                <w:rFonts w:ascii="Verdana" w:hAnsi="Verdana"/>
                <w:b/>
                <w:bCs/>
                <w:sz w:val="20"/>
              </w:rPr>
              <w:t>b) Minusvalías ocasionadas por responsabilidad de la Administradora y Sociedad de Inversión.</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"Con el objeto de que queden protegidos los recursos de los trabajadores, cuando se presenten minusvalías derivadas del incumplimiento al Régimen de Inversión Autorizado, la Comisión ha previsto en las Disposiciones de carácter general en materia financiera de los sistemas de ahorro para el retiro, lo relativo a la recomposición de cartera de las Sociedades de Inversión, en las cuales se describen los casos en que se obliga a la Administradora que opera a la Sociedad de Inversión a cubrir dichas minusvalías con cargo a la reserva especial de la Administradora, y en caso de que ésta sea insuficiente, las cubrirá con cargo a su capital social."</w:t>
            </w:r>
          </w:p>
          <w:p w:rsidR="00CA63EE" w:rsidRPr="00CA63EE" w:rsidRDefault="00CA63EE" w:rsidP="00CA63EE">
            <w:pPr>
              <w:jc w:val="both"/>
              <w:rPr>
                <w:rFonts w:ascii="Verdana" w:hAnsi="Verdana"/>
                <w:bCs/>
                <w:sz w:val="20"/>
              </w:rPr>
            </w:pPr>
            <w:r w:rsidRPr="00CA63EE">
              <w:rPr>
                <w:rFonts w:ascii="Verdana" w:hAnsi="Verdana"/>
                <w:b/>
                <w:bCs/>
                <w:sz w:val="20"/>
              </w:rPr>
              <w:t>c) Inspección y vigilancia de la Comisión</w:t>
            </w:r>
          </w:p>
        </w:tc>
      </w:tr>
    </w:tbl>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CA63EE" w:rsidRPr="00CA63EE" w:rsidTr="00CA63EE">
        <w:tc>
          <w:tcPr>
            <w:tcW w:w="0" w:type="auto"/>
            <w:shd w:val="clear" w:color="auto" w:fill="FFFFFF"/>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5852"/>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"La CONSAR es la autoridad competente para regular, inspeccionar y vigilar el funcionamiento de la Sociedad de Inversión, así como de la Administradora que la opera."</w:t>
            </w:r>
          </w:p>
          <w:p w:rsidR="00CA63EE" w:rsidRPr="00CA63EE" w:rsidRDefault="00CA63EE" w:rsidP="00CA63EE">
            <w:pPr>
              <w:jc w:val="both"/>
              <w:rPr>
                <w:rFonts w:ascii="Verdana" w:hAnsi="Verdana"/>
                <w:bCs/>
                <w:sz w:val="20"/>
              </w:rPr>
            </w:pPr>
            <w:r w:rsidRPr="00CA63EE">
              <w:rPr>
                <w:rFonts w:ascii="Verdana" w:hAnsi="Verdana"/>
                <w:b/>
                <w:bCs/>
                <w:sz w:val="20"/>
              </w:rPr>
              <w:t>d) Aceptación del prospecto de información por el trabajador</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 xml:space="preserve">"A efecto de dar cumplimiento a lo dispuesto por el artículo 47 bis, antepenúltimo párrafo, de la Ley, la Administradora que opera </w:t>
            </w:r>
            <w:proofErr w:type="spellStart"/>
            <w:r w:rsidRPr="00CA63EE">
              <w:rPr>
                <w:rFonts w:ascii="Verdana" w:hAnsi="Verdana"/>
                <w:bCs/>
                <w:i/>
                <w:iCs/>
                <w:sz w:val="20"/>
              </w:rPr>
              <w:t>laSociedad</w:t>
            </w:r>
            <w:proofErr w:type="spellEnd"/>
            <w:r w:rsidRPr="00CA63EE">
              <w:rPr>
                <w:rFonts w:ascii="Verdana" w:hAnsi="Verdana"/>
                <w:bCs/>
                <w:i/>
                <w:iCs/>
                <w:sz w:val="20"/>
              </w:rPr>
              <w:t xml:space="preserve"> de Inversión tendrá en sus oficinas y sucursales o bien a través de la página de Internet de la Administradora, el </w:t>
            </w:r>
            <w:proofErr w:type="spellStart"/>
            <w:r w:rsidRPr="00CA63EE">
              <w:rPr>
                <w:rFonts w:ascii="Verdana" w:hAnsi="Verdana"/>
                <w:bCs/>
                <w:i/>
                <w:iCs/>
                <w:sz w:val="20"/>
              </w:rPr>
              <w:t>presenteprospecto</w:t>
            </w:r>
            <w:proofErr w:type="spellEnd"/>
            <w:r w:rsidRPr="00CA63EE">
              <w:rPr>
                <w:rFonts w:ascii="Verdana" w:hAnsi="Verdana"/>
                <w:bCs/>
                <w:i/>
                <w:iCs/>
                <w:sz w:val="20"/>
              </w:rPr>
              <w:t xml:space="preserve"> de información, a disposición de los trabajadores registrados."</w:t>
            </w:r>
          </w:p>
          <w:p w:rsidR="00CA63EE" w:rsidRPr="00CA63EE" w:rsidRDefault="00CA63EE" w:rsidP="00CA63EE">
            <w:pPr>
              <w:jc w:val="both"/>
              <w:rPr>
                <w:rFonts w:ascii="Verdana" w:hAnsi="Verdana"/>
                <w:bCs/>
                <w:sz w:val="20"/>
              </w:rPr>
            </w:pPr>
            <w:r w:rsidRPr="00CA63EE">
              <w:rPr>
                <w:rFonts w:ascii="Verdana" w:hAnsi="Verdana"/>
                <w:b/>
                <w:bCs/>
                <w:sz w:val="20"/>
              </w:rPr>
              <w:t>e) Custodia de los títulos</w:t>
            </w:r>
          </w:p>
          <w:p w:rsidR="00CA63EE" w:rsidRPr="00CA63EE" w:rsidRDefault="00CA63EE" w:rsidP="00CA63EE">
            <w:pPr>
              <w:jc w:val="both"/>
              <w:rPr>
                <w:rFonts w:ascii="Verdana" w:hAnsi="Verdana"/>
                <w:bCs/>
                <w:sz w:val="20"/>
              </w:rPr>
            </w:pPr>
            <w:r w:rsidRPr="00CA63EE">
              <w:rPr>
                <w:rFonts w:ascii="Verdana" w:hAnsi="Verdana"/>
                <w:bCs/>
                <w:sz w:val="20"/>
              </w:rPr>
              <w:t>Se indicarán los Intermediarios Financieros a quienes la Administradora haya contratado para depositar los Activos Objeto de Inversión, así como las acciones de la Sociedad de Inversión para su guarda.</w:t>
            </w:r>
          </w:p>
          <w:p w:rsidR="00CA63EE" w:rsidRPr="00CA63EE" w:rsidRDefault="00CA63EE" w:rsidP="00CA63EE">
            <w:pPr>
              <w:jc w:val="both"/>
              <w:rPr>
                <w:rFonts w:ascii="Verdana" w:hAnsi="Verdana"/>
                <w:bCs/>
                <w:sz w:val="20"/>
              </w:rPr>
            </w:pPr>
            <w:r w:rsidRPr="00CA63EE">
              <w:rPr>
                <w:rFonts w:ascii="Verdana" w:hAnsi="Verdana"/>
                <w:b/>
                <w:bCs/>
                <w:sz w:val="20"/>
              </w:rPr>
              <w:t>f) Calificación de la Sociedad de Inversión</w:t>
            </w:r>
          </w:p>
          <w:p w:rsidR="00CA63EE" w:rsidRPr="00CA63EE" w:rsidRDefault="00CA63EE" w:rsidP="00CA63EE">
            <w:pPr>
              <w:jc w:val="both"/>
              <w:rPr>
                <w:rFonts w:ascii="Verdana" w:hAnsi="Verdana"/>
                <w:bCs/>
                <w:sz w:val="20"/>
              </w:rPr>
            </w:pPr>
            <w:r w:rsidRPr="00CA63EE">
              <w:rPr>
                <w:rFonts w:ascii="Verdana" w:hAnsi="Verdana"/>
                <w:bCs/>
                <w:sz w:val="20"/>
              </w:rPr>
              <w:t>La Administradora podrá divulgar en su página de Internet y en el pizarrón informativo de sus oficinas y sucursales la calificación crediticia vigente otorgada a la Sociedad de Inversión, por una institución calificadora de valores, así como su significado. En su caso, esta calificación crediticia deberá modificarse con un máximo de 10 días hábiles posteriores a la fecha en que sufra alguna modificación.</w:t>
            </w:r>
          </w:p>
          <w:p w:rsidR="00CA63EE" w:rsidRPr="00CA63EE" w:rsidRDefault="00CA63EE" w:rsidP="00CA63EE">
            <w:pPr>
              <w:jc w:val="both"/>
              <w:rPr>
                <w:rFonts w:ascii="Verdana" w:hAnsi="Verdana"/>
                <w:bCs/>
                <w:sz w:val="20"/>
              </w:rPr>
            </w:pPr>
            <w:r w:rsidRPr="00CA63EE">
              <w:rPr>
                <w:rFonts w:ascii="Verdana" w:hAnsi="Verdana"/>
                <w:b/>
                <w:bCs/>
                <w:sz w:val="20"/>
              </w:rPr>
              <w:t>g) Consultas, quejas y reclamaciones</w:t>
            </w:r>
          </w:p>
          <w:p w:rsidR="00CA63EE" w:rsidRPr="00CA63EE" w:rsidRDefault="00CA63EE" w:rsidP="00CA63EE">
            <w:pPr>
              <w:jc w:val="both"/>
              <w:rPr>
                <w:rFonts w:ascii="Verdana" w:hAnsi="Verdana"/>
                <w:bCs/>
                <w:sz w:val="20"/>
              </w:rPr>
            </w:pPr>
            <w:r w:rsidRPr="00CA63EE">
              <w:rPr>
                <w:rFonts w:ascii="Verdana" w:hAnsi="Verdana"/>
                <w:bCs/>
                <w:sz w:val="20"/>
              </w:rPr>
              <w:t>Se deberá señalar lo siguiente:</w:t>
            </w:r>
          </w:p>
          <w:p w:rsidR="00CA63EE" w:rsidRPr="00CA63EE" w:rsidRDefault="00CA63EE" w:rsidP="00CA63EE">
            <w:pPr>
              <w:jc w:val="both"/>
              <w:rPr>
                <w:rFonts w:ascii="Verdana" w:hAnsi="Verdana"/>
                <w:bCs/>
                <w:sz w:val="20"/>
              </w:rPr>
            </w:pPr>
            <w:r w:rsidRPr="00CA63EE">
              <w:rPr>
                <w:rFonts w:ascii="Verdana" w:hAnsi="Verdana"/>
                <w:bCs/>
                <w:i/>
                <w:iCs/>
                <w:sz w:val="20"/>
              </w:rPr>
              <w:t>"La Comisión Nacional para la Protección y Defensa de los Usuarios de Servicios Financieros (CONDUSEF) tiene habilitado un servicio de atención al público vía telefónica, sin cargo alguno desde cualquier lugar del país, para recibir consultas, quejas y reclamaciones sobre irregularidades en la operación y prestación de los servicios de las Administradoras, en el teléfono (incluir teléfono de la CONDUSEF)."</w:t>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
          <w:bCs/>
          <w:sz w:val="20"/>
        </w:rPr>
      </w:pPr>
      <w:r w:rsidRPr="00CA63EE">
        <w:rPr>
          <w:rFonts w:ascii="Verdana" w:hAnsi="Verdana"/>
          <w:b/>
          <w:bCs/>
          <w:sz w:val="20"/>
        </w:rPr>
        <w:t>ANEXO Q</w:t>
      </w:r>
    </w:p>
    <w:p w:rsidR="00CA63EE" w:rsidRPr="00CA63EE" w:rsidRDefault="00CA63EE" w:rsidP="00CA63EE">
      <w:pPr>
        <w:jc w:val="both"/>
        <w:rPr>
          <w:rFonts w:ascii="Verdana" w:hAnsi="Verdana"/>
          <w:bCs/>
          <w:sz w:val="20"/>
        </w:rPr>
      </w:pPr>
      <w:r w:rsidRPr="00CA63EE">
        <w:rPr>
          <w:rFonts w:ascii="Verdana" w:hAnsi="Verdana"/>
          <w:b/>
          <w:bCs/>
          <w:sz w:val="20"/>
        </w:rPr>
        <w:t>Modelo de Folleto Explicativo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656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lastRenderedPageBreak/>
              <w:t>FOLLETO EXPLICATIVO Denominación Social (Administradora y SIEFORE)</w:t>
            </w:r>
          </w:p>
          <w:p w:rsidR="00CA63EE" w:rsidRPr="00CA63EE" w:rsidRDefault="00CA63EE" w:rsidP="00CA63EE">
            <w:pPr>
              <w:jc w:val="both"/>
              <w:rPr>
                <w:rFonts w:ascii="Verdana" w:hAnsi="Verdana"/>
                <w:bCs/>
                <w:sz w:val="20"/>
              </w:rPr>
            </w:pPr>
            <w:r w:rsidRPr="00CA63EE">
              <w:rPr>
                <w:rFonts w:ascii="Verdana" w:hAnsi="Verdana"/>
                <w:b/>
                <w:bCs/>
                <w:sz w:val="20"/>
              </w:rPr>
              <w:t>Tipo de Sociedad de Inversión</w:t>
            </w:r>
          </w:p>
          <w:p w:rsidR="00CA63EE" w:rsidRPr="00CA63EE" w:rsidRDefault="00CA63EE" w:rsidP="00CA63EE">
            <w:pPr>
              <w:jc w:val="both"/>
              <w:rPr>
                <w:rFonts w:ascii="Verdana" w:hAnsi="Verdana"/>
                <w:bCs/>
                <w:sz w:val="20"/>
              </w:rPr>
            </w:pPr>
            <w:r w:rsidRPr="00CA63EE">
              <w:rPr>
                <w:rFonts w:ascii="Verdana" w:hAnsi="Verdana"/>
                <w:b/>
                <w:bCs/>
                <w:sz w:val="20"/>
              </w:rPr>
              <w:t>I. ¿EN QUÉ SE INVERTIRÁN LOS RECURSOS DE SU CUENTA INDIVIDUAL?</w:t>
            </w:r>
          </w:p>
          <w:p w:rsidR="00CA63EE" w:rsidRPr="00CA63EE" w:rsidRDefault="00CA63EE" w:rsidP="00CA63EE">
            <w:pPr>
              <w:jc w:val="both"/>
              <w:rPr>
                <w:rFonts w:ascii="Verdana" w:hAnsi="Verdana"/>
                <w:bCs/>
                <w:sz w:val="20"/>
              </w:rPr>
            </w:pPr>
            <w:r w:rsidRPr="00CA63EE">
              <w:rPr>
                <w:rFonts w:ascii="Verdana" w:hAnsi="Verdana"/>
                <w:bCs/>
                <w:sz w:val="20"/>
              </w:rPr>
              <w:t>Incluir una breve explicación de los objetivos y la política de inversión (Máximo 200 palabras).</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132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tbl>
            <w:tblPr>
              <w:tblW w:w="0" w:type="auto"/>
              <w:tblInd w:w="8" w:type="dxa"/>
              <w:tblCellMar>
                <w:top w:w="15" w:type="dxa"/>
                <w:left w:w="15" w:type="dxa"/>
                <w:bottom w:w="15" w:type="dxa"/>
                <w:right w:w="15" w:type="dxa"/>
              </w:tblCellMar>
              <w:tblLook w:val="04A0" w:firstRow="1" w:lastRow="0" w:firstColumn="1" w:lastColumn="0" w:noHBand="0" w:noVBand="1"/>
            </w:tblPr>
            <w:tblGrid>
              <w:gridCol w:w="3070"/>
              <w:gridCol w:w="900"/>
            </w:tblGrid>
            <w:tr w:rsidR="00CA63EE" w:rsidRPr="00CA63EE">
              <w:trPr>
                <w:trHeight w:val="54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lastRenderedPageBreak/>
                    <w:t>B.  Valores Extranjeros de Renta Variable</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Instrumentos Estructurados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xml:space="preserve">A.     </w:t>
                  </w:r>
                  <w:proofErr w:type="spellStart"/>
                  <w:r w:rsidRPr="00CA63EE">
                    <w:rPr>
                      <w:rFonts w:ascii="Verdana" w:hAnsi="Verdana"/>
                      <w:b/>
                      <w:bCs/>
                      <w:sz w:val="20"/>
                    </w:rPr>
                    <w:t>CKD's</w:t>
                  </w:r>
                  <w:proofErr w:type="spellEnd"/>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CERPIS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Fibras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A.     Genéricas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B.     Fibra-E</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Vehículos de inversión inmobiliaria</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Divisas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Mercancías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Tipo de operaciones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Reporto</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Préstamo de valores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Derivados</w:t>
                  </w: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Mandatos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proofErr w:type="spellStart"/>
                  <w:r w:rsidRPr="00CA63EE">
                    <w:rPr>
                      <w:rFonts w:ascii="Verdana" w:hAnsi="Verdana"/>
                      <w:b/>
                      <w:bCs/>
                      <w:sz w:val="20"/>
                    </w:rPr>
                    <w:t>ETFs</w:t>
                  </w:r>
                  <w:proofErr w:type="spellEnd"/>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r w:rsidR="00CA63EE" w:rsidRPr="00CA63EE">
              <w:trPr>
                <w:trHeight w:val="293"/>
              </w:trPr>
              <w:tc>
                <w:tcPr>
                  <w:tcW w:w="30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
                      <w:bCs/>
                      <w:sz w:val="20"/>
                    </w:rPr>
                    <w:t>Fondos Mutuos</w:t>
                  </w:r>
                </w:p>
              </w:tc>
              <w:tc>
                <w:tcPr>
                  <w:tcW w:w="9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vanish/>
                <w:sz w:val="20"/>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CA63EE" w:rsidRPr="00CA63EE">
              <w:tc>
                <w:tcPr>
                  <w:tcW w:w="0" w:type="auto"/>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2743"/>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176"/>
            </w:tblGrid>
            <w:tr w:rsidR="00CA63EE" w:rsidRPr="00CA63EE">
              <w:tc>
                <w:tcPr>
                  <w:tcW w:w="4176" w:type="dxa"/>
                  <w:tcMar>
                    <w:top w:w="0" w:type="dxa"/>
                    <w:left w:w="108" w:type="dxa"/>
                    <w:bottom w:w="0" w:type="dxa"/>
                    <w:right w:w="108" w:type="dxa"/>
                  </w:tcMar>
                  <w:hideMark/>
                </w:tcPr>
                <w:p w:rsidR="00CA63EE" w:rsidRPr="00CA63EE" w:rsidRDefault="00CA63EE" w:rsidP="00CA63EE">
                  <w:pPr>
                    <w:jc w:val="both"/>
                    <w:divId w:val="2065788637"/>
                    <w:rPr>
                      <w:rFonts w:ascii="Verdana" w:hAnsi="Verdana"/>
                      <w:bCs/>
                      <w:sz w:val="20"/>
                    </w:rPr>
                  </w:pPr>
                  <w:r w:rsidRPr="00CA63EE">
                    <w:rPr>
                      <w:rFonts w:ascii="Verdana" w:hAnsi="Verdana"/>
                      <w:b/>
                      <w:bCs/>
                      <w:sz w:val="20"/>
                    </w:rPr>
                    <w:lastRenderedPageBreak/>
                    <w:drawing>
                      <wp:inline distT="0" distB="0" distL="0" distR="0">
                        <wp:extent cx="2047875" cy="1457325"/>
                        <wp:effectExtent l="0" t="0" r="9525" b="9525"/>
                        <wp:docPr id="3" name="Imagen 3" descr="http://www.dof.gob.mx/imagenes_diarios/2018/11/16/MAT/shcp2a11_Cimg_134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8/11/16/MAT/shcp2a11_Cimg_134227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c>
            </w:tr>
          </w:tbl>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98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4150"/>
              <w:gridCol w:w="287"/>
              <w:gridCol w:w="4131"/>
            </w:tblGrid>
            <w:tr w:rsidR="00CA63EE" w:rsidRPr="00CA63EE">
              <w:tc>
                <w:tcPr>
                  <w:tcW w:w="4176"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
                      <w:bCs/>
                      <w:sz w:val="20"/>
                    </w:rPr>
                    <w:t>II. ¿QUÉ COMISIONES SE COBRARÁN A SU CUENTA?</w:t>
                  </w:r>
                </w:p>
                <w:p w:rsidR="00CA63EE" w:rsidRPr="00CA63EE" w:rsidRDefault="00CA63EE" w:rsidP="00CA63EE">
                  <w:pPr>
                    <w:jc w:val="both"/>
                    <w:rPr>
                      <w:rFonts w:ascii="Verdana" w:hAnsi="Verdana"/>
                      <w:bCs/>
                      <w:sz w:val="20"/>
                    </w:rPr>
                  </w:pPr>
                  <w:r w:rsidRPr="00CA63EE">
                    <w:rPr>
                      <w:rFonts w:ascii="Verdana" w:hAnsi="Verdana"/>
                      <w:bCs/>
                      <w:sz w:val="20"/>
                    </w:rPr>
                    <w:t xml:space="preserve">Se deberá incluir un cuadro con el régimen de </w:t>
                  </w:r>
                  <w:proofErr w:type="spellStart"/>
                  <w:r w:rsidRPr="00CA63EE">
                    <w:rPr>
                      <w:rFonts w:ascii="Verdana" w:hAnsi="Verdana"/>
                      <w:bCs/>
                      <w:sz w:val="20"/>
                    </w:rPr>
                    <w:t>comisionesvigente</w:t>
                  </w:r>
                  <w:proofErr w:type="spellEnd"/>
                  <w:r w:rsidRPr="00CA63EE">
                    <w:rPr>
                      <w:rFonts w:ascii="Verdana" w:hAnsi="Verdana"/>
                      <w:bCs/>
                      <w:sz w:val="20"/>
                    </w:rPr>
                    <w:t xml:space="preserve">, aplicable a la Sociedad de Inversión, autorizado a </w:t>
                  </w:r>
                  <w:proofErr w:type="spellStart"/>
                  <w:r w:rsidRPr="00CA63EE">
                    <w:rPr>
                      <w:rFonts w:ascii="Verdana" w:hAnsi="Verdana"/>
                      <w:bCs/>
                      <w:sz w:val="20"/>
                    </w:rPr>
                    <w:t>laAdministradora</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i/>
                      <w:iCs/>
                      <w:sz w:val="20"/>
                    </w:rPr>
                    <w:t>A manera de ejemplo se muestra el siguiente cuadro:</w:t>
                  </w:r>
                </w:p>
                <w:tbl>
                  <w:tblPr>
                    <w:tblW w:w="0" w:type="auto"/>
                    <w:tblInd w:w="1368" w:type="dxa"/>
                    <w:tblCellMar>
                      <w:top w:w="15" w:type="dxa"/>
                      <w:left w:w="15" w:type="dxa"/>
                      <w:bottom w:w="15" w:type="dxa"/>
                      <w:right w:w="15" w:type="dxa"/>
                    </w:tblCellMar>
                    <w:tblLook w:val="04A0" w:firstRow="1" w:lastRow="0" w:firstColumn="1" w:lastColumn="0" w:noHBand="0" w:noVBand="1"/>
                  </w:tblPr>
                  <w:tblGrid>
                    <w:gridCol w:w="1421"/>
                  </w:tblGrid>
                  <w:tr w:rsidR="00CA63EE" w:rsidRPr="00CA63EE">
                    <w:trPr>
                      <w:trHeight w:val="676"/>
                    </w:trPr>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
                            <w:bCs/>
                            <w:sz w:val="20"/>
                          </w:rPr>
                          <w:t>COMISIÓN</w:t>
                        </w:r>
                        <w:r w:rsidRPr="00CA63EE">
                          <w:rPr>
                            <w:rFonts w:ascii="Verdana" w:hAnsi="Verdana"/>
                            <w:bCs/>
                            <w:sz w:val="20"/>
                          </w:rPr>
                          <w:br/>
                        </w:r>
                        <w:r w:rsidRPr="00CA63EE">
                          <w:rPr>
                            <w:rFonts w:ascii="Verdana" w:hAnsi="Verdana"/>
                            <w:b/>
                            <w:bCs/>
                            <w:sz w:val="20"/>
                          </w:rPr>
                          <w:t>(%)</w:t>
                        </w:r>
                      </w:p>
                    </w:tc>
                  </w:tr>
                  <w:tr w:rsidR="00CA63EE" w:rsidRPr="00CA63EE">
                    <w:trPr>
                      <w:trHeight w:val="381"/>
                    </w:trPr>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Cs/>
                      <w:sz w:val="20"/>
                    </w:rPr>
                    <w:t>Deberá añadirse la leyenda: "A menor comisión, mayor ahorro."</w:t>
                  </w:r>
                </w:p>
                <w:p w:rsidR="00CA63EE" w:rsidRPr="00CA63EE" w:rsidRDefault="00CA63EE" w:rsidP="00CA63EE">
                  <w:pPr>
                    <w:jc w:val="both"/>
                    <w:rPr>
                      <w:rFonts w:ascii="Verdana" w:hAnsi="Verdana"/>
                      <w:bCs/>
                      <w:sz w:val="20"/>
                    </w:rPr>
                  </w:pPr>
                  <w:r w:rsidRPr="00CA63EE">
                    <w:rPr>
                      <w:rFonts w:ascii="Verdana" w:hAnsi="Verdana"/>
                      <w:b/>
                      <w:bCs/>
                      <w:i/>
                      <w:iCs/>
                      <w:sz w:val="20"/>
                    </w:rPr>
                    <w:t>IV. ¿CÓMO PODRÍA INCREMENTARSE SU AHORRO?</w:t>
                  </w:r>
                </w:p>
                <w:p w:rsidR="00CA63EE" w:rsidRPr="00CA63EE" w:rsidRDefault="00CA63EE" w:rsidP="00CA63EE">
                  <w:pPr>
                    <w:jc w:val="both"/>
                    <w:rPr>
                      <w:rFonts w:ascii="Verdana" w:hAnsi="Verdana"/>
                      <w:bCs/>
                      <w:sz w:val="20"/>
                    </w:rPr>
                  </w:pPr>
                  <w:r w:rsidRPr="00CA63EE">
                    <w:rPr>
                      <w:rFonts w:ascii="Verdana" w:hAnsi="Verdana"/>
                      <w:b/>
                      <w:bCs/>
                      <w:sz w:val="20"/>
                    </w:rPr>
                    <w:t>a)</w:t>
                  </w:r>
                  <w:r w:rsidRPr="00CA63EE">
                    <w:rPr>
                      <w:rFonts w:ascii="Verdana" w:hAnsi="Verdana"/>
                      <w:bCs/>
                      <w:sz w:val="20"/>
                    </w:rPr>
                    <w:t xml:space="preserve">   Se deberá incluir, y actualizar trimestralmente al cierre de marzo, junio, septiembre y diciembre, un cuadro </w:t>
                  </w:r>
                  <w:proofErr w:type="spellStart"/>
                  <w:r w:rsidRPr="00CA63EE">
                    <w:rPr>
                      <w:rFonts w:ascii="Verdana" w:hAnsi="Verdana"/>
                      <w:bCs/>
                      <w:sz w:val="20"/>
                    </w:rPr>
                    <w:t>quecontenga</w:t>
                  </w:r>
                  <w:proofErr w:type="spellEnd"/>
                  <w:r w:rsidRPr="00CA63EE">
                    <w:rPr>
                      <w:rFonts w:ascii="Verdana" w:hAnsi="Verdana"/>
                      <w:bCs/>
                      <w:sz w:val="20"/>
                    </w:rPr>
                    <w:t xml:space="preserve"> el Indicador de Rendimiento Neto, para </w:t>
                  </w:r>
                  <w:proofErr w:type="spellStart"/>
                  <w:r w:rsidRPr="00CA63EE">
                    <w:rPr>
                      <w:rFonts w:ascii="Verdana" w:hAnsi="Verdana"/>
                      <w:bCs/>
                      <w:sz w:val="20"/>
                    </w:rPr>
                    <w:t>laSociedad</w:t>
                  </w:r>
                  <w:proofErr w:type="spellEnd"/>
                  <w:r w:rsidRPr="00CA63EE">
                    <w:rPr>
                      <w:rFonts w:ascii="Verdana" w:hAnsi="Verdana"/>
                      <w:bCs/>
                      <w:sz w:val="20"/>
                    </w:rPr>
                    <w:t xml:space="preserve"> de Inversión de que se trate, con el </w:t>
                  </w:r>
                  <w:proofErr w:type="spellStart"/>
                  <w:r w:rsidRPr="00CA63EE">
                    <w:rPr>
                      <w:rFonts w:ascii="Verdana" w:hAnsi="Verdana"/>
                      <w:bCs/>
                      <w:sz w:val="20"/>
                    </w:rPr>
                    <w:t>formatosiguiente</w:t>
                  </w:r>
                  <w:proofErr w:type="spellEnd"/>
                  <w:r w:rsidRPr="00CA63EE">
                    <w:rPr>
                      <w:rFonts w:ascii="Verdana" w:hAnsi="Verdana"/>
                      <w:bCs/>
                      <w:sz w:val="20"/>
                    </w:rPr>
                    <w:t>:</w:t>
                  </w:r>
                </w:p>
                <w:tbl>
                  <w:tblPr>
                    <w:tblW w:w="0" w:type="auto"/>
                    <w:tblInd w:w="1368" w:type="dxa"/>
                    <w:tblCellMar>
                      <w:top w:w="15" w:type="dxa"/>
                      <w:left w:w="15" w:type="dxa"/>
                      <w:bottom w:w="15" w:type="dxa"/>
                      <w:right w:w="15" w:type="dxa"/>
                    </w:tblCellMar>
                    <w:tblLook w:val="04A0" w:firstRow="1" w:lastRow="0" w:firstColumn="1" w:lastColumn="0" w:noHBand="0" w:noVBand="1"/>
                  </w:tblPr>
                  <w:tblGrid>
                    <w:gridCol w:w="1417"/>
                  </w:tblGrid>
                  <w:tr w:rsidR="00CA63EE" w:rsidRPr="00CA63EE">
                    <w:trPr>
                      <w:trHeight w:val="396"/>
                    </w:trPr>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
                            <w:bCs/>
                            <w:sz w:val="20"/>
                          </w:rPr>
                          <w:t>IRN (%)</w:t>
                        </w:r>
                      </w:p>
                    </w:tc>
                  </w:tr>
                  <w:tr w:rsidR="00CA63EE" w:rsidRPr="00CA63EE">
                    <w:trPr>
                      <w:trHeight w:val="381"/>
                    </w:trPr>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Cs/>
                      <w:sz w:val="20"/>
                    </w:rPr>
                  </w:pPr>
                  <w:r w:rsidRPr="00CA63EE">
                    <w:rPr>
                      <w:rFonts w:ascii="Verdana" w:hAnsi="Verdana"/>
                      <w:b/>
                      <w:bCs/>
                      <w:sz w:val="20"/>
                    </w:rPr>
                    <w:t>b)</w:t>
                  </w:r>
                  <w:r w:rsidRPr="00CA63EE">
                    <w:rPr>
                      <w:rFonts w:ascii="Verdana" w:hAnsi="Verdana"/>
                      <w:bCs/>
                      <w:sz w:val="20"/>
                    </w:rPr>
                    <w:t xml:space="preserve">   Incluir una gráfica que muestre el rendimiento </w:t>
                  </w:r>
                  <w:proofErr w:type="spellStart"/>
                  <w:r w:rsidRPr="00CA63EE">
                    <w:rPr>
                      <w:rFonts w:ascii="Verdana" w:hAnsi="Verdana"/>
                      <w:bCs/>
                      <w:sz w:val="20"/>
                    </w:rPr>
                    <w:t>brutoanualizado</w:t>
                  </w:r>
                  <w:proofErr w:type="spellEnd"/>
                  <w:r w:rsidRPr="00CA63EE">
                    <w:rPr>
                      <w:rFonts w:ascii="Verdana" w:hAnsi="Verdana"/>
                      <w:bCs/>
                      <w:sz w:val="20"/>
                    </w:rPr>
                    <w:t xml:space="preserve"> de la cartera de inversión comparándolo con el del portafolio de referencia definido por la Administradora, esto para los últimos 1, 3 y 5 años, o los que estén disponibles conforme al historial de la Sociedad de Inversión. Se deberá explicar brevemente el comportamiento observado en los rendimientos de </w:t>
                  </w:r>
                  <w:proofErr w:type="spellStart"/>
                  <w:r w:rsidRPr="00CA63EE">
                    <w:rPr>
                      <w:rFonts w:ascii="Verdana" w:hAnsi="Verdana"/>
                      <w:bCs/>
                      <w:sz w:val="20"/>
                    </w:rPr>
                    <w:t>laSociedad</w:t>
                  </w:r>
                  <w:proofErr w:type="spellEnd"/>
                  <w:r w:rsidRPr="00CA63EE">
                    <w:rPr>
                      <w:rFonts w:ascii="Verdana" w:hAnsi="Verdana"/>
                      <w:bCs/>
                      <w:sz w:val="20"/>
                    </w:rPr>
                    <w:t xml:space="preserve"> de Inversión (Máximo 100 palabras).</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     Deberá añadirse la leyenda: "Rendimientos pasados </w:t>
                  </w:r>
                  <w:proofErr w:type="spellStart"/>
                  <w:r w:rsidRPr="00CA63EE">
                    <w:rPr>
                      <w:rFonts w:ascii="Verdana" w:hAnsi="Verdana"/>
                      <w:bCs/>
                      <w:sz w:val="20"/>
                    </w:rPr>
                    <w:t>nogarantizan</w:t>
                  </w:r>
                  <w:proofErr w:type="spellEnd"/>
                  <w:r w:rsidRPr="00CA63EE">
                    <w:rPr>
                      <w:rFonts w:ascii="Verdana" w:hAnsi="Verdana"/>
                      <w:bCs/>
                      <w:sz w:val="20"/>
                    </w:rPr>
                    <w:t xml:space="preserve"> rendimientos futuros. Estas estadísticas </w:t>
                  </w:r>
                  <w:proofErr w:type="spellStart"/>
                  <w:r w:rsidRPr="00CA63EE">
                    <w:rPr>
                      <w:rFonts w:ascii="Verdana" w:hAnsi="Verdana"/>
                      <w:bCs/>
                      <w:sz w:val="20"/>
                    </w:rPr>
                    <w:t>seproveen</w:t>
                  </w:r>
                  <w:proofErr w:type="spellEnd"/>
                  <w:r w:rsidRPr="00CA63EE">
                    <w:rPr>
                      <w:rFonts w:ascii="Verdana" w:hAnsi="Verdana"/>
                      <w:bCs/>
                      <w:sz w:val="20"/>
                    </w:rPr>
                    <w:t xml:space="preserve"> únicamente con fines informativos"</w:t>
                  </w:r>
                </w:p>
                <w:p w:rsidR="00CA63EE" w:rsidRPr="00CA63EE" w:rsidRDefault="00CA63EE" w:rsidP="00CA63EE">
                  <w:pPr>
                    <w:jc w:val="both"/>
                    <w:rPr>
                      <w:rFonts w:ascii="Verdana" w:hAnsi="Verdana"/>
                      <w:bCs/>
                      <w:sz w:val="20"/>
                    </w:rPr>
                  </w:pPr>
                  <w:r w:rsidRPr="00CA63EE">
                    <w:rPr>
                      <w:rFonts w:ascii="Verdana" w:hAnsi="Verdana"/>
                      <w:bCs/>
                      <w:sz w:val="20"/>
                    </w:rPr>
                    <w:t> </w:t>
                  </w:r>
                </w:p>
              </w:tc>
              <w:tc>
                <w:tcPr>
                  <w:tcW w:w="27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 </w:t>
                  </w:r>
                </w:p>
              </w:tc>
              <w:tc>
                <w:tcPr>
                  <w:tcW w:w="4140" w:type="dxa"/>
                  <w:tcMar>
                    <w:top w:w="0" w:type="dxa"/>
                    <w:left w:w="108" w:type="dxa"/>
                    <w:bottom w:w="0" w:type="dxa"/>
                    <w:right w:w="108"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
                      <w:bCs/>
                      <w:sz w:val="20"/>
                    </w:rPr>
                    <w:t>III. ¿CUÁLES SON LOS RIESGOS DE LAS INVERSIONES?</w:t>
                  </w:r>
                </w:p>
                <w:p w:rsidR="00CA63EE" w:rsidRPr="00CA63EE" w:rsidRDefault="00CA63EE" w:rsidP="00CA63EE">
                  <w:pPr>
                    <w:jc w:val="both"/>
                    <w:rPr>
                      <w:rFonts w:ascii="Verdana" w:hAnsi="Verdana"/>
                      <w:bCs/>
                      <w:sz w:val="20"/>
                    </w:rPr>
                  </w:pPr>
                  <w:r w:rsidRPr="00CA63EE">
                    <w:rPr>
                      <w:rFonts w:ascii="Verdana" w:hAnsi="Verdana"/>
                      <w:bCs/>
                      <w:sz w:val="20"/>
                    </w:rPr>
                    <w:t xml:space="preserve">Se deberá incluir una breve descripción de los </w:t>
                  </w:r>
                  <w:proofErr w:type="spellStart"/>
                  <w:r w:rsidRPr="00CA63EE">
                    <w:rPr>
                      <w:rFonts w:ascii="Verdana" w:hAnsi="Verdana"/>
                      <w:bCs/>
                      <w:sz w:val="20"/>
                    </w:rPr>
                    <w:t>principalesriesgos</w:t>
                  </w:r>
                  <w:proofErr w:type="spellEnd"/>
                  <w:r w:rsidRPr="00CA63EE">
                    <w:rPr>
                      <w:rFonts w:ascii="Verdana" w:hAnsi="Verdana"/>
                      <w:bCs/>
                      <w:sz w:val="20"/>
                    </w:rPr>
                    <w:t xml:space="preserve"> financieros a los que está expuesta la </w:t>
                  </w:r>
                  <w:proofErr w:type="gramStart"/>
                  <w:r w:rsidRPr="00CA63EE">
                    <w:rPr>
                      <w:rFonts w:ascii="Verdana" w:hAnsi="Verdana"/>
                      <w:bCs/>
                      <w:sz w:val="20"/>
                    </w:rPr>
                    <w:t>cartera(</w:t>
                  </w:r>
                  <w:proofErr w:type="gramEnd"/>
                  <w:r w:rsidRPr="00CA63EE">
                    <w:rPr>
                      <w:rFonts w:ascii="Verdana" w:hAnsi="Verdana"/>
                      <w:bCs/>
                      <w:sz w:val="20"/>
                    </w:rPr>
                    <w:t>Máximo 200 palabras).</w:t>
                  </w:r>
                </w:p>
                <w:p w:rsidR="00CA63EE" w:rsidRPr="00CA63EE" w:rsidRDefault="00CA63EE" w:rsidP="00CA63EE">
                  <w:pPr>
                    <w:jc w:val="both"/>
                    <w:rPr>
                      <w:rFonts w:ascii="Verdana" w:hAnsi="Verdana"/>
                      <w:bCs/>
                      <w:sz w:val="20"/>
                    </w:rPr>
                  </w:pPr>
                  <w:r w:rsidRPr="00CA63EE">
                    <w:rPr>
                      <w:rFonts w:ascii="Verdana" w:hAnsi="Verdana"/>
                      <w:bCs/>
                      <w:sz w:val="20"/>
                    </w:rPr>
                    <w:t>Deberá añadirse la leyenda: "A mayor Indicador de Rendimiento Neto, mayor crecimiento en los recursos."</w:t>
                  </w:r>
                </w:p>
                <w:p w:rsidR="00CA63EE" w:rsidRPr="00CA63EE" w:rsidRDefault="00CA63EE" w:rsidP="00CA63EE">
                  <w:pPr>
                    <w:jc w:val="both"/>
                    <w:rPr>
                      <w:rFonts w:ascii="Verdana" w:hAnsi="Verdana"/>
                      <w:bCs/>
                      <w:sz w:val="20"/>
                    </w:rPr>
                  </w:pPr>
                  <w:r w:rsidRPr="00CA63EE">
                    <w:rPr>
                      <w:rFonts w:ascii="Verdana" w:hAnsi="Verdana"/>
                      <w:bCs/>
                      <w:i/>
                      <w:iCs/>
                      <w:sz w:val="20"/>
                    </w:rPr>
                    <w:t>A manera de ejemplo se muestra la siguiente gráfica.</w:t>
                  </w:r>
                </w:p>
                <w:p w:rsidR="00CA63EE" w:rsidRPr="00CA63EE" w:rsidRDefault="00CA63EE" w:rsidP="00CA63EE">
                  <w:pPr>
                    <w:jc w:val="both"/>
                    <w:rPr>
                      <w:rFonts w:ascii="Verdana" w:hAnsi="Verdana"/>
                      <w:bCs/>
                      <w:sz w:val="20"/>
                    </w:rPr>
                  </w:pPr>
                  <w:r w:rsidRPr="00CA63EE">
                    <w:rPr>
                      <w:rFonts w:ascii="Verdana" w:hAnsi="Verdana"/>
                      <w:bCs/>
                      <w:i/>
                      <w:iCs/>
                      <w:sz w:val="20"/>
                    </w:rPr>
                    <w:drawing>
                      <wp:inline distT="0" distB="0" distL="0" distR="0">
                        <wp:extent cx="2219325" cy="1209675"/>
                        <wp:effectExtent l="0" t="0" r="9525" b="9525"/>
                        <wp:docPr id="2" name="Imagen 2" descr="http://www.dof.gob.mx/imagenes_diarios/2018/11/16/MAT/shcp2a11_Cimg_137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8/11/16/MAT/shcp2a11_Cimg_137884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9325" cy="1209675"/>
                                </a:xfrm>
                                <a:prstGeom prst="rect">
                                  <a:avLst/>
                                </a:prstGeom>
                                <a:noFill/>
                                <a:ln>
                                  <a:noFill/>
                                </a:ln>
                              </pic:spPr>
                            </pic:pic>
                          </a:graphicData>
                        </a:graphic>
                      </wp:inline>
                    </w:drawing>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c>
      </w:tr>
    </w:tbl>
    <w:p w:rsidR="00CA63EE" w:rsidRPr="00CA63EE" w:rsidRDefault="00CA63EE" w:rsidP="00CA63EE">
      <w:pPr>
        <w:jc w:val="both"/>
        <w:rPr>
          <w:rFonts w:ascii="Verdana" w:hAnsi="Verdana"/>
          <w:bCs/>
          <w:sz w:val="20"/>
        </w:rPr>
      </w:pPr>
      <w:r w:rsidRPr="00CA63EE">
        <w:rPr>
          <w:rFonts w:ascii="Verdana" w:hAnsi="Verdana"/>
          <w:bCs/>
          <w:sz w:val="20"/>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CA63EE" w:rsidRPr="00CA63EE" w:rsidTr="00CA63EE">
        <w:tc>
          <w:tcPr>
            <w:tcW w:w="0" w:type="auto"/>
            <w:shd w:val="clear" w:color="auto" w:fill="FFFFFF"/>
            <w:vAlign w:val="center"/>
            <w:hideMark/>
          </w:tcPr>
          <w:p w:rsidR="00CA63EE" w:rsidRPr="00CA63EE" w:rsidRDefault="00CA63EE" w:rsidP="00CA63EE">
            <w:pPr>
              <w:jc w:val="both"/>
              <w:rPr>
                <w:rFonts w:ascii="Verdana" w:hAnsi="Verdana"/>
                <w:bCs/>
                <w:sz w:val="20"/>
              </w:rPr>
            </w:pPr>
          </w:p>
        </w:tc>
      </w:tr>
    </w:tbl>
    <w:p w:rsidR="00CA63EE" w:rsidRPr="00CA63EE" w:rsidRDefault="00CA63EE" w:rsidP="00CA63EE">
      <w:pPr>
        <w:jc w:val="both"/>
        <w:rPr>
          <w:rFonts w:ascii="Verdana" w:hAnsi="Verdana"/>
          <w:bCs/>
          <w:vanish/>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CA63EE" w:rsidRPr="00CA63EE" w:rsidTr="00CA63EE">
        <w:trPr>
          <w:trHeight w:val="2789"/>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i/>
                <w:iCs/>
                <w:sz w:val="20"/>
              </w:rPr>
              <w:lastRenderedPageBreak/>
              <w:t>V. CONSULTAS, QUEJAS Y RECLAMACIONES</w:t>
            </w:r>
          </w:p>
          <w:p w:rsidR="00CA63EE" w:rsidRPr="00CA63EE" w:rsidRDefault="00CA63EE" w:rsidP="00CA63EE">
            <w:pPr>
              <w:jc w:val="both"/>
              <w:rPr>
                <w:rFonts w:ascii="Verdana" w:hAnsi="Verdana"/>
                <w:bCs/>
                <w:sz w:val="20"/>
              </w:rPr>
            </w:pPr>
            <w:r w:rsidRPr="00CA63EE">
              <w:rPr>
                <w:rFonts w:ascii="Verdana" w:hAnsi="Verdana"/>
                <w:bCs/>
                <w:sz w:val="20"/>
              </w:rPr>
              <w:t>Se deberá incluir la siguiente leyenda:</w:t>
            </w:r>
          </w:p>
          <w:p w:rsidR="00CA63EE" w:rsidRPr="00CA63EE" w:rsidRDefault="00CA63EE" w:rsidP="00CA63EE">
            <w:pPr>
              <w:jc w:val="both"/>
              <w:rPr>
                <w:rFonts w:ascii="Verdana" w:hAnsi="Verdana"/>
                <w:bCs/>
                <w:sz w:val="20"/>
              </w:rPr>
            </w:pPr>
            <w:r w:rsidRPr="00CA63EE">
              <w:rPr>
                <w:rFonts w:ascii="Verdana" w:hAnsi="Verdana"/>
                <w:bCs/>
                <w:sz w:val="20"/>
              </w:rPr>
              <w:t>"La CONSAR es la autoridad competente para regular, inspeccionar y vigilar el funcionamiento de las AFORE."</w:t>
            </w:r>
          </w:p>
          <w:p w:rsidR="00CA63EE" w:rsidRPr="00CA63EE" w:rsidRDefault="00CA63EE" w:rsidP="00CA63EE">
            <w:pPr>
              <w:jc w:val="both"/>
              <w:rPr>
                <w:rFonts w:ascii="Verdana" w:hAnsi="Verdana"/>
                <w:bCs/>
                <w:sz w:val="20"/>
              </w:rPr>
            </w:pPr>
            <w:r w:rsidRPr="00CA63EE">
              <w:rPr>
                <w:rFonts w:ascii="Verdana" w:hAnsi="Verdana"/>
                <w:bCs/>
                <w:sz w:val="20"/>
              </w:rPr>
              <w:t xml:space="preserve">El teléfono de la Administradora para atención al público es: (incluir teléfono de atención al público de la Administradora), y el </w:t>
            </w:r>
            <w:proofErr w:type="spellStart"/>
            <w:r w:rsidRPr="00CA63EE">
              <w:rPr>
                <w:rFonts w:ascii="Verdana" w:hAnsi="Verdana"/>
                <w:bCs/>
                <w:sz w:val="20"/>
              </w:rPr>
              <w:t>teléfonodisponible</w:t>
            </w:r>
            <w:proofErr w:type="spellEnd"/>
            <w:r w:rsidRPr="00CA63EE">
              <w:rPr>
                <w:rFonts w:ascii="Verdana" w:hAnsi="Verdana"/>
                <w:bCs/>
                <w:sz w:val="20"/>
              </w:rPr>
              <w:t xml:space="preserve"> sin costo por parte de la CONSAR para atención al público es SARTEL: 13-28-5000.</w:t>
            </w:r>
          </w:p>
          <w:p w:rsidR="00CA63EE" w:rsidRPr="00CA63EE" w:rsidRDefault="00CA63EE" w:rsidP="00CA63EE">
            <w:pPr>
              <w:jc w:val="both"/>
              <w:rPr>
                <w:rFonts w:ascii="Verdana" w:hAnsi="Verdana"/>
                <w:bCs/>
                <w:sz w:val="20"/>
              </w:rPr>
            </w:pPr>
            <w:r w:rsidRPr="00CA63EE">
              <w:rPr>
                <w:rFonts w:ascii="Verdana" w:hAnsi="Verdana"/>
                <w:bCs/>
                <w:sz w:val="20"/>
              </w:rPr>
              <w:t>La Comisión Nacional para la Protección y Defensa de los Usuarios de Servicios Financieros (CONDUSEF) tiene habilitado un servicio de atención al público vía telefónica, sin cargo alguno desde cualquier lugar del país, para recibir consultas, quejas y reclamaciones sobre irregularidades en la operación y prestación de los servicios de las Administradoras, en el teléfono (incluir teléfono de la CONDUSEF)."</w:t>
            </w:r>
          </w:p>
          <w:p w:rsidR="00CA63EE" w:rsidRPr="00CA63EE" w:rsidRDefault="00CA63EE" w:rsidP="00CA63EE">
            <w:pPr>
              <w:jc w:val="both"/>
              <w:rPr>
                <w:rFonts w:ascii="Verdana" w:hAnsi="Verdana"/>
                <w:bCs/>
                <w:sz w:val="20"/>
              </w:rPr>
            </w:pPr>
            <w:r w:rsidRPr="00CA63EE">
              <w:rPr>
                <w:rFonts w:ascii="Verdana" w:hAnsi="Verdana"/>
                <w:bCs/>
                <w:sz w:val="20"/>
              </w:rPr>
              <w:t>Mayor información se podrá obtener en las oficinas y sucursales de la AFORE o bien a través de la página de Internet de la</w:t>
            </w:r>
            <w:r w:rsidRPr="00CA63EE">
              <w:rPr>
                <w:rFonts w:ascii="Verdana" w:hAnsi="Verdana"/>
                <w:bCs/>
                <w:sz w:val="20"/>
              </w:rPr>
              <w:br/>
              <w:t>Administradora".</w:t>
            </w:r>
          </w:p>
          <w:p w:rsidR="00CA63EE" w:rsidRPr="00CA63EE" w:rsidRDefault="00CA63EE" w:rsidP="00CA63EE">
            <w:pPr>
              <w:jc w:val="both"/>
              <w:rPr>
                <w:rFonts w:ascii="Verdana" w:hAnsi="Verdana"/>
                <w:bCs/>
                <w:sz w:val="20"/>
              </w:rPr>
            </w:pPr>
            <w:r w:rsidRPr="00CA63EE">
              <w:rPr>
                <w:rFonts w:ascii="Verdana" w:hAnsi="Verdana"/>
                <w:bCs/>
                <w:sz w:val="20"/>
              </w:rPr>
              <w:t>Domicilio Social (Administradora y SIEFORE) como pie de página del Folleto Explicativo</w:t>
            </w:r>
          </w:p>
          <w:p w:rsidR="00CA63EE" w:rsidRPr="00CA63EE" w:rsidRDefault="00CA63EE" w:rsidP="00CA63EE">
            <w:pPr>
              <w:jc w:val="both"/>
              <w:rPr>
                <w:rFonts w:ascii="Verdana" w:hAnsi="Verdana"/>
                <w:bCs/>
                <w:sz w:val="20"/>
              </w:rPr>
            </w:pPr>
            <w:r w:rsidRPr="00CA63EE">
              <w:rPr>
                <w:rFonts w:ascii="Verdana" w:hAnsi="Verdana"/>
                <w:bCs/>
                <w:sz w:val="20"/>
              </w:rPr>
              <w:t> </w:t>
            </w:r>
          </w:p>
        </w:tc>
      </w:tr>
    </w:tbl>
    <w:p w:rsidR="00CA63EE" w:rsidRPr="00CA63EE" w:rsidRDefault="00CA63EE" w:rsidP="00CA63EE">
      <w:pPr>
        <w:jc w:val="both"/>
        <w:rPr>
          <w:rFonts w:ascii="Verdana" w:hAnsi="Verdana"/>
          <w:b/>
          <w:bCs/>
          <w:sz w:val="20"/>
        </w:rPr>
      </w:pPr>
      <w:r w:rsidRPr="00CA63EE">
        <w:rPr>
          <w:rFonts w:ascii="Verdana" w:hAnsi="Verdana"/>
          <w:b/>
          <w:bCs/>
          <w:sz w:val="20"/>
        </w:rPr>
        <w:t>ANEXO R</w:t>
      </w:r>
    </w:p>
    <w:p w:rsidR="00CA63EE" w:rsidRPr="00CA63EE" w:rsidRDefault="00CA63EE" w:rsidP="00CA63EE">
      <w:pPr>
        <w:jc w:val="both"/>
        <w:rPr>
          <w:rFonts w:ascii="Verdana" w:hAnsi="Verdana"/>
          <w:bCs/>
          <w:sz w:val="20"/>
        </w:rPr>
      </w:pPr>
      <w:r w:rsidRPr="00CA63EE">
        <w:rPr>
          <w:rFonts w:ascii="Verdana" w:hAnsi="Verdana"/>
          <w:b/>
          <w:bCs/>
          <w:sz w:val="20"/>
        </w:rPr>
        <w:t xml:space="preserve">Criterios que deberán cumplir los Instrumentos </w:t>
      </w:r>
      <w:proofErr w:type="spellStart"/>
      <w:r w:rsidRPr="00CA63EE">
        <w:rPr>
          <w:rFonts w:ascii="Verdana" w:hAnsi="Verdana"/>
          <w:b/>
          <w:bCs/>
          <w:sz w:val="20"/>
        </w:rPr>
        <w:t>Bursatilizados</w:t>
      </w:r>
      <w:proofErr w:type="spellEnd"/>
      <w:r w:rsidRPr="00CA63EE">
        <w:rPr>
          <w:rFonts w:ascii="Verdana" w:hAnsi="Verdana"/>
          <w:b/>
          <w:bCs/>
          <w:sz w:val="20"/>
        </w:rPr>
        <w:t xml:space="preserve"> para ser considerados como colocados</w:t>
      </w:r>
      <w:r w:rsidRPr="00CA63EE">
        <w:rPr>
          <w:rFonts w:ascii="Verdana" w:hAnsi="Verdana"/>
          <w:bCs/>
          <w:sz w:val="20"/>
        </w:rPr>
        <w:br/>
      </w:r>
      <w:r w:rsidRPr="00CA63EE">
        <w:rPr>
          <w:rFonts w:ascii="Verdana" w:hAnsi="Verdana"/>
          <w:b/>
          <w:bCs/>
          <w:sz w:val="20"/>
        </w:rPr>
        <w:t>por un emisor independiente</w:t>
      </w:r>
    </w:p>
    <w:p w:rsidR="00CA63EE" w:rsidRPr="00CA63EE" w:rsidRDefault="00CA63EE" w:rsidP="00CA63EE">
      <w:pPr>
        <w:jc w:val="both"/>
        <w:rPr>
          <w:rFonts w:ascii="Verdana" w:hAnsi="Verdana"/>
          <w:bCs/>
          <w:sz w:val="20"/>
        </w:rPr>
      </w:pPr>
      <w:r w:rsidRPr="00CA63EE">
        <w:rPr>
          <w:rFonts w:ascii="Verdana" w:hAnsi="Verdana"/>
          <w:bCs/>
          <w:sz w:val="20"/>
        </w:rPr>
        <w:t xml:space="preserve">I.     Criterios generales que deberán cumplir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en posesión de las Sociedades de Inversión para ser considerados como colocados por un emisor independiente:</w:t>
      </w:r>
    </w:p>
    <w:p w:rsidR="00CA63EE" w:rsidRPr="00CA63EE" w:rsidRDefault="00CA63EE" w:rsidP="00CA63EE">
      <w:pPr>
        <w:jc w:val="both"/>
        <w:rPr>
          <w:rFonts w:ascii="Verdana" w:hAnsi="Verdana"/>
          <w:bCs/>
          <w:sz w:val="20"/>
        </w:rPr>
      </w:pPr>
      <w:r w:rsidRPr="00CA63EE">
        <w:rPr>
          <w:rFonts w:ascii="Verdana" w:hAnsi="Verdana"/>
          <w:bCs/>
          <w:sz w:val="20"/>
        </w:rPr>
        <w:t>a)   El prospecto deberá indicar claramente los criterios de elegibilidad de la cartera objeto de la bursatilización;</w:t>
      </w:r>
    </w:p>
    <w:p w:rsidR="00CA63EE" w:rsidRPr="00CA63EE" w:rsidRDefault="00CA63EE" w:rsidP="00CA63EE">
      <w:pPr>
        <w:jc w:val="both"/>
        <w:rPr>
          <w:rFonts w:ascii="Verdana" w:hAnsi="Verdana"/>
          <w:bCs/>
          <w:sz w:val="20"/>
        </w:rPr>
      </w:pPr>
      <w:r w:rsidRPr="00CA63EE">
        <w:rPr>
          <w:rFonts w:ascii="Verdana" w:hAnsi="Verdana"/>
          <w:bCs/>
          <w:sz w:val="20"/>
        </w:rPr>
        <w:t>b)   Existir una cesión de los derechos de cobro de la cartera objeto de la bursatilización a un fideicomiso irrevocable;</w:t>
      </w:r>
    </w:p>
    <w:p w:rsidR="00CA63EE" w:rsidRPr="00CA63EE" w:rsidRDefault="00CA63EE" w:rsidP="00CA63EE">
      <w:pPr>
        <w:jc w:val="both"/>
        <w:rPr>
          <w:rFonts w:ascii="Verdana" w:hAnsi="Verdana"/>
          <w:bCs/>
          <w:sz w:val="20"/>
        </w:rPr>
      </w:pPr>
      <w:r w:rsidRPr="00CA63EE">
        <w:rPr>
          <w:rFonts w:ascii="Verdana" w:hAnsi="Verdana"/>
          <w:bCs/>
          <w:sz w:val="20"/>
        </w:rPr>
        <w:t>c)   Contar con reglas claras para, en su caso, sustituir al administrador de la cartera objeto de la bursatilización. Entre otras razones, para la sustitución se deberán dar a conocer los posibles conflictos de interés de éste con los tenedores, el representante común o con entidades relacionadas con el pago de las obligaciones de los derechos de cobro o con el originador, la falta de experiencia en la administración y cobro de los derechos sobre los activos objeto de la bursatilización, o bien, un incumplimiento de su mandato como administrador;</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d)   La institución calificadora de valores autorizada deberá considerar y valuar todos los flujos del Instrumento </w:t>
      </w:r>
      <w:proofErr w:type="spellStart"/>
      <w:r w:rsidRPr="00CA63EE">
        <w:rPr>
          <w:rFonts w:ascii="Verdana" w:hAnsi="Verdana"/>
          <w:bCs/>
          <w:sz w:val="20"/>
        </w:rPr>
        <w:t>Bursatilizado</w:t>
      </w:r>
      <w:proofErr w:type="spellEnd"/>
      <w:r w:rsidRPr="00CA63EE">
        <w:rPr>
          <w:rFonts w:ascii="Verdana" w:hAnsi="Verdana"/>
          <w:bCs/>
          <w:sz w:val="20"/>
        </w:rPr>
        <w:t xml:space="preserve"> (tanto de capital como de intereses) para efectos de emitir una calificación;</w:t>
      </w:r>
    </w:p>
    <w:p w:rsidR="00CA63EE" w:rsidRPr="00CA63EE" w:rsidRDefault="00CA63EE" w:rsidP="00CA63EE">
      <w:pPr>
        <w:jc w:val="both"/>
        <w:rPr>
          <w:rFonts w:ascii="Verdana" w:hAnsi="Verdana"/>
          <w:bCs/>
          <w:sz w:val="20"/>
        </w:rPr>
      </w:pPr>
      <w:r w:rsidRPr="00CA63EE">
        <w:rPr>
          <w:rFonts w:ascii="Verdana" w:hAnsi="Verdana"/>
          <w:bCs/>
          <w:sz w:val="20"/>
        </w:rPr>
        <w:t xml:space="preserve">e)   Respetar estándares mínimos para revelar información acerca del Instrumento </w:t>
      </w:r>
      <w:proofErr w:type="spellStart"/>
      <w:r w:rsidRPr="00CA63EE">
        <w:rPr>
          <w:rFonts w:ascii="Verdana" w:hAnsi="Verdana"/>
          <w:bCs/>
          <w:sz w:val="20"/>
        </w:rPr>
        <w:t>Bursatilizado</w:t>
      </w:r>
      <w:proofErr w:type="spellEnd"/>
      <w:r w:rsidRPr="00CA63EE">
        <w:rPr>
          <w:rFonts w:ascii="Verdana" w:hAnsi="Verdana"/>
          <w:bCs/>
          <w:sz w:val="20"/>
        </w:rPr>
        <w:t> con apego a la normatividad que para tales efectos emita la Comisión Nacional Bancaria y de Valores;</w:t>
      </w:r>
    </w:p>
    <w:p w:rsidR="00CA63EE" w:rsidRPr="00CA63EE" w:rsidRDefault="00CA63EE" w:rsidP="00CA63EE">
      <w:pPr>
        <w:jc w:val="both"/>
        <w:rPr>
          <w:rFonts w:ascii="Verdana" w:hAnsi="Verdana"/>
          <w:bCs/>
          <w:sz w:val="20"/>
        </w:rPr>
      </w:pPr>
      <w:r w:rsidRPr="00CA63EE">
        <w:rPr>
          <w:rFonts w:ascii="Verdana" w:hAnsi="Verdana"/>
          <w:bCs/>
          <w:sz w:val="20"/>
        </w:rPr>
        <w:t xml:space="preserve">f)    Que la valuación del Instrumento </w:t>
      </w:r>
      <w:proofErr w:type="spellStart"/>
      <w:r w:rsidRPr="00CA63EE">
        <w:rPr>
          <w:rFonts w:ascii="Verdana" w:hAnsi="Verdana"/>
          <w:bCs/>
          <w:sz w:val="20"/>
        </w:rPr>
        <w:t>Bursatilizado</w:t>
      </w:r>
      <w:proofErr w:type="spellEnd"/>
      <w:r w:rsidRPr="00CA63EE">
        <w:rPr>
          <w:rFonts w:ascii="Verdana" w:hAnsi="Verdana"/>
          <w:bCs/>
          <w:sz w:val="20"/>
        </w:rPr>
        <w:t xml:space="preserve"> se realice por un proveedor de precios, mediante el uso de una metodología pública;</w:t>
      </w:r>
    </w:p>
    <w:p w:rsidR="00CA63EE" w:rsidRPr="00CA63EE" w:rsidRDefault="00CA63EE" w:rsidP="00CA63EE">
      <w:pPr>
        <w:jc w:val="both"/>
        <w:rPr>
          <w:rFonts w:ascii="Verdana" w:hAnsi="Verdana"/>
          <w:bCs/>
          <w:sz w:val="20"/>
        </w:rPr>
      </w:pPr>
      <w:r w:rsidRPr="00CA63EE">
        <w:rPr>
          <w:rFonts w:ascii="Verdana" w:hAnsi="Verdana"/>
          <w:bCs/>
          <w:sz w:val="20"/>
        </w:rPr>
        <w:t>g)   No deberán existir mecanismos de recompra de la cartera objeto de la bursatilización, por parte del fideicomitente ni del originador, salvo cuando la cartera en comento sea hipotecaria o de otra naturaleza que señale el Comité de Análisis de Riesgos, en cuyos casos se sujetarán a las normas específicas que se establezcan. Tampoco deberán existir mecanismos de sustitución de una parte o del total de los activos afectados en fideicomiso irrevocable, excepto para cumplir con los criterios de elegibilidad a que se refiere el literal a) anterior, y</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h)   Contar con los enaltecedores que defina la Comisión. Los Instrumentos </w:t>
      </w:r>
      <w:proofErr w:type="spellStart"/>
      <w:r w:rsidRPr="00CA63EE">
        <w:rPr>
          <w:rFonts w:ascii="Verdana" w:hAnsi="Verdana"/>
          <w:bCs/>
          <w:sz w:val="20"/>
        </w:rPr>
        <w:t>Bursatilizados</w:t>
      </w:r>
      <w:proofErr w:type="spellEnd"/>
      <w:r w:rsidRPr="00CA63EE">
        <w:rPr>
          <w:rFonts w:ascii="Verdana" w:hAnsi="Verdana"/>
          <w:bCs/>
          <w:sz w:val="20"/>
        </w:rPr>
        <w:t> hipotecarios cubrirán este requisito cuando satisfagan lo previsto en la fracción II del presente Anexo.</w:t>
      </w:r>
    </w:p>
    <w:p w:rsidR="00CA63EE" w:rsidRPr="00CA63EE" w:rsidRDefault="00CA63EE" w:rsidP="00CA63EE">
      <w:pPr>
        <w:jc w:val="both"/>
        <w:rPr>
          <w:rFonts w:ascii="Verdana" w:hAnsi="Verdana"/>
          <w:bCs/>
          <w:sz w:val="20"/>
        </w:rPr>
      </w:pPr>
      <w:r w:rsidRPr="00CA63EE">
        <w:rPr>
          <w:rFonts w:ascii="Verdana" w:hAnsi="Verdana"/>
          <w:bCs/>
          <w:sz w:val="20"/>
        </w:rPr>
        <w:t xml:space="preserve">II.     Criterios adicionales que deberán cumplir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en posesión de las Sociedades de Inversión para que puedan ser considerados como colocados por un emisor independiente cuando la cartera subyacente sea hipotecaria:</w:t>
      </w:r>
    </w:p>
    <w:p w:rsidR="00CA63EE" w:rsidRPr="00CA63EE" w:rsidRDefault="00CA63EE" w:rsidP="00CA63EE">
      <w:pPr>
        <w:jc w:val="both"/>
        <w:rPr>
          <w:rFonts w:ascii="Verdana" w:hAnsi="Verdana"/>
          <w:bCs/>
          <w:sz w:val="20"/>
        </w:rPr>
      </w:pPr>
      <w:r w:rsidRPr="00CA63EE">
        <w:rPr>
          <w:rFonts w:ascii="Verdana" w:hAnsi="Verdana"/>
          <w:bCs/>
          <w:sz w:val="20"/>
        </w:rPr>
        <w:t>a)   El fideicomitente o, en su caso, el originador podrá recomprar al fideicomiso la cartera objeto de la bursatilización cuando su valor sea igual o menor al 10% del que hubiera tenido al inicio de la emisión.</w:t>
      </w:r>
    </w:p>
    <w:p w:rsidR="00CA63EE" w:rsidRPr="00CA63EE" w:rsidRDefault="00CA63EE" w:rsidP="00CA63EE">
      <w:pPr>
        <w:jc w:val="both"/>
        <w:rPr>
          <w:rFonts w:ascii="Verdana" w:hAnsi="Verdana"/>
          <w:bCs/>
          <w:sz w:val="20"/>
        </w:rPr>
      </w:pPr>
      <w:r w:rsidRPr="00CA63EE">
        <w:rPr>
          <w:rFonts w:ascii="Verdana" w:hAnsi="Verdana"/>
          <w:bCs/>
          <w:sz w:val="20"/>
        </w:rPr>
        <w:t xml:space="preserve">      En el caso de reaperturas de emisiones, se seguirá la misma regla considerando el monto total emitido en las diferentes reaperturas llevadas a cabo con una misma emisión. Se considerará que dos Instrumentos </w:t>
      </w:r>
      <w:proofErr w:type="spellStart"/>
      <w:r w:rsidRPr="00CA63EE">
        <w:rPr>
          <w:rFonts w:ascii="Verdana" w:hAnsi="Verdana"/>
          <w:bCs/>
          <w:sz w:val="20"/>
        </w:rPr>
        <w:t>Bursatilizados</w:t>
      </w:r>
      <w:proofErr w:type="spellEnd"/>
      <w:r w:rsidRPr="00CA63EE">
        <w:rPr>
          <w:rFonts w:ascii="Verdana" w:hAnsi="Verdana"/>
          <w:bCs/>
          <w:sz w:val="20"/>
        </w:rPr>
        <w:t xml:space="preserve"> corresponden a una misma emisión reabierta cuando lo anterior se sustente con la opinión legal de un experto independiente del emisor;</w:t>
      </w:r>
    </w:p>
    <w:p w:rsidR="00CA63EE" w:rsidRPr="00CA63EE" w:rsidRDefault="00CA63EE" w:rsidP="00CA63EE">
      <w:pPr>
        <w:jc w:val="both"/>
        <w:rPr>
          <w:rFonts w:ascii="Verdana" w:hAnsi="Verdana"/>
          <w:bCs/>
          <w:sz w:val="20"/>
        </w:rPr>
      </w:pPr>
      <w:r w:rsidRPr="00CA63EE">
        <w:rPr>
          <w:rFonts w:ascii="Verdana" w:hAnsi="Verdana"/>
          <w:bCs/>
          <w:sz w:val="20"/>
        </w:rPr>
        <w:t xml:space="preserve">b)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deberán alcanzar una calificación equivalente a alguna de las previstas en el Anexo A de las Disposiciones de carácter general que establecen el régimen de inversión al que deberán sujetarse las Sociedades de Inversión. Para tales efectos, los Instrumentos </w:t>
      </w:r>
      <w:proofErr w:type="spellStart"/>
      <w:r w:rsidRPr="00CA63EE">
        <w:rPr>
          <w:rFonts w:ascii="Verdana" w:hAnsi="Verdana"/>
          <w:bCs/>
          <w:sz w:val="20"/>
        </w:rPr>
        <w:t>Bursatilizados</w:t>
      </w:r>
      <w:proofErr w:type="spellEnd"/>
      <w:r w:rsidRPr="00CA63EE">
        <w:rPr>
          <w:rFonts w:ascii="Verdana" w:hAnsi="Verdana"/>
          <w:bCs/>
          <w:sz w:val="20"/>
        </w:rPr>
        <w:t xml:space="preserve"> deberán contar con una combinación de mecanismos de seguridad dentro de los que se encuentren los siguientes:</w:t>
      </w:r>
    </w:p>
    <w:p w:rsidR="00CA63EE" w:rsidRPr="00CA63EE" w:rsidRDefault="00CA63EE" w:rsidP="00CA63EE">
      <w:pPr>
        <w:jc w:val="both"/>
        <w:rPr>
          <w:rFonts w:ascii="Verdana" w:hAnsi="Verdana"/>
          <w:bCs/>
          <w:sz w:val="20"/>
        </w:rPr>
      </w:pPr>
      <w:r w:rsidRPr="00CA63EE">
        <w:rPr>
          <w:rFonts w:ascii="Verdana" w:hAnsi="Verdana"/>
          <w:bCs/>
          <w:sz w:val="20"/>
        </w:rPr>
        <w:t>i.    Determinación de un nivel máximo aplicable al valor promedio de las relaciones entre el valor de los créditos y el valor de las garantías hipotecarias de la cartera objeto de la bursatilización;</w:t>
      </w:r>
    </w:p>
    <w:p w:rsidR="00CA63EE" w:rsidRPr="00CA63EE" w:rsidRDefault="00CA63EE" w:rsidP="00CA63EE">
      <w:pPr>
        <w:jc w:val="both"/>
        <w:rPr>
          <w:rFonts w:ascii="Verdana" w:hAnsi="Verdana"/>
          <w:bCs/>
          <w:sz w:val="20"/>
        </w:rPr>
      </w:pPr>
      <w:r w:rsidRPr="00CA63EE">
        <w:rPr>
          <w:rFonts w:ascii="Verdana" w:hAnsi="Verdana"/>
          <w:bCs/>
          <w:sz w:val="20"/>
        </w:rPr>
        <w:lastRenderedPageBreak/>
        <w:t>ii.    Emisión de una serie subordinada;</w:t>
      </w:r>
    </w:p>
    <w:p w:rsidR="00CA63EE" w:rsidRPr="00CA63EE" w:rsidRDefault="00CA63EE" w:rsidP="00CA63EE">
      <w:pPr>
        <w:jc w:val="both"/>
        <w:rPr>
          <w:rFonts w:ascii="Verdana" w:hAnsi="Verdana"/>
          <w:bCs/>
          <w:sz w:val="20"/>
        </w:rPr>
      </w:pPr>
      <w:r w:rsidRPr="00CA63EE">
        <w:rPr>
          <w:rFonts w:ascii="Verdana" w:hAnsi="Verdana"/>
          <w:bCs/>
          <w:sz w:val="20"/>
        </w:rPr>
        <w:t>iii.   Garantía otorgada por una aseguradora de reconocido prestigio internacional, y</w:t>
      </w:r>
    </w:p>
    <w:p w:rsidR="00CA63EE" w:rsidRPr="00CA63EE" w:rsidRDefault="00CA63EE" w:rsidP="00CA63EE">
      <w:pPr>
        <w:jc w:val="both"/>
        <w:rPr>
          <w:rFonts w:ascii="Verdana" w:hAnsi="Verdana"/>
          <w:bCs/>
          <w:sz w:val="20"/>
        </w:rPr>
      </w:pPr>
      <w:r w:rsidRPr="00CA63EE">
        <w:rPr>
          <w:rFonts w:ascii="Verdana" w:hAnsi="Verdana"/>
          <w:bCs/>
          <w:sz w:val="20"/>
        </w:rPr>
        <w:t xml:space="preserve">iv.   Nivel mínimo de aforo o capital retenido por el fideicomitente, entendiéndose por esta variable al porcentaje de la cartera que es </w:t>
      </w:r>
      <w:proofErr w:type="spellStart"/>
      <w:r w:rsidRPr="00CA63EE">
        <w:rPr>
          <w:rFonts w:ascii="Verdana" w:hAnsi="Verdana"/>
          <w:bCs/>
          <w:sz w:val="20"/>
        </w:rPr>
        <w:t>fideicomitida</w:t>
      </w:r>
      <w:proofErr w:type="spellEnd"/>
      <w:r w:rsidRPr="00CA63EE">
        <w:rPr>
          <w:rFonts w:ascii="Verdana" w:hAnsi="Verdana"/>
          <w:bCs/>
          <w:sz w:val="20"/>
        </w:rPr>
        <w:t xml:space="preserve"> en exceso del valor del Instrumento </w:t>
      </w:r>
      <w:proofErr w:type="spellStart"/>
      <w:r w:rsidRPr="00CA63EE">
        <w:rPr>
          <w:rFonts w:ascii="Verdana" w:hAnsi="Verdana"/>
          <w:bCs/>
          <w:sz w:val="20"/>
        </w:rPr>
        <w:t>Bursatilizado</w:t>
      </w:r>
      <w:proofErr w:type="spellEnd"/>
      <w:r w:rsidRPr="00CA63EE">
        <w:rPr>
          <w:rFonts w:ascii="Verdana" w:hAnsi="Verdana"/>
          <w:bCs/>
          <w:sz w:val="20"/>
        </w:rPr>
        <w:t xml:space="preserve"> al momento de la emisión;</w:t>
      </w:r>
    </w:p>
    <w:p w:rsidR="00CA63EE" w:rsidRPr="00CA63EE" w:rsidRDefault="00CA63EE" w:rsidP="00CA63EE">
      <w:pPr>
        <w:jc w:val="both"/>
        <w:rPr>
          <w:rFonts w:ascii="Verdana" w:hAnsi="Verdana"/>
          <w:bCs/>
          <w:sz w:val="20"/>
        </w:rPr>
      </w:pPr>
      <w:r w:rsidRPr="00CA63EE">
        <w:rPr>
          <w:rFonts w:ascii="Verdana" w:hAnsi="Verdana"/>
          <w:bCs/>
          <w:sz w:val="20"/>
        </w:rPr>
        <w:t xml:space="preserve">c)   Al momento de la emisión del Instrumento </w:t>
      </w:r>
      <w:proofErr w:type="spellStart"/>
      <w:r w:rsidRPr="00CA63EE">
        <w:rPr>
          <w:rFonts w:ascii="Verdana" w:hAnsi="Verdana"/>
          <w:bCs/>
          <w:sz w:val="20"/>
        </w:rPr>
        <w:t>Bursatilizado</w:t>
      </w:r>
      <w:proofErr w:type="spellEnd"/>
      <w:r w:rsidRPr="00CA63EE">
        <w:rPr>
          <w:rFonts w:ascii="Verdana" w:hAnsi="Verdana"/>
          <w:bCs/>
          <w:sz w:val="20"/>
        </w:rPr>
        <w:t>, el valor total de la suma de los montos de la serie subordinada, la garantía y el aforo o capital retenido por el fideicomitente, como porcentaje del monto emitido, debe ser igual o superior a los valores mostrados en la siguiente tabla:</w:t>
      </w:r>
    </w:p>
    <w:p w:rsidR="00CA63EE" w:rsidRPr="00CA63EE" w:rsidRDefault="00CA63EE" w:rsidP="00CA63EE">
      <w:pPr>
        <w:jc w:val="both"/>
        <w:rPr>
          <w:rFonts w:ascii="Verdana" w:hAnsi="Verdana"/>
          <w:bCs/>
          <w:sz w:val="20"/>
        </w:rPr>
      </w:pPr>
      <w:r w:rsidRPr="00CA63EE">
        <w:rPr>
          <w:rFonts w:ascii="Verdana" w:hAnsi="Verdana"/>
          <w:b/>
          <w:bCs/>
          <w:sz w:val="20"/>
        </w:rPr>
        <w:t>Requerimiento de Aforo o capital retenido por el originador, serie subordinada y garantía financiera</w:t>
      </w:r>
      <w:r w:rsidRPr="00CA63EE">
        <w:rPr>
          <w:rFonts w:ascii="Verdana" w:hAnsi="Verdana"/>
          <w:bCs/>
          <w:sz w:val="20"/>
        </w:rPr>
        <w:br/>
      </w:r>
      <w:r w:rsidRPr="00CA63EE">
        <w:rPr>
          <w:rFonts w:ascii="Verdana" w:hAnsi="Verdana"/>
          <w:b/>
          <w:bCs/>
          <w:sz w:val="20"/>
        </w:rPr>
        <w:t>(porcentaje de la emisión original)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47"/>
        <w:gridCol w:w="941"/>
        <w:gridCol w:w="941"/>
        <w:gridCol w:w="941"/>
        <w:gridCol w:w="933"/>
        <w:gridCol w:w="933"/>
        <w:gridCol w:w="933"/>
        <w:gridCol w:w="933"/>
        <w:gridCol w:w="933"/>
      </w:tblGrid>
      <w:tr w:rsidR="00CA63EE" w:rsidRPr="00CA63EE" w:rsidTr="00CA63EE">
        <w:trPr>
          <w:trHeight w:val="496"/>
        </w:trPr>
        <w:tc>
          <w:tcPr>
            <w:tcW w:w="1247" w:type="dxa"/>
            <w:tcBorders>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7465" w:type="dxa"/>
            <w:gridSpan w:val="8"/>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Valor del crédito / Valor de la garantía</w:t>
            </w:r>
          </w:p>
        </w:tc>
      </w:tr>
      <w:tr w:rsidR="00CA63EE" w:rsidRPr="00CA63EE" w:rsidTr="00CA63EE">
        <w:trPr>
          <w:trHeight w:val="481"/>
        </w:trPr>
        <w:tc>
          <w:tcPr>
            <w:tcW w:w="1247"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SCV*</w:t>
            </w:r>
          </w:p>
        </w:tc>
        <w:tc>
          <w:tcPr>
            <w:tcW w:w="9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95%</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90%</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85%</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80%</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75%</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70%</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60%</w:t>
            </w:r>
          </w:p>
        </w:tc>
        <w:tc>
          <w:tcPr>
            <w:tcW w:w="9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50%</w:t>
            </w:r>
          </w:p>
        </w:tc>
      </w:tr>
      <w:tr w:rsidR="00CA63EE" w:rsidRPr="00CA63EE" w:rsidTr="00CA63EE">
        <w:trPr>
          <w:trHeight w:val="496"/>
        </w:trPr>
        <w:tc>
          <w:tcPr>
            <w:tcW w:w="12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22.36%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18.34%</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11.90%</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9.66%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7.86%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5.96%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2.70%</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0.24%</w:t>
            </w:r>
          </w:p>
        </w:tc>
      </w:tr>
    </w:tbl>
    <w:p w:rsidR="00CA63EE" w:rsidRPr="00CA63EE" w:rsidRDefault="00CA63EE" w:rsidP="00CA63EE">
      <w:pPr>
        <w:jc w:val="both"/>
        <w:rPr>
          <w:rFonts w:ascii="Verdana" w:hAnsi="Verdana"/>
          <w:bCs/>
          <w:sz w:val="20"/>
        </w:rPr>
      </w:pPr>
      <w:r w:rsidRPr="00CA63EE">
        <w:rPr>
          <w:rFonts w:ascii="Verdana" w:hAnsi="Verdana"/>
          <w:bCs/>
          <w:sz w:val="20"/>
        </w:rPr>
        <w:t>*SCV: Seguro de crédito a la vivienda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 xml:space="preserve">d)   Al momento de la emisión del Instrumento </w:t>
      </w:r>
      <w:proofErr w:type="spellStart"/>
      <w:r w:rsidRPr="00CA63EE">
        <w:rPr>
          <w:rFonts w:ascii="Verdana" w:hAnsi="Verdana"/>
          <w:bCs/>
          <w:sz w:val="20"/>
        </w:rPr>
        <w:t>Bursatilizado</w:t>
      </w:r>
      <w:proofErr w:type="spellEnd"/>
      <w:r w:rsidRPr="00CA63EE">
        <w:rPr>
          <w:rFonts w:ascii="Verdana" w:hAnsi="Verdana"/>
          <w:bCs/>
          <w:sz w:val="20"/>
        </w:rPr>
        <w:t xml:space="preserve">, el originador deberá retener un nivel de aforo o capital del Instrumento </w:t>
      </w:r>
      <w:proofErr w:type="spellStart"/>
      <w:r w:rsidRPr="00CA63EE">
        <w:rPr>
          <w:rFonts w:ascii="Verdana" w:hAnsi="Verdana"/>
          <w:bCs/>
          <w:sz w:val="20"/>
        </w:rPr>
        <w:t>Bursatilizado</w:t>
      </w:r>
      <w:proofErr w:type="spellEnd"/>
      <w:r w:rsidRPr="00CA63EE">
        <w:rPr>
          <w:rFonts w:ascii="Verdana" w:hAnsi="Verdana"/>
          <w:bCs/>
          <w:sz w:val="20"/>
        </w:rPr>
        <w:t>, como porcentaje del monto emitido, igual o superior a los valores mostrados en la siguiente tabla. El valor del Aforo o capital retenido por el originador señalado en este numeral también computará dentro del total requerido en el numeral anterior:</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48"/>
        <w:gridCol w:w="958"/>
        <w:gridCol w:w="957"/>
        <w:gridCol w:w="958"/>
        <w:gridCol w:w="959"/>
        <w:gridCol w:w="959"/>
        <w:gridCol w:w="959"/>
        <w:gridCol w:w="958"/>
        <w:gridCol w:w="956"/>
      </w:tblGrid>
      <w:tr w:rsidR="00CA63EE" w:rsidRPr="00CA63EE" w:rsidTr="00CA63EE">
        <w:trPr>
          <w:trHeight w:val="496"/>
        </w:trPr>
        <w:tc>
          <w:tcPr>
            <w:tcW w:w="1048" w:type="dxa"/>
            <w:tcBorders>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 </w:t>
            </w:r>
          </w:p>
        </w:tc>
        <w:tc>
          <w:tcPr>
            <w:tcW w:w="7664" w:type="dxa"/>
            <w:gridSpan w:val="8"/>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Valor del crédito / Valor de la garantía</w:t>
            </w:r>
          </w:p>
        </w:tc>
      </w:tr>
      <w:tr w:rsidR="00CA63EE" w:rsidRPr="00CA63EE" w:rsidTr="00CA63EE">
        <w:trPr>
          <w:trHeight w:val="481"/>
        </w:trPr>
        <w:tc>
          <w:tcPr>
            <w:tcW w:w="104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SCV*</w:t>
            </w:r>
          </w:p>
        </w:tc>
        <w:tc>
          <w:tcPr>
            <w:tcW w:w="95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95%</w:t>
            </w:r>
          </w:p>
        </w:tc>
        <w:tc>
          <w:tcPr>
            <w:tcW w:w="957"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90%</w:t>
            </w:r>
          </w:p>
        </w:tc>
        <w:tc>
          <w:tcPr>
            <w:tcW w:w="95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85%</w:t>
            </w:r>
          </w:p>
        </w:tc>
        <w:tc>
          <w:tcPr>
            <w:tcW w:w="959"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80%</w:t>
            </w:r>
          </w:p>
        </w:tc>
        <w:tc>
          <w:tcPr>
            <w:tcW w:w="959"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75%</w:t>
            </w:r>
          </w:p>
        </w:tc>
        <w:tc>
          <w:tcPr>
            <w:tcW w:w="959"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70%</w:t>
            </w:r>
          </w:p>
        </w:tc>
        <w:tc>
          <w:tcPr>
            <w:tcW w:w="95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60%</w:t>
            </w:r>
          </w:p>
        </w:tc>
        <w:tc>
          <w:tcPr>
            <w:tcW w:w="956"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50%</w:t>
            </w:r>
          </w:p>
        </w:tc>
      </w:tr>
      <w:tr w:rsidR="00CA63EE" w:rsidRPr="00CA63EE" w:rsidTr="00CA63EE">
        <w:trPr>
          <w:trHeight w:val="496"/>
        </w:trPr>
        <w:tc>
          <w:tcPr>
            <w:tcW w:w="1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
                <w:bCs/>
                <w:sz w:val="20"/>
              </w:rPr>
              <w:t>0%</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7.22%</w:t>
            </w:r>
          </w:p>
        </w:tc>
        <w:tc>
          <w:tcPr>
            <w:tcW w:w="9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5.75%</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3.43%</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2.71%</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2.16%</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1.67%</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0.74%</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A63EE" w:rsidRPr="00CA63EE" w:rsidRDefault="00CA63EE" w:rsidP="00CA63EE">
            <w:pPr>
              <w:jc w:val="both"/>
              <w:rPr>
                <w:rFonts w:ascii="Verdana" w:hAnsi="Verdana"/>
                <w:bCs/>
                <w:sz w:val="20"/>
              </w:rPr>
            </w:pPr>
            <w:r w:rsidRPr="00CA63EE">
              <w:rPr>
                <w:rFonts w:ascii="Verdana" w:hAnsi="Verdana"/>
                <w:bCs/>
                <w:sz w:val="20"/>
              </w:rPr>
              <w:t>0.06%</w:t>
            </w:r>
          </w:p>
        </w:tc>
      </w:tr>
    </w:tbl>
    <w:p w:rsidR="00CA63EE" w:rsidRPr="00CA63EE" w:rsidRDefault="00CA63EE" w:rsidP="00CA63EE">
      <w:pPr>
        <w:jc w:val="both"/>
        <w:rPr>
          <w:rFonts w:ascii="Verdana" w:hAnsi="Verdana"/>
          <w:bCs/>
          <w:sz w:val="20"/>
        </w:rPr>
      </w:pPr>
      <w:r w:rsidRPr="00CA63EE">
        <w:rPr>
          <w:rFonts w:ascii="Verdana" w:hAnsi="Verdana"/>
          <w:bCs/>
          <w:sz w:val="20"/>
        </w:rPr>
        <w:t>*SCV: Seguro de crédito a la vivienda.</w:t>
      </w:r>
    </w:p>
    <w:p w:rsidR="00CA63EE" w:rsidRPr="00CA63EE" w:rsidRDefault="00CA63EE" w:rsidP="00CA63EE">
      <w:pPr>
        <w:jc w:val="both"/>
        <w:rPr>
          <w:rFonts w:ascii="Verdana" w:hAnsi="Verdana"/>
          <w:b/>
          <w:bCs/>
          <w:sz w:val="20"/>
        </w:rPr>
      </w:pPr>
      <w:r w:rsidRPr="00CA63EE">
        <w:rPr>
          <w:rFonts w:ascii="Verdana" w:hAnsi="Verdana"/>
          <w:b/>
          <w:bCs/>
          <w:sz w:val="20"/>
        </w:rPr>
        <w:t>ANEXO S</w:t>
      </w:r>
    </w:p>
    <w:p w:rsidR="00CA63EE" w:rsidRPr="00CA63EE" w:rsidRDefault="00CA63EE" w:rsidP="00CA63EE">
      <w:pPr>
        <w:jc w:val="both"/>
        <w:rPr>
          <w:rFonts w:ascii="Verdana" w:hAnsi="Verdana"/>
          <w:bCs/>
          <w:sz w:val="20"/>
        </w:rPr>
      </w:pPr>
      <w:r w:rsidRPr="00CA63EE">
        <w:rPr>
          <w:rFonts w:ascii="Verdana" w:hAnsi="Verdana"/>
          <w:b/>
          <w:bCs/>
          <w:sz w:val="20"/>
        </w:rPr>
        <w:t>Lineamientos aplicables a los expertos independientes dedicados a evaluar y dictaminar Vehículos de</w:t>
      </w:r>
      <w:r w:rsidRPr="00CA63EE">
        <w:rPr>
          <w:rFonts w:ascii="Verdana" w:hAnsi="Verdana"/>
          <w:bCs/>
          <w:sz w:val="20"/>
        </w:rPr>
        <w:br/>
      </w:r>
      <w:r w:rsidRPr="00CA63EE">
        <w:rPr>
          <w:rFonts w:ascii="Verdana" w:hAnsi="Verdana"/>
          <w:b/>
          <w:bCs/>
          <w:sz w:val="20"/>
        </w:rPr>
        <w:t>deuda, de Componentes de Renta Variable, de Vehículos de Inversión Inmobiliaria y de FIBRAS,</w:t>
      </w:r>
      <w:r w:rsidRPr="00CA63EE">
        <w:rPr>
          <w:rFonts w:ascii="Verdana" w:hAnsi="Verdana"/>
          <w:bCs/>
          <w:sz w:val="20"/>
        </w:rPr>
        <w:br/>
      </w:r>
      <w:r w:rsidRPr="00CA63EE">
        <w:rPr>
          <w:rFonts w:ascii="Verdana" w:hAnsi="Verdana"/>
          <w:b/>
          <w:bCs/>
          <w:sz w:val="20"/>
        </w:rPr>
        <w:t xml:space="preserve">Índices Accionarios de Países Elegibles para Inversiones, Índices </w:t>
      </w:r>
      <w:r w:rsidRPr="00CA63EE">
        <w:rPr>
          <w:rFonts w:ascii="Verdana" w:hAnsi="Verdana"/>
          <w:b/>
          <w:bCs/>
          <w:sz w:val="20"/>
        </w:rPr>
        <w:lastRenderedPageBreak/>
        <w:t>Inmobiliarios de Países Elegibles</w:t>
      </w:r>
      <w:r w:rsidRPr="00CA63EE">
        <w:rPr>
          <w:rFonts w:ascii="Verdana" w:hAnsi="Verdana"/>
          <w:bCs/>
          <w:sz w:val="20"/>
        </w:rPr>
        <w:br/>
      </w:r>
      <w:r w:rsidRPr="00CA63EE">
        <w:rPr>
          <w:rFonts w:ascii="Verdana" w:hAnsi="Verdana"/>
          <w:b/>
          <w:bCs/>
          <w:sz w:val="20"/>
        </w:rPr>
        <w:t>para Inversiones e Índices de Deuda de Países Elegibles para Inversiones</w:t>
      </w:r>
    </w:p>
    <w:p w:rsidR="00CA63EE" w:rsidRPr="00CA63EE" w:rsidRDefault="00CA63EE" w:rsidP="00CA63EE">
      <w:pPr>
        <w:jc w:val="both"/>
        <w:rPr>
          <w:rFonts w:ascii="Verdana" w:hAnsi="Verdana"/>
          <w:bCs/>
          <w:sz w:val="20"/>
        </w:rPr>
      </w:pPr>
      <w:r w:rsidRPr="00CA63EE">
        <w:rPr>
          <w:rFonts w:ascii="Verdana" w:hAnsi="Verdana"/>
          <w:b/>
          <w:bCs/>
          <w:sz w:val="20"/>
          <w:u w:val="single"/>
        </w:rPr>
        <w:t>I. De la elegibilidad del experto independiente</w:t>
      </w:r>
    </w:p>
    <w:p w:rsidR="00CA63EE" w:rsidRPr="00CA63EE" w:rsidRDefault="00CA63EE" w:rsidP="00CA63EE">
      <w:pPr>
        <w:jc w:val="both"/>
        <w:rPr>
          <w:rFonts w:ascii="Verdana" w:hAnsi="Verdana"/>
          <w:bCs/>
          <w:sz w:val="20"/>
        </w:rPr>
      </w:pPr>
      <w:r w:rsidRPr="00CA63EE">
        <w:rPr>
          <w:rFonts w:ascii="Verdana" w:hAnsi="Verdana"/>
          <w:bCs/>
          <w:sz w:val="20"/>
        </w:rPr>
        <w:t>En caso de que el experto sea una sociedad:</w:t>
      </w:r>
    </w:p>
    <w:p w:rsidR="00CA63EE" w:rsidRPr="00CA63EE" w:rsidRDefault="00CA63EE" w:rsidP="00CA63EE">
      <w:pPr>
        <w:jc w:val="both"/>
        <w:rPr>
          <w:rFonts w:ascii="Verdana" w:hAnsi="Verdana"/>
          <w:bCs/>
          <w:sz w:val="20"/>
        </w:rPr>
      </w:pPr>
      <w:r w:rsidRPr="00CA63EE">
        <w:rPr>
          <w:rFonts w:ascii="Verdana" w:hAnsi="Verdana"/>
          <w:bCs/>
          <w:sz w:val="20"/>
          <w:u w:val="single"/>
        </w:rPr>
        <w:t>1. Experiencia</w:t>
      </w:r>
    </w:p>
    <w:p w:rsidR="00CA63EE" w:rsidRPr="00CA63EE" w:rsidRDefault="00CA63EE" w:rsidP="00CA63EE">
      <w:pPr>
        <w:jc w:val="both"/>
        <w:rPr>
          <w:rFonts w:ascii="Verdana" w:hAnsi="Verdana"/>
          <w:bCs/>
          <w:sz w:val="20"/>
        </w:rPr>
      </w:pPr>
      <w:r w:rsidRPr="00CA63EE">
        <w:rPr>
          <w:rFonts w:ascii="Verdana" w:hAnsi="Verdana"/>
          <w:bCs/>
          <w:sz w:val="20"/>
        </w:rPr>
        <w:t>a)   Deberá estar constituido de conformidad con la regulación de algún País Elegible para Inversiones.</w:t>
      </w:r>
    </w:p>
    <w:p w:rsidR="00CA63EE" w:rsidRPr="00CA63EE" w:rsidRDefault="00CA63EE" w:rsidP="00CA63EE">
      <w:pPr>
        <w:jc w:val="both"/>
        <w:rPr>
          <w:rFonts w:ascii="Verdana" w:hAnsi="Verdana"/>
          <w:bCs/>
          <w:sz w:val="20"/>
        </w:rPr>
      </w:pPr>
      <w:r w:rsidRPr="00CA63EE">
        <w:rPr>
          <w:rFonts w:ascii="Verdana" w:hAnsi="Verdana"/>
          <w:bCs/>
          <w:sz w:val="20"/>
        </w:rPr>
        <w:t>b)   Deberá gozar de reconocido prestigio internacional y tener experiencia probada, de al menos cinco años de la sociedad y tres años de los funcionarios, en actividades que comprendan la evaluación o la emisión de dictámenes sobre el cumplimiento regulatorio de índices o Vehículos de inversión, tales como: Fondos Mutuos, fondos de pensiones, Vehículos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entre otros.</w:t>
      </w:r>
    </w:p>
    <w:p w:rsidR="00CA63EE" w:rsidRPr="00CA63EE" w:rsidRDefault="00CA63EE" w:rsidP="00CA63EE">
      <w:pPr>
        <w:jc w:val="both"/>
        <w:rPr>
          <w:rFonts w:ascii="Verdana" w:hAnsi="Verdana"/>
          <w:bCs/>
          <w:sz w:val="20"/>
        </w:rPr>
      </w:pPr>
      <w:r w:rsidRPr="00CA63EE">
        <w:rPr>
          <w:rFonts w:ascii="Verdana" w:hAnsi="Verdana"/>
          <w:bCs/>
          <w:sz w:val="20"/>
          <w:u w:val="single"/>
        </w:rPr>
        <w:t>2. Conflictos de interés</w:t>
      </w:r>
    </w:p>
    <w:p w:rsidR="00CA63EE" w:rsidRPr="00CA63EE" w:rsidRDefault="00CA63EE" w:rsidP="00CA63EE">
      <w:pPr>
        <w:jc w:val="both"/>
        <w:rPr>
          <w:rFonts w:ascii="Verdana" w:hAnsi="Verdana"/>
          <w:bCs/>
          <w:sz w:val="20"/>
        </w:rPr>
      </w:pPr>
      <w:r w:rsidRPr="00CA63EE">
        <w:rPr>
          <w:rFonts w:ascii="Verdana" w:hAnsi="Verdana"/>
          <w:bCs/>
          <w:sz w:val="20"/>
        </w:rPr>
        <w:t>a)   El experto independiente deberá contar con políticas para detectar, evitar y resolver conflictos de interés reales y potenciales en que pueda incurrir al prestar servicios a las Sociedades de Inversión.</w:t>
      </w:r>
    </w:p>
    <w:p w:rsidR="00CA63EE" w:rsidRPr="00CA63EE" w:rsidRDefault="00CA63EE" w:rsidP="00CA63EE">
      <w:pPr>
        <w:jc w:val="both"/>
        <w:rPr>
          <w:rFonts w:ascii="Verdana" w:hAnsi="Verdana"/>
          <w:bCs/>
          <w:sz w:val="20"/>
        </w:rPr>
      </w:pPr>
      <w:r w:rsidRPr="00CA63EE">
        <w:rPr>
          <w:rFonts w:ascii="Verdana" w:hAnsi="Verdana"/>
          <w:bCs/>
          <w:sz w:val="20"/>
        </w:rPr>
        <w:t>b)   El experto independiente no deberá tener Nexo Patrimonial o ser Sociedad Relacionada Entre Sí con alguna Administradora.</w:t>
      </w:r>
    </w:p>
    <w:p w:rsidR="00CA63EE" w:rsidRPr="00CA63EE" w:rsidRDefault="00CA63EE" w:rsidP="00CA63EE">
      <w:pPr>
        <w:jc w:val="both"/>
        <w:rPr>
          <w:rFonts w:ascii="Verdana" w:hAnsi="Verdana"/>
          <w:bCs/>
          <w:sz w:val="20"/>
        </w:rPr>
      </w:pPr>
      <w:r w:rsidRPr="00CA63EE">
        <w:rPr>
          <w:rFonts w:ascii="Verdana" w:hAnsi="Verdana"/>
          <w:bCs/>
          <w:sz w:val="20"/>
        </w:rPr>
        <w:t>c)   El experto deberá contar con un código de ética al que deberán apegarse los funcionarios involucrados en la evaluación y emisión de dictámenes de los índices y Vehículos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d)   El experto independiente deberá demostrar que sus procesos de evaluación y </w:t>
      </w:r>
      <w:proofErr w:type="spellStart"/>
      <w:r w:rsidRPr="00CA63EE">
        <w:rPr>
          <w:rFonts w:ascii="Verdana" w:hAnsi="Verdana"/>
          <w:bCs/>
          <w:sz w:val="20"/>
        </w:rPr>
        <w:t>dictaminación</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i.    Cuentan con independencia con respecto a los proveedores de índices, patrocinador, administrador y asesor de inversión de los Vehículos de inversión, Fondos Mutuos y con cualquier entidad dedicada a la gestión de recursos cuyos Vehículos sean dictaminados por dicha sociedad, y</w:t>
      </w:r>
    </w:p>
    <w:p w:rsidR="00CA63EE" w:rsidRPr="00CA63EE" w:rsidRDefault="00CA63EE" w:rsidP="00CA63EE">
      <w:pPr>
        <w:jc w:val="both"/>
        <w:rPr>
          <w:rFonts w:ascii="Verdana" w:hAnsi="Verdana"/>
          <w:bCs/>
          <w:sz w:val="20"/>
        </w:rPr>
      </w:pPr>
      <w:r w:rsidRPr="00CA63EE">
        <w:rPr>
          <w:rFonts w:ascii="Verdana" w:hAnsi="Verdana"/>
          <w:bCs/>
          <w:sz w:val="20"/>
        </w:rPr>
        <w:t>ii.    Es auditable.</w:t>
      </w:r>
    </w:p>
    <w:p w:rsidR="00CA63EE" w:rsidRPr="00CA63EE" w:rsidRDefault="00CA63EE" w:rsidP="00CA63EE">
      <w:pPr>
        <w:jc w:val="both"/>
        <w:rPr>
          <w:rFonts w:ascii="Verdana" w:hAnsi="Verdana"/>
          <w:bCs/>
          <w:sz w:val="20"/>
        </w:rPr>
      </w:pPr>
      <w:r w:rsidRPr="00CA63EE">
        <w:rPr>
          <w:rFonts w:ascii="Verdana" w:hAnsi="Verdana"/>
          <w:bCs/>
          <w:sz w:val="20"/>
        </w:rPr>
        <w:t>e)   En caso de que el experto independiente tenga nexos patrimoniales o sea sociedad relacionada del proveedor del índice o del patrocinador, administrador y asesor de inversión del Vehículo de inversión del índice o Vehículo de inversión a dictaminar, se deberá demostrar lo siguiente:</w:t>
      </w:r>
    </w:p>
    <w:p w:rsidR="00CA63EE" w:rsidRPr="00CA63EE" w:rsidRDefault="00CA63EE" w:rsidP="00CA63EE">
      <w:pPr>
        <w:jc w:val="both"/>
        <w:rPr>
          <w:rFonts w:ascii="Verdana" w:hAnsi="Verdana"/>
          <w:bCs/>
          <w:sz w:val="20"/>
        </w:rPr>
      </w:pPr>
      <w:r w:rsidRPr="00CA63EE">
        <w:rPr>
          <w:rFonts w:ascii="Verdana" w:hAnsi="Verdana"/>
          <w:bCs/>
          <w:sz w:val="20"/>
        </w:rPr>
        <w:t>i.    Que existe separación operativa entre las actividades relacionadas con el estudio, análisis, opinión, evaluación y dictamen del índice o Vehículo de inversión, de las demás áreas de negocio o comercial, tales como: áreas de promoción y venta de Vehículos a dictaminar, en las que pudiera presentarse un conflicto de interés.</w:t>
      </w:r>
    </w:p>
    <w:p w:rsidR="00CA63EE" w:rsidRPr="00CA63EE" w:rsidRDefault="00CA63EE" w:rsidP="00CA63EE">
      <w:pPr>
        <w:jc w:val="both"/>
        <w:rPr>
          <w:rFonts w:ascii="Verdana" w:hAnsi="Verdana"/>
          <w:bCs/>
          <w:sz w:val="20"/>
        </w:rPr>
      </w:pPr>
      <w:r w:rsidRPr="00CA63EE">
        <w:rPr>
          <w:rFonts w:ascii="Verdana" w:hAnsi="Verdana"/>
          <w:bCs/>
          <w:sz w:val="20"/>
        </w:rPr>
        <w:lastRenderedPageBreak/>
        <w:t>ii.    Que cuenta con políticas y procedimientos que incluyan las líneas de reporte, supervisión y estructuras de remuneración entre las diversas áreas de la sociedad, los cuales deberán estar diseñados para eliminar posibles conflictos de interés.</w:t>
      </w:r>
    </w:p>
    <w:p w:rsidR="00CA63EE" w:rsidRPr="00CA63EE" w:rsidRDefault="00CA63EE" w:rsidP="00CA63EE">
      <w:pPr>
        <w:jc w:val="both"/>
        <w:rPr>
          <w:rFonts w:ascii="Verdana" w:hAnsi="Verdana"/>
          <w:bCs/>
          <w:sz w:val="20"/>
        </w:rPr>
      </w:pPr>
      <w:r w:rsidRPr="00CA63EE">
        <w:rPr>
          <w:rFonts w:ascii="Verdana" w:hAnsi="Verdana"/>
          <w:bCs/>
          <w:sz w:val="20"/>
          <w:u w:val="single"/>
        </w:rPr>
        <w:t>3. Gobierno corporativo de la sociedad</w:t>
      </w:r>
    </w:p>
    <w:p w:rsidR="00CA63EE" w:rsidRPr="00CA63EE" w:rsidRDefault="00CA63EE" w:rsidP="00CA63EE">
      <w:pPr>
        <w:jc w:val="both"/>
        <w:rPr>
          <w:rFonts w:ascii="Verdana" w:hAnsi="Verdana"/>
          <w:bCs/>
          <w:sz w:val="20"/>
        </w:rPr>
      </w:pPr>
      <w:r w:rsidRPr="00CA63EE">
        <w:rPr>
          <w:rFonts w:ascii="Verdana" w:hAnsi="Verdana"/>
          <w:bCs/>
          <w:sz w:val="20"/>
        </w:rPr>
        <w:t>a)   Tener políticas claras y robustas en cuanto al proceso de dictamen y evaluación de los índices y Vehículos de inversión. Dichas políticas deberán estar a disposición de las Administradoras a las que les dé servicio. La Comisión podrá requerir dichas políticas a las Administradoras en cualquier momento.</w:t>
      </w:r>
    </w:p>
    <w:p w:rsidR="00CA63EE" w:rsidRPr="00CA63EE" w:rsidRDefault="00CA63EE" w:rsidP="00CA63EE">
      <w:pPr>
        <w:jc w:val="both"/>
        <w:rPr>
          <w:rFonts w:ascii="Verdana" w:hAnsi="Verdana"/>
          <w:bCs/>
          <w:sz w:val="20"/>
        </w:rPr>
      </w:pPr>
      <w:r w:rsidRPr="00CA63EE">
        <w:rPr>
          <w:rFonts w:ascii="Verdana" w:hAnsi="Verdana"/>
          <w:bCs/>
          <w:sz w:val="20"/>
        </w:rPr>
        <w:t>b)   El experto independiente deberá de guardar en todo momento la confidencialidad de la información que las Administradoras o la Comisión le hagan llegar con ese carácter.</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t>En caso de que el experto sea una asociación:</w:t>
      </w:r>
    </w:p>
    <w:p w:rsidR="00CA63EE" w:rsidRPr="00CA63EE" w:rsidRDefault="00CA63EE" w:rsidP="00CA63EE">
      <w:pPr>
        <w:jc w:val="both"/>
        <w:rPr>
          <w:rFonts w:ascii="Verdana" w:hAnsi="Verdana"/>
          <w:bCs/>
          <w:sz w:val="20"/>
        </w:rPr>
      </w:pPr>
      <w:r w:rsidRPr="00CA63EE">
        <w:rPr>
          <w:rFonts w:ascii="Verdana" w:hAnsi="Verdana"/>
          <w:bCs/>
          <w:sz w:val="20"/>
          <w:u w:val="single"/>
        </w:rPr>
        <w:t>1. Experiencia</w:t>
      </w:r>
    </w:p>
    <w:p w:rsidR="00CA63EE" w:rsidRPr="00CA63EE" w:rsidRDefault="00CA63EE" w:rsidP="00CA63EE">
      <w:pPr>
        <w:jc w:val="both"/>
        <w:rPr>
          <w:rFonts w:ascii="Verdana" w:hAnsi="Verdana"/>
          <w:bCs/>
          <w:sz w:val="20"/>
        </w:rPr>
      </w:pPr>
      <w:r w:rsidRPr="00CA63EE">
        <w:rPr>
          <w:rFonts w:ascii="Verdana" w:hAnsi="Verdana"/>
          <w:bCs/>
          <w:sz w:val="20"/>
        </w:rPr>
        <w:t>a)   Deberá estar constituido de conformidad con la regulación de algún País Elegible para Inversiones.</w:t>
      </w:r>
    </w:p>
    <w:p w:rsidR="00CA63EE" w:rsidRPr="00CA63EE" w:rsidRDefault="00CA63EE" w:rsidP="00CA63EE">
      <w:pPr>
        <w:jc w:val="both"/>
        <w:rPr>
          <w:rFonts w:ascii="Verdana" w:hAnsi="Verdana"/>
          <w:bCs/>
          <w:sz w:val="20"/>
        </w:rPr>
      </w:pPr>
      <w:r w:rsidRPr="00CA63EE">
        <w:rPr>
          <w:rFonts w:ascii="Verdana" w:hAnsi="Verdana"/>
          <w:bCs/>
          <w:sz w:val="20"/>
        </w:rPr>
        <w:t xml:space="preserve">b)   Deberá gozar de reconocido prestigio y tener experiencia probada, de al menos tres años de la asociación y tres años de los funcionarios, en actividades que comprendan la evaluación o la emisión de dictámenes sobre el cumplimiento regulatorio de índices o Vehículos de inversión, tales como: Fondos Mutuos, fondos de pensiones, Vehículos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entre otros.</w:t>
      </w:r>
    </w:p>
    <w:p w:rsidR="00CA63EE" w:rsidRPr="00CA63EE" w:rsidRDefault="00CA63EE" w:rsidP="00CA63EE">
      <w:pPr>
        <w:jc w:val="both"/>
        <w:rPr>
          <w:rFonts w:ascii="Verdana" w:hAnsi="Verdana"/>
          <w:bCs/>
          <w:sz w:val="20"/>
        </w:rPr>
      </w:pPr>
      <w:r w:rsidRPr="00CA63EE">
        <w:rPr>
          <w:rFonts w:ascii="Verdana" w:hAnsi="Verdana"/>
          <w:bCs/>
          <w:sz w:val="20"/>
        </w:rPr>
        <w:t>c)   Deberá contar con los servicios de asesoría de una empresa de reconocido prestigio internacional con al menos cinco años de experiencia en la prestación de servicios de evaluación o emisión de dictámenes sobre el cumplimiento regulatorio de índices o Vehículos de inversión, a fin de que provea recomendaciones respecto al proceso de evaluación de los citados índices y vehículos de inversión.</w:t>
      </w:r>
    </w:p>
    <w:p w:rsidR="00CA63EE" w:rsidRPr="00CA63EE" w:rsidRDefault="00CA63EE" w:rsidP="00CA63EE">
      <w:pPr>
        <w:jc w:val="both"/>
        <w:rPr>
          <w:rFonts w:ascii="Verdana" w:hAnsi="Verdana"/>
          <w:bCs/>
          <w:sz w:val="20"/>
        </w:rPr>
      </w:pPr>
      <w:r w:rsidRPr="00CA63EE">
        <w:rPr>
          <w:rFonts w:ascii="Verdana" w:hAnsi="Verdana"/>
          <w:bCs/>
          <w:sz w:val="20"/>
        </w:rPr>
        <w:t xml:space="preserve">d)   Deberá ser auditada de manera anual por un auditor externo de reconocido prestigio sobre el procedimiento de evaluación y emisión de dictámenes en cumplimiento a la los Criterios para la selección de índices accionarios, de deuda e inmobiliarios permitidos en el Régimen de Inversión de las SIEFORES, Criterios aplicables a los Vehículos de Inversión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y Criterios aplicables a Fondos Mutuos emitidos y aprobados por el Comité de Análisis de Riesgos. La empresa encargada de realizar la auditoria externa deberá ser una empresa de reconocido prestigio nacional o internacional.</w:t>
      </w:r>
    </w:p>
    <w:p w:rsidR="00CA63EE" w:rsidRPr="00CA63EE" w:rsidRDefault="00CA63EE" w:rsidP="00CA63EE">
      <w:pPr>
        <w:jc w:val="both"/>
        <w:rPr>
          <w:rFonts w:ascii="Verdana" w:hAnsi="Verdana"/>
          <w:bCs/>
          <w:sz w:val="20"/>
        </w:rPr>
      </w:pPr>
      <w:r w:rsidRPr="00CA63EE">
        <w:rPr>
          <w:rFonts w:ascii="Verdana" w:hAnsi="Verdana"/>
          <w:bCs/>
          <w:sz w:val="20"/>
        </w:rPr>
        <w:t>e)   Deberá contar con un Comité Técnico encargado de aprobar los dictámenes de baja, cumplimiento, inclusión y rechazo de índices y Vehículos de inversión.</w:t>
      </w:r>
    </w:p>
    <w:p w:rsidR="00CA63EE" w:rsidRPr="00CA63EE" w:rsidRDefault="00CA63EE" w:rsidP="00CA63EE">
      <w:pPr>
        <w:jc w:val="both"/>
        <w:rPr>
          <w:rFonts w:ascii="Verdana" w:hAnsi="Verdana"/>
          <w:bCs/>
          <w:sz w:val="20"/>
        </w:rPr>
      </w:pPr>
      <w:r w:rsidRPr="00CA63EE">
        <w:rPr>
          <w:rFonts w:ascii="Verdana" w:hAnsi="Verdana"/>
          <w:bCs/>
          <w:sz w:val="20"/>
          <w:u w:val="single"/>
        </w:rPr>
        <w:t>2. Conflictos de interés</w:t>
      </w:r>
    </w:p>
    <w:p w:rsidR="00CA63EE" w:rsidRPr="00CA63EE" w:rsidRDefault="00CA63EE" w:rsidP="00CA63EE">
      <w:pPr>
        <w:jc w:val="both"/>
        <w:rPr>
          <w:rFonts w:ascii="Verdana" w:hAnsi="Verdana"/>
          <w:bCs/>
          <w:sz w:val="20"/>
        </w:rPr>
      </w:pPr>
      <w:r w:rsidRPr="00CA63EE">
        <w:rPr>
          <w:rFonts w:ascii="Verdana" w:hAnsi="Verdana"/>
          <w:bCs/>
          <w:sz w:val="20"/>
        </w:rPr>
        <w:lastRenderedPageBreak/>
        <w:t>a)   El experto independiente deberá contar con políticas para detectar, evitar y resolver conflictos de interés reales y potenciales en que pueda incurrir al prestar servicios a las Sociedades de Inversión.</w:t>
      </w:r>
    </w:p>
    <w:p w:rsidR="00CA63EE" w:rsidRPr="00CA63EE" w:rsidRDefault="00CA63EE" w:rsidP="00CA63EE">
      <w:pPr>
        <w:jc w:val="both"/>
        <w:rPr>
          <w:rFonts w:ascii="Verdana" w:hAnsi="Verdana"/>
          <w:bCs/>
          <w:sz w:val="20"/>
        </w:rPr>
      </w:pPr>
      <w:r w:rsidRPr="00CA63EE">
        <w:rPr>
          <w:rFonts w:ascii="Verdana" w:hAnsi="Verdana"/>
          <w:bCs/>
          <w:sz w:val="20"/>
        </w:rPr>
        <w:t>b)   El experto deberá contar con un código de ética al que deberán apegarse los funcionarios involucrados en la evaluación y emisión de dictámenes de los índices y Vehículos de inversión, incluyendo a los miembros independientes del Comité Técnico.</w:t>
      </w:r>
    </w:p>
    <w:p w:rsidR="00CA63EE" w:rsidRPr="00CA63EE" w:rsidRDefault="00CA63EE" w:rsidP="00CA63EE">
      <w:pPr>
        <w:jc w:val="both"/>
        <w:rPr>
          <w:rFonts w:ascii="Verdana" w:hAnsi="Verdana"/>
          <w:bCs/>
          <w:sz w:val="20"/>
        </w:rPr>
      </w:pPr>
      <w:r w:rsidRPr="00CA63EE">
        <w:rPr>
          <w:rFonts w:ascii="Verdana" w:hAnsi="Verdana"/>
          <w:bCs/>
          <w:sz w:val="20"/>
        </w:rPr>
        <w:t xml:space="preserve">c)   El experto independiente deberá demostrar que sus procesos de evaluación y </w:t>
      </w:r>
      <w:proofErr w:type="spellStart"/>
      <w:r w:rsidRPr="00CA63EE">
        <w:rPr>
          <w:rFonts w:ascii="Verdana" w:hAnsi="Verdana"/>
          <w:bCs/>
          <w:sz w:val="20"/>
        </w:rPr>
        <w:t>dictaminación</w:t>
      </w:r>
      <w:proofErr w:type="spellEnd"/>
      <w:r w:rsidRPr="00CA63EE">
        <w:rPr>
          <w:rFonts w:ascii="Verdana" w:hAnsi="Verdana"/>
          <w:bCs/>
          <w:sz w:val="20"/>
        </w:rPr>
        <w:t>:</w:t>
      </w:r>
    </w:p>
    <w:p w:rsidR="00CA63EE" w:rsidRPr="00CA63EE" w:rsidRDefault="00CA63EE" w:rsidP="00CA63EE">
      <w:pPr>
        <w:jc w:val="both"/>
        <w:rPr>
          <w:rFonts w:ascii="Verdana" w:hAnsi="Verdana"/>
          <w:bCs/>
          <w:sz w:val="20"/>
        </w:rPr>
      </w:pPr>
      <w:r w:rsidRPr="00CA63EE">
        <w:rPr>
          <w:rFonts w:ascii="Verdana" w:hAnsi="Verdana"/>
          <w:bCs/>
          <w:sz w:val="20"/>
        </w:rPr>
        <w:t>i.    Cuentan con independencia con respecto a los proveedores de índices, patrocinador, administrador y asesor de inversión de los Vehículos de inversión, Fondos Mutuos y con cualquier entidad dedicada a la gestión de recursos cuyos Vehículos sean dictaminados por dicha sociedad, y son auditables.</w:t>
      </w:r>
    </w:p>
    <w:p w:rsidR="00CA63EE" w:rsidRPr="00CA63EE" w:rsidRDefault="00CA63EE" w:rsidP="00CA63EE">
      <w:pPr>
        <w:jc w:val="both"/>
        <w:rPr>
          <w:rFonts w:ascii="Verdana" w:hAnsi="Verdana"/>
          <w:bCs/>
          <w:sz w:val="20"/>
        </w:rPr>
      </w:pPr>
      <w:r w:rsidRPr="00CA63EE">
        <w:rPr>
          <w:rFonts w:ascii="Verdana" w:hAnsi="Verdana"/>
          <w:bCs/>
          <w:sz w:val="20"/>
        </w:rPr>
        <w:t>d)   En caso de que el experto independiente tenga nexos patrimoniales o sea sociedad relacionada del proveedor del índice o del patrocinador, administrador y asesor de inversión del Vehículo de inversión del índice o Vehículo de inversión a dictaminar, se deberá demostrar lo siguiente:</w:t>
      </w:r>
    </w:p>
    <w:p w:rsidR="00CA63EE" w:rsidRPr="00CA63EE" w:rsidRDefault="00CA63EE" w:rsidP="00CA63EE">
      <w:pPr>
        <w:jc w:val="both"/>
        <w:rPr>
          <w:rFonts w:ascii="Verdana" w:hAnsi="Verdana"/>
          <w:bCs/>
          <w:sz w:val="20"/>
        </w:rPr>
      </w:pPr>
      <w:r w:rsidRPr="00CA63EE">
        <w:rPr>
          <w:rFonts w:ascii="Verdana" w:hAnsi="Verdana"/>
          <w:bCs/>
          <w:sz w:val="20"/>
        </w:rPr>
        <w:t>i.    Que existe separación operativa entre las actividades relacionadas con el estudio, análisis, opinión, evaluación y dictamen del índice o Vehículo de inversión, de las demás áreas de negocio o comercial, tales como: áreas de promoción y venta de Vehículos a dictaminar, en las que pudiera presentarse un conflicto de interés.</w:t>
      </w:r>
    </w:p>
    <w:p w:rsidR="00CA63EE" w:rsidRPr="00CA63EE" w:rsidRDefault="00CA63EE" w:rsidP="00CA63EE">
      <w:pPr>
        <w:jc w:val="both"/>
        <w:rPr>
          <w:rFonts w:ascii="Verdana" w:hAnsi="Verdana"/>
          <w:bCs/>
          <w:sz w:val="20"/>
        </w:rPr>
      </w:pPr>
      <w:r w:rsidRPr="00CA63EE">
        <w:rPr>
          <w:rFonts w:ascii="Verdana" w:hAnsi="Verdana"/>
          <w:bCs/>
          <w:sz w:val="20"/>
        </w:rPr>
        <w:t>ii.    Que cuenta con políticas y procedimientos que incluyan las líneas de reporte, supervisión y estructuras de remuneración entre las diversas áreas de la sociedad, los cuales deberán estar diseñados para eliminar posibles conflictos de interés.</w:t>
      </w:r>
    </w:p>
    <w:p w:rsidR="00CA63EE" w:rsidRPr="00CA63EE" w:rsidRDefault="00CA63EE" w:rsidP="00CA63EE">
      <w:pPr>
        <w:jc w:val="both"/>
        <w:rPr>
          <w:rFonts w:ascii="Verdana" w:hAnsi="Verdana"/>
          <w:bCs/>
          <w:sz w:val="20"/>
        </w:rPr>
      </w:pPr>
      <w:r w:rsidRPr="00CA63EE">
        <w:rPr>
          <w:rFonts w:ascii="Verdana" w:hAnsi="Verdana"/>
          <w:bCs/>
          <w:sz w:val="20"/>
          <w:u w:val="single"/>
        </w:rPr>
        <w:t>3. Gobierno corporativo de la sociedad</w:t>
      </w:r>
    </w:p>
    <w:p w:rsidR="00CA63EE" w:rsidRPr="00CA63EE" w:rsidRDefault="00CA63EE" w:rsidP="00CA63EE">
      <w:pPr>
        <w:jc w:val="both"/>
        <w:rPr>
          <w:rFonts w:ascii="Verdana" w:hAnsi="Verdana"/>
          <w:bCs/>
          <w:sz w:val="20"/>
        </w:rPr>
      </w:pPr>
      <w:r w:rsidRPr="00CA63EE">
        <w:rPr>
          <w:rFonts w:ascii="Verdana" w:hAnsi="Verdana"/>
          <w:bCs/>
          <w:sz w:val="20"/>
        </w:rPr>
        <w:t>a)   Tener políticas claras y robustas en cuanto al proceso de dictamen y evaluación de los índices y Vehículos de inversión. Dichas políticas deberán estar a disposición de las Administradoras a las que les dé servicio. La Comisión podrá requerir dichas políticas a las Administradoras en cualquier momento.</w:t>
      </w:r>
    </w:p>
    <w:p w:rsidR="00CA63EE" w:rsidRPr="00CA63EE" w:rsidRDefault="00CA63EE" w:rsidP="00CA63EE">
      <w:pPr>
        <w:jc w:val="both"/>
        <w:rPr>
          <w:rFonts w:ascii="Verdana" w:hAnsi="Verdana"/>
          <w:bCs/>
          <w:sz w:val="20"/>
        </w:rPr>
      </w:pPr>
      <w:r w:rsidRPr="00CA63EE">
        <w:rPr>
          <w:rFonts w:ascii="Verdana" w:hAnsi="Verdana"/>
          <w:bCs/>
          <w:sz w:val="20"/>
        </w:rPr>
        <w:t>b)   El experto independiente deberá de guardar en todo momento la confidencialidad de la información que las Administradoras o la Comisión le hagan llegar con ese carácter.</w:t>
      </w:r>
    </w:p>
    <w:p w:rsidR="00CA63EE" w:rsidRPr="00CA63EE" w:rsidRDefault="00CA63EE" w:rsidP="00CA63EE">
      <w:pPr>
        <w:jc w:val="both"/>
        <w:rPr>
          <w:rFonts w:ascii="Verdana" w:hAnsi="Verdana"/>
          <w:bCs/>
          <w:sz w:val="20"/>
        </w:rPr>
      </w:pPr>
      <w:r w:rsidRPr="00CA63EE">
        <w:rPr>
          <w:rFonts w:ascii="Verdana" w:hAnsi="Verdana"/>
          <w:b/>
          <w:bCs/>
          <w:sz w:val="20"/>
          <w:u w:val="single"/>
        </w:rPr>
        <w:t>II. De las funciones que deberá desempeñar el experto independiente</w:t>
      </w:r>
    </w:p>
    <w:p w:rsidR="00CA63EE" w:rsidRPr="00CA63EE" w:rsidRDefault="00CA63EE" w:rsidP="00CA63EE">
      <w:pPr>
        <w:jc w:val="both"/>
        <w:rPr>
          <w:rFonts w:ascii="Verdana" w:hAnsi="Verdana"/>
          <w:bCs/>
          <w:sz w:val="20"/>
        </w:rPr>
      </w:pPr>
      <w:r w:rsidRPr="00CA63EE">
        <w:rPr>
          <w:rFonts w:ascii="Verdana" w:hAnsi="Verdana"/>
          <w:bCs/>
          <w:sz w:val="20"/>
        </w:rPr>
        <w:t xml:space="preserve">1.     Evaluar y dar seguimiento de forma periódica al cumplimiento de los Criterios para la selección de índices accionarios, de deuda e inmobiliarios permitidos en el Régimen de Inversión de las SIEFORES, Criterios aplicables a los Vehículos de Inversión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xml:space="preserve">) y Criterios aplicables a Fondos Mutuos emitidos y aprobados por el Comité de Análisis de Riesgos, con base en </w:t>
      </w:r>
      <w:r w:rsidRPr="00CA63EE">
        <w:rPr>
          <w:rFonts w:ascii="Verdana" w:hAnsi="Verdana"/>
          <w:bCs/>
          <w:sz w:val="20"/>
        </w:rPr>
        <w:lastRenderedPageBreak/>
        <w:t xml:space="preserve">la información pública disponible, así como aquella provista por </w:t>
      </w:r>
      <w:proofErr w:type="spellStart"/>
      <w:r w:rsidRPr="00CA63EE">
        <w:rPr>
          <w:rFonts w:ascii="Verdana" w:hAnsi="Verdana"/>
          <w:bCs/>
          <w:sz w:val="20"/>
        </w:rPr>
        <w:t>losproveedores</w:t>
      </w:r>
      <w:proofErr w:type="spellEnd"/>
      <w:r w:rsidRPr="00CA63EE">
        <w:rPr>
          <w:rFonts w:ascii="Verdana" w:hAnsi="Verdana"/>
          <w:bCs/>
          <w:sz w:val="20"/>
        </w:rPr>
        <w:t xml:space="preserve"> de índices y patrocinadores de Vehículos de inversión, para lo cual deberá:</w:t>
      </w:r>
    </w:p>
    <w:p w:rsidR="00CA63EE" w:rsidRPr="00CA63EE" w:rsidRDefault="00CA63EE" w:rsidP="00CA63EE">
      <w:pPr>
        <w:jc w:val="both"/>
        <w:rPr>
          <w:rFonts w:ascii="Verdana" w:hAnsi="Verdana"/>
          <w:bCs/>
          <w:sz w:val="20"/>
        </w:rPr>
      </w:pPr>
      <w:r w:rsidRPr="00CA63EE">
        <w:rPr>
          <w:rFonts w:ascii="Verdana" w:hAnsi="Verdana"/>
          <w:bCs/>
          <w:sz w:val="20"/>
        </w:rPr>
        <w:t>a)   Cotejar, al menos en la revisión inicial, los documentos de carácter público, tales como prospectos, folletos y reportes periódicos requeridos por la entidad reguladora aplicable, con la información provista por los proveedores de índices y patrocinadores de Vehículos de inversión.</w:t>
      </w:r>
    </w:p>
    <w:p w:rsidR="00CA63EE" w:rsidRPr="00CA63EE" w:rsidRDefault="00CA63EE" w:rsidP="00CA63EE">
      <w:pPr>
        <w:jc w:val="both"/>
        <w:rPr>
          <w:rFonts w:ascii="Verdana" w:hAnsi="Verdana"/>
          <w:bCs/>
          <w:sz w:val="20"/>
        </w:rPr>
      </w:pPr>
      <w:r w:rsidRPr="00CA63EE">
        <w:rPr>
          <w:rFonts w:ascii="Verdana" w:hAnsi="Verdana"/>
          <w:bCs/>
          <w:sz w:val="20"/>
        </w:rPr>
        <w:t>b)   Contar con políticas y procedimientos para llevar a cabo las funciones para las que fue contratado. Como parte de dichas políticas, el experto independiente deberá establecer planes de contingencia para el caso de fallas técnicas en sus sistemas de información, así como</w:t>
      </w:r>
    </w:p>
    <w:p w:rsidR="00CA63EE" w:rsidRPr="00CA63EE" w:rsidRDefault="00CA63EE" w:rsidP="00CA63EE">
      <w:pPr>
        <w:jc w:val="both"/>
        <w:rPr>
          <w:rFonts w:ascii="Verdana" w:hAnsi="Verdana"/>
          <w:bCs/>
          <w:sz w:val="20"/>
        </w:rPr>
      </w:pPr>
      <w:proofErr w:type="gramStart"/>
      <w:r w:rsidRPr="00CA63EE">
        <w:rPr>
          <w:rFonts w:ascii="Verdana" w:hAnsi="Verdana"/>
          <w:bCs/>
          <w:sz w:val="20"/>
        </w:rPr>
        <w:t>políticas</w:t>
      </w:r>
      <w:proofErr w:type="gramEnd"/>
      <w:r w:rsidRPr="00CA63EE">
        <w:rPr>
          <w:rFonts w:ascii="Verdana" w:hAnsi="Verdana"/>
          <w:bCs/>
          <w:sz w:val="20"/>
        </w:rPr>
        <w:t xml:space="preserve"> de respaldo y continuidad en el servicio, Dichas políticas y procedimientos deberán transparentarse a las Administradoras a las que les dé servicio.</w:t>
      </w:r>
    </w:p>
    <w:p w:rsidR="00CA63EE" w:rsidRPr="00CA63EE" w:rsidRDefault="00CA63EE" w:rsidP="00CA63EE">
      <w:pPr>
        <w:jc w:val="both"/>
        <w:rPr>
          <w:rFonts w:ascii="Verdana" w:hAnsi="Verdana"/>
          <w:bCs/>
          <w:sz w:val="20"/>
        </w:rPr>
      </w:pPr>
      <w:r w:rsidRPr="00CA63EE">
        <w:rPr>
          <w:rFonts w:ascii="Verdana" w:hAnsi="Verdana"/>
          <w:bCs/>
          <w:sz w:val="20"/>
        </w:rPr>
        <w:t xml:space="preserve">c)   En caso que el Comité de Análisis de Riesgos modifique los Criterios para la selección de índices accionarios, de deuda e inmobiliarios permitidos en el Régimen de Inversión de las SIEFORES, Criterios aplicables a los Vehículos de Inversión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xml:space="preserve">), y Criterios aplicables a Fondos Mutuos, se deberá contar con políticas y procedimientos para evaluar nuevamente y dar seguimiento a los índices y Vehículos </w:t>
      </w:r>
      <w:proofErr w:type="spellStart"/>
      <w:r w:rsidRPr="00CA63EE">
        <w:rPr>
          <w:rFonts w:ascii="Verdana" w:hAnsi="Verdana"/>
          <w:bCs/>
          <w:sz w:val="20"/>
        </w:rPr>
        <w:t>deinversión</w:t>
      </w:r>
      <w:proofErr w:type="spellEnd"/>
      <w:r w:rsidRPr="00CA63EE">
        <w:rPr>
          <w:rFonts w:ascii="Verdana" w:hAnsi="Verdana"/>
          <w:bCs/>
          <w:sz w:val="20"/>
        </w:rPr>
        <w:t xml:space="preserve"> autorizados. En su caso, la Comisión informará dichas modificaciones con antelación a la entrada en vigor de dichos cambios.</w:t>
      </w:r>
    </w:p>
    <w:p w:rsidR="00CA63EE" w:rsidRPr="00CA63EE" w:rsidRDefault="00CA63EE" w:rsidP="00CA63EE">
      <w:pPr>
        <w:jc w:val="both"/>
        <w:rPr>
          <w:rFonts w:ascii="Verdana" w:hAnsi="Verdana"/>
          <w:bCs/>
          <w:sz w:val="20"/>
        </w:rPr>
      </w:pPr>
      <w:r w:rsidRPr="00CA63EE">
        <w:rPr>
          <w:rFonts w:ascii="Verdana" w:hAnsi="Verdana"/>
          <w:bCs/>
          <w:sz w:val="20"/>
        </w:rPr>
        <w:t xml:space="preserve">d)   En caso que la metodología del índice, o bien, el prospecto, folleto o cualquier otro documento legal del Vehículo de inversión, presentaran algún cambio, se deberá evaluar nuevamente el cumplimiento de los Criterios para la selección de índices accionarios, de deuda e inmobiliarios permitidos en el Régimen de Inversión de las SIEFORES, Criterios aplicables a los Vehículos de Inversión conocidos como </w:t>
      </w:r>
      <w:proofErr w:type="spellStart"/>
      <w:r w:rsidRPr="00CA63EE">
        <w:rPr>
          <w:rFonts w:ascii="Verdana" w:hAnsi="Verdana"/>
          <w:bCs/>
          <w:sz w:val="20"/>
        </w:rPr>
        <w:t>ETFs</w:t>
      </w:r>
      <w:proofErr w:type="spellEnd"/>
      <w:r w:rsidRPr="00CA63EE">
        <w:rPr>
          <w:rFonts w:ascii="Verdana" w:hAnsi="Verdana"/>
          <w:bCs/>
          <w:sz w:val="20"/>
        </w:rPr>
        <w:t xml:space="preserve"> (Exchange </w:t>
      </w:r>
      <w:proofErr w:type="spellStart"/>
      <w:r w:rsidRPr="00CA63EE">
        <w:rPr>
          <w:rFonts w:ascii="Verdana" w:hAnsi="Verdana"/>
          <w:bCs/>
          <w:sz w:val="20"/>
        </w:rPr>
        <w:t>Traded</w:t>
      </w:r>
      <w:proofErr w:type="spellEnd"/>
      <w:r w:rsidRPr="00CA63EE">
        <w:rPr>
          <w:rFonts w:ascii="Verdana" w:hAnsi="Verdana"/>
          <w:bCs/>
          <w:sz w:val="20"/>
        </w:rPr>
        <w:t xml:space="preserve"> </w:t>
      </w:r>
      <w:proofErr w:type="spellStart"/>
      <w:r w:rsidRPr="00CA63EE">
        <w:rPr>
          <w:rFonts w:ascii="Verdana" w:hAnsi="Verdana"/>
          <w:bCs/>
          <w:sz w:val="20"/>
        </w:rPr>
        <w:t>Funds</w:t>
      </w:r>
      <w:proofErr w:type="spellEnd"/>
      <w:r w:rsidRPr="00CA63EE">
        <w:rPr>
          <w:rFonts w:ascii="Verdana" w:hAnsi="Verdana"/>
          <w:bCs/>
          <w:sz w:val="20"/>
        </w:rPr>
        <w:t>) y Criterios aplicables a Fondos Mutuos. El experto independiente podrá evaluar únicamente lo concerniente a las modificaciones realizadas.</w:t>
      </w:r>
    </w:p>
    <w:p w:rsidR="00CA63EE" w:rsidRPr="00CA63EE" w:rsidRDefault="00CA63EE" w:rsidP="00CA63EE">
      <w:pPr>
        <w:jc w:val="both"/>
        <w:rPr>
          <w:rFonts w:ascii="Verdana" w:hAnsi="Verdana"/>
          <w:bCs/>
          <w:sz w:val="20"/>
        </w:rPr>
      </w:pPr>
      <w:r w:rsidRPr="00CA63EE">
        <w:rPr>
          <w:rFonts w:ascii="Verdana" w:hAnsi="Verdana"/>
          <w:bCs/>
          <w:sz w:val="20"/>
        </w:rPr>
        <w:t>2.     El experto independiente no deberá emitir opinión, juicio de valor o recomendación de inversión sobre los índices o Vehículos de inversión evaluados.</w:t>
      </w:r>
    </w:p>
    <w:p w:rsidR="00CA63EE" w:rsidRPr="00CA63EE" w:rsidRDefault="00CA63EE" w:rsidP="00CA63EE">
      <w:pPr>
        <w:jc w:val="both"/>
        <w:rPr>
          <w:rFonts w:ascii="Verdana" w:hAnsi="Verdana"/>
          <w:bCs/>
          <w:sz w:val="20"/>
        </w:rPr>
      </w:pPr>
      <w:r w:rsidRPr="00CA63EE">
        <w:rPr>
          <w:rFonts w:ascii="Verdana" w:hAnsi="Verdana"/>
          <w:b/>
          <w:bCs/>
          <w:sz w:val="20"/>
          <w:u w:val="single"/>
        </w:rPr>
        <w:t xml:space="preserve">III. De la información y </w:t>
      </w:r>
      <w:proofErr w:type="spellStart"/>
      <w:r w:rsidRPr="00CA63EE">
        <w:rPr>
          <w:rFonts w:ascii="Verdana" w:hAnsi="Verdana"/>
          <w:b/>
          <w:bCs/>
          <w:sz w:val="20"/>
          <w:u w:val="single"/>
        </w:rPr>
        <w:t>dictaminación</w:t>
      </w:r>
      <w:proofErr w:type="spellEnd"/>
      <w:r w:rsidRPr="00CA63EE">
        <w:rPr>
          <w:rFonts w:ascii="Verdana" w:hAnsi="Verdana"/>
          <w:b/>
          <w:bCs/>
          <w:sz w:val="20"/>
          <w:u w:val="single"/>
        </w:rPr>
        <w:t xml:space="preserve"> de Vehículos e índices</w:t>
      </w:r>
    </w:p>
    <w:p w:rsidR="00CA63EE" w:rsidRPr="00CA63EE" w:rsidRDefault="00CA63EE" w:rsidP="00CA63EE">
      <w:pPr>
        <w:jc w:val="both"/>
        <w:rPr>
          <w:rFonts w:ascii="Verdana" w:hAnsi="Verdana"/>
          <w:bCs/>
          <w:sz w:val="20"/>
        </w:rPr>
      </w:pPr>
      <w:r w:rsidRPr="00CA63EE">
        <w:rPr>
          <w:rFonts w:ascii="Verdana" w:hAnsi="Verdana"/>
          <w:bCs/>
          <w:sz w:val="20"/>
        </w:rPr>
        <w:t xml:space="preserve">1.     Las Administradoras, y en su caso el responsable a quien éstas autoricen, deberán enviar a la Comisión, a nombre de la Administradora que opere cada Sociedad de Inversión, la relación de índices y Vehículos de inversión que hayan obtenido un dictamen aprobatorio por el experto independiente así como la descomposición de dichos índices y Vehículos de inversión de conformidad con las características establecidas en las Reglas generales que al efecto establezca la Comisión para la entrega de información. Sin menoscabo de lo anterior, las Administradoras, y en su caso a quien éstas autoricen, deberán permitir a la Comisión tener acceso al listado </w:t>
      </w:r>
      <w:r w:rsidRPr="00CA63EE">
        <w:rPr>
          <w:rFonts w:ascii="Verdana" w:hAnsi="Verdana"/>
          <w:bCs/>
          <w:sz w:val="20"/>
        </w:rPr>
        <w:lastRenderedPageBreak/>
        <w:t>de índices y Vehículos de inversión en comento, los cuales tendrán un carácter vinculatorio para efectos de supervisión.</w:t>
      </w:r>
    </w:p>
    <w:p w:rsidR="00CA63EE" w:rsidRPr="00CA63EE" w:rsidRDefault="00CA63EE" w:rsidP="00CA63EE">
      <w:pPr>
        <w:jc w:val="both"/>
        <w:rPr>
          <w:rFonts w:ascii="Verdana" w:hAnsi="Verdana"/>
          <w:bCs/>
          <w:sz w:val="20"/>
        </w:rPr>
      </w:pPr>
      <w:r w:rsidRPr="00CA63EE">
        <w:rPr>
          <w:rFonts w:ascii="Verdana" w:hAnsi="Verdana"/>
          <w:bCs/>
          <w:sz w:val="20"/>
        </w:rPr>
        <w:t>2.     Las Administradoras, y en su caso el responsable a quien éstas autoricen, serán responsable del resguardo de la evidencia documental que sustente la evaluación de los índices y Vehículos de inversión, tanto para aquellos que recibieron un dictamen aprobatorio como los que tuvieron un dictamen negativo, ambos por el experto independiente. La evidencia documental deberá estar en todo momento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3.     Asimismo, las Administradoras, y en su caso el responsable a quien éstas autoricen, deberán informar por escrito a la Comisión cualquier cambio o desviación observada en la evaluación y seguimiento de los índices y Vehículos de inversión por parte del experto independiente.</w:t>
      </w:r>
    </w:p>
    <w:p w:rsidR="00CA63EE" w:rsidRPr="00CA63EE" w:rsidRDefault="00CA63EE" w:rsidP="00CA63EE">
      <w:pPr>
        <w:jc w:val="both"/>
        <w:rPr>
          <w:rFonts w:ascii="Verdana" w:hAnsi="Verdana"/>
          <w:bCs/>
          <w:sz w:val="20"/>
        </w:rPr>
      </w:pPr>
      <w:r w:rsidRPr="00CA63EE">
        <w:rPr>
          <w:rFonts w:ascii="Verdana" w:hAnsi="Verdana"/>
          <w:b/>
          <w:bCs/>
          <w:sz w:val="20"/>
          <w:u w:val="single"/>
        </w:rPr>
        <w:t>IV. Procedimiento para seleccionar al experto independiente</w:t>
      </w:r>
    </w:p>
    <w:p w:rsidR="00CA63EE" w:rsidRPr="00CA63EE" w:rsidRDefault="00CA63EE" w:rsidP="00CA63EE">
      <w:pPr>
        <w:jc w:val="both"/>
        <w:rPr>
          <w:rFonts w:ascii="Verdana" w:hAnsi="Verdana"/>
          <w:bCs/>
          <w:sz w:val="20"/>
        </w:rPr>
      </w:pPr>
      <w:r w:rsidRPr="00CA63EE">
        <w:rPr>
          <w:rFonts w:ascii="Verdana" w:hAnsi="Verdana"/>
          <w:bCs/>
          <w:sz w:val="20"/>
        </w:rPr>
        <w:t>En caso de que el experto sea una sociedad:</w:t>
      </w:r>
    </w:p>
    <w:p w:rsidR="00CA63EE" w:rsidRPr="00CA63EE" w:rsidRDefault="00CA63EE" w:rsidP="00CA63EE">
      <w:pPr>
        <w:jc w:val="both"/>
        <w:rPr>
          <w:rFonts w:ascii="Verdana" w:hAnsi="Verdana"/>
          <w:bCs/>
          <w:sz w:val="20"/>
        </w:rPr>
      </w:pPr>
      <w:r w:rsidRPr="00CA63EE">
        <w:rPr>
          <w:rFonts w:ascii="Verdana" w:hAnsi="Verdana"/>
          <w:bCs/>
          <w:sz w:val="20"/>
        </w:rPr>
        <w:t>1.     Las Administradoras serán responsables de verificar el cumplimiento de los contenidos previstos en el presente Anexo de los expertos independientes que contrate para evaluar y dictaminar los índices y Vehículos de inversión a los que se refiere el presente Anexo.</w:t>
      </w:r>
    </w:p>
    <w:p w:rsidR="00CA63EE" w:rsidRPr="00CA63EE" w:rsidRDefault="00CA63EE" w:rsidP="00CA63EE">
      <w:pPr>
        <w:jc w:val="both"/>
        <w:rPr>
          <w:rFonts w:ascii="Verdana" w:hAnsi="Verdana"/>
          <w:bCs/>
          <w:sz w:val="20"/>
        </w:rPr>
      </w:pPr>
      <w:r w:rsidRPr="00CA63EE">
        <w:rPr>
          <w:rFonts w:ascii="Verdana" w:hAnsi="Verdana"/>
          <w:bCs/>
          <w:sz w:val="20"/>
        </w:rPr>
        <w:t>2.     Las Administradoras, o quien éstas definan, pondrán a disposición de la Comisión la documentación que esta última le requiera con la que las Administradoras sustenten el cumplimiento a los presentes lineamientos, así como del proceso de selección del experto independiente.</w:t>
      </w:r>
    </w:p>
    <w:p w:rsidR="00CA63EE" w:rsidRPr="00CA63EE" w:rsidRDefault="00CA63EE" w:rsidP="00CA63EE">
      <w:pPr>
        <w:jc w:val="both"/>
        <w:rPr>
          <w:rFonts w:ascii="Verdana" w:hAnsi="Verdana"/>
          <w:bCs/>
          <w:sz w:val="20"/>
        </w:rPr>
      </w:pPr>
      <w:r w:rsidRPr="00CA63EE">
        <w:rPr>
          <w:rFonts w:ascii="Verdana" w:hAnsi="Verdana"/>
          <w:bCs/>
          <w:sz w:val="20"/>
        </w:rPr>
        <w:t>3.     El contrato con el experto independiente deberá firmarse bajo la jurisdicción de alguno de los Países Elegibles para Inversiones y deberá estar a disposición de la Comisión.</w:t>
      </w:r>
    </w:p>
    <w:p w:rsidR="00CA63EE" w:rsidRPr="00CA63EE" w:rsidRDefault="00CA63EE" w:rsidP="00CA63EE">
      <w:pPr>
        <w:jc w:val="both"/>
        <w:rPr>
          <w:rFonts w:ascii="Verdana" w:hAnsi="Verdana"/>
          <w:bCs/>
          <w:sz w:val="20"/>
        </w:rPr>
      </w:pPr>
      <w:r w:rsidRPr="00CA63EE">
        <w:rPr>
          <w:rFonts w:ascii="Verdana" w:hAnsi="Verdana"/>
          <w:bCs/>
          <w:sz w:val="20"/>
        </w:rPr>
        <w:t xml:space="preserve">4.     En caso de que el contrato no sea suscrito directamente por la Administradora, las Administradoras deberán formar parte del contrato en su carácter de testigo. Asimismo, la Administradora, deberá entregar por escrito a la Comisión las designaciones del responsable de la firma del contrato con el experto independiente y del responsable que aceptó la obligación de dar seguimiento a dicho contrato, ambos en representación de la Administradora, y la aceptación de la Administradora de someterse a la evaluación y </w:t>
      </w:r>
      <w:proofErr w:type="spellStart"/>
      <w:r w:rsidRPr="00CA63EE">
        <w:rPr>
          <w:rFonts w:ascii="Verdana" w:hAnsi="Verdana"/>
          <w:bCs/>
          <w:sz w:val="20"/>
        </w:rPr>
        <w:t>dictaminación</w:t>
      </w:r>
      <w:proofErr w:type="spellEnd"/>
      <w:r w:rsidRPr="00CA63EE">
        <w:rPr>
          <w:rFonts w:ascii="Verdana" w:hAnsi="Verdana"/>
          <w:bCs/>
          <w:sz w:val="20"/>
        </w:rPr>
        <w:t xml:space="preserve"> que sea realizada por el experto independiente de </w:t>
      </w:r>
      <w:proofErr w:type="spellStart"/>
      <w:r w:rsidRPr="00CA63EE">
        <w:rPr>
          <w:rFonts w:ascii="Verdana" w:hAnsi="Verdana"/>
          <w:bCs/>
          <w:sz w:val="20"/>
        </w:rPr>
        <w:t>losVehículos</w:t>
      </w:r>
      <w:proofErr w:type="spellEnd"/>
      <w:r w:rsidRPr="00CA63EE">
        <w:rPr>
          <w:rFonts w:ascii="Verdana" w:hAnsi="Verdana"/>
          <w:bCs/>
          <w:sz w:val="20"/>
        </w:rPr>
        <w:t xml:space="preserve"> de deuda, Componentes de Renta Variable, Vehículos de Inversión Inmobiliaria, FIBRAS, Índices Accionarios de Países Elegibles para Inversiones, Índices Inmobiliarios de Países Elegibles para Inversiones e Índices de Deuda de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5.     Las Administradoras deberán entregar por escrito a la Comisión la designación del responsable que en su caso autoricen, para llevar a cabo las funciones descritas en la fracción III anterior del presente anexo.</w:t>
      </w:r>
    </w:p>
    <w:p w:rsidR="00CA63EE" w:rsidRPr="00CA63EE" w:rsidRDefault="00CA63EE" w:rsidP="00CA63EE">
      <w:pPr>
        <w:jc w:val="both"/>
        <w:rPr>
          <w:rFonts w:ascii="Verdana" w:hAnsi="Verdana"/>
          <w:bCs/>
          <w:sz w:val="20"/>
        </w:rPr>
      </w:pPr>
      <w:r w:rsidRPr="00CA63EE">
        <w:rPr>
          <w:rFonts w:ascii="Verdana" w:hAnsi="Verdana"/>
          <w:bCs/>
          <w:sz w:val="20"/>
        </w:rPr>
        <w:lastRenderedPageBreak/>
        <w:t>En caso de que el experto sea una asociación:</w:t>
      </w:r>
    </w:p>
    <w:p w:rsidR="00CA63EE" w:rsidRPr="00CA63EE" w:rsidRDefault="00CA63EE" w:rsidP="00CA63EE">
      <w:pPr>
        <w:jc w:val="both"/>
        <w:rPr>
          <w:rFonts w:ascii="Verdana" w:hAnsi="Verdana"/>
          <w:bCs/>
          <w:sz w:val="20"/>
        </w:rPr>
      </w:pPr>
      <w:r w:rsidRPr="00CA63EE">
        <w:rPr>
          <w:rFonts w:ascii="Verdana" w:hAnsi="Verdana"/>
          <w:bCs/>
          <w:sz w:val="20"/>
        </w:rPr>
        <w:t>1.     Las Administradoras serán responsables de verificar el cumplimiento de los contenidos previstos en el presente Anexo de los expertos independientes que contrate para evaluar y dictaminar los índices y Vehículos de inversión a los que se refiere el presente Anexo.</w:t>
      </w:r>
    </w:p>
    <w:p w:rsidR="00CA63EE" w:rsidRPr="00CA63EE" w:rsidRDefault="00CA63EE" w:rsidP="00CA63EE">
      <w:pPr>
        <w:jc w:val="both"/>
        <w:rPr>
          <w:rFonts w:ascii="Verdana" w:hAnsi="Verdana"/>
          <w:bCs/>
          <w:sz w:val="20"/>
        </w:rPr>
      </w:pPr>
      <w:r w:rsidRPr="00CA63EE">
        <w:rPr>
          <w:rFonts w:ascii="Verdana" w:hAnsi="Verdana"/>
          <w:bCs/>
          <w:sz w:val="20"/>
        </w:rPr>
        <w:t>2.     Las Administradoras, o quien éstas definan, pondrán a disposición de la Comisión la documentación que esta última le requiera con la que las Administradoras sustenten el cumplimiento a los presentes</w:t>
      </w:r>
    </w:p>
    <w:p w:rsidR="00CA63EE" w:rsidRPr="00CA63EE" w:rsidRDefault="00CA63EE" w:rsidP="00CA63EE">
      <w:pPr>
        <w:jc w:val="both"/>
        <w:rPr>
          <w:rFonts w:ascii="Verdana" w:hAnsi="Verdana"/>
          <w:bCs/>
          <w:sz w:val="20"/>
        </w:rPr>
      </w:pPr>
      <w:proofErr w:type="gramStart"/>
      <w:r w:rsidRPr="00CA63EE">
        <w:rPr>
          <w:rFonts w:ascii="Verdana" w:hAnsi="Verdana"/>
          <w:bCs/>
          <w:sz w:val="20"/>
        </w:rPr>
        <w:t>lineamientos</w:t>
      </w:r>
      <w:proofErr w:type="gramEnd"/>
      <w:r w:rsidRPr="00CA63EE">
        <w:rPr>
          <w:rFonts w:ascii="Verdana" w:hAnsi="Verdana"/>
          <w:bCs/>
          <w:sz w:val="20"/>
        </w:rPr>
        <w:t>, así como del proceso de selección del experto independiente.</w:t>
      </w:r>
    </w:p>
    <w:p w:rsidR="00CA63EE" w:rsidRPr="00CA63EE" w:rsidRDefault="00CA63EE" w:rsidP="00CA63EE">
      <w:pPr>
        <w:jc w:val="both"/>
        <w:rPr>
          <w:rFonts w:ascii="Verdana" w:hAnsi="Verdana"/>
          <w:bCs/>
          <w:sz w:val="20"/>
        </w:rPr>
      </w:pPr>
      <w:r w:rsidRPr="00CA63EE">
        <w:rPr>
          <w:rFonts w:ascii="Verdana" w:hAnsi="Verdana"/>
          <w:bCs/>
          <w:sz w:val="20"/>
        </w:rPr>
        <w:t>3.     Las Administradoras deberán contar con el consentimiento por escrito del experto independiente para evaluar y dictaminar los Vehículos de deuda, Componentes de Renta Variable, Vehículos de Inversión Inmobiliaria, FIBRAS, Índices Accionarios de Países Elegibles para Inversiones, Índices Inmobiliarios de Países Elegibles para Inversiones e Índices de Deuda de Países Elegibles para Inversiones.</w:t>
      </w:r>
    </w:p>
    <w:p w:rsidR="00CA63EE" w:rsidRPr="00CA63EE" w:rsidRDefault="00CA63EE" w:rsidP="00CA63EE">
      <w:pPr>
        <w:jc w:val="both"/>
        <w:rPr>
          <w:rFonts w:ascii="Verdana" w:hAnsi="Verdana"/>
          <w:bCs/>
          <w:sz w:val="20"/>
        </w:rPr>
      </w:pPr>
      <w:r w:rsidRPr="00CA63EE">
        <w:rPr>
          <w:rFonts w:ascii="Verdana" w:hAnsi="Verdana"/>
          <w:bCs/>
          <w:sz w:val="20"/>
        </w:rPr>
        <w:t>4.     Las Administradoras deberán entregar por escrito a la Comisión la designación del responsable que en su caso autoricen, para llevar a cabo las funciones descritas en la fracción III anterior del presente anexo con la aceptación correspondiente del tercero independiente.</w:t>
      </w:r>
    </w:p>
    <w:p w:rsidR="00CA63EE" w:rsidRPr="00CA63EE" w:rsidRDefault="00CA63EE" w:rsidP="00CA63EE">
      <w:pPr>
        <w:jc w:val="both"/>
        <w:rPr>
          <w:rFonts w:ascii="Verdana" w:hAnsi="Verdana"/>
          <w:bCs/>
          <w:sz w:val="20"/>
        </w:rPr>
      </w:pPr>
      <w:r w:rsidRPr="00CA63EE">
        <w:rPr>
          <w:rFonts w:ascii="Verdana" w:hAnsi="Verdana"/>
          <w:bCs/>
          <w:sz w:val="20"/>
        </w:rPr>
        <w:t>La clasificación de los índices como accionarios o inmobiliarios será determinada por la Comisión, oyendo la opinión de las Administradoras, y en su caso a quien éstas autoricen.</w:t>
      </w:r>
    </w:p>
    <w:p w:rsidR="00CA63EE" w:rsidRPr="00CA63EE" w:rsidRDefault="00CA63EE" w:rsidP="00CA63EE">
      <w:pPr>
        <w:jc w:val="both"/>
        <w:rPr>
          <w:rFonts w:ascii="Verdana" w:hAnsi="Verdana"/>
          <w:bCs/>
          <w:sz w:val="20"/>
        </w:rPr>
      </w:pPr>
      <w:r w:rsidRPr="00CA63EE">
        <w:rPr>
          <w:rFonts w:ascii="Verdana" w:hAnsi="Verdana"/>
          <w:bCs/>
          <w:sz w:val="20"/>
        </w:rPr>
        <w:t>Por lo anterior, los Vehículos no serán desagregados para fines de supervisar los límites de concentración aplicables, de conformidad con lo previsto en el Anexo N de las Disposiciones generales que establecen el régimen de inversión al que deberán sujetarse las Sociedades de Inversión; la exposición de las inversiones en dichos Vehículos e índices serán computadas considerando integralmente el Valor Delta Equivalente de la Nota adquirida o estructurada, Estructura Vinculada a Subyacente, Componente de Renta Variable, Instrumento Financiero Derivado o cualquier otro Vehículo permitido que repliquen el comportamiento del índice dictaminado favorablemente por los expertos independientes.</w:t>
      </w:r>
    </w:p>
    <w:p w:rsidR="00CA63EE" w:rsidRPr="00CA63EE" w:rsidRDefault="00CA63EE" w:rsidP="00CA63EE">
      <w:pPr>
        <w:jc w:val="both"/>
        <w:rPr>
          <w:rFonts w:ascii="Verdana" w:hAnsi="Verdana"/>
          <w:b/>
          <w:bCs/>
          <w:sz w:val="20"/>
        </w:rPr>
      </w:pPr>
      <w:r w:rsidRPr="00CA63EE">
        <w:rPr>
          <w:rFonts w:ascii="Verdana" w:hAnsi="Verdana"/>
          <w:b/>
          <w:bCs/>
          <w:sz w:val="20"/>
        </w:rPr>
        <w:t>ANEXO T</w:t>
      </w:r>
    </w:p>
    <w:p w:rsidR="00CA63EE" w:rsidRPr="00CA63EE" w:rsidRDefault="00CA63EE" w:rsidP="00CA63EE">
      <w:pPr>
        <w:jc w:val="both"/>
        <w:rPr>
          <w:rFonts w:ascii="Verdana" w:hAnsi="Verdana"/>
          <w:bCs/>
          <w:sz w:val="20"/>
        </w:rPr>
      </w:pPr>
      <w:r w:rsidRPr="00CA63EE">
        <w:rPr>
          <w:rFonts w:ascii="Verdana" w:hAnsi="Verdana"/>
          <w:b/>
          <w:bCs/>
          <w:sz w:val="20"/>
        </w:rPr>
        <w:t>Metodología para verificar el cumplimiento de los límites referentes a Instrumentos Estructurados.</w:t>
      </w:r>
    </w:p>
    <w:p w:rsidR="00CA63EE" w:rsidRPr="00CA63EE" w:rsidRDefault="00CA63EE" w:rsidP="00CA63EE">
      <w:pPr>
        <w:jc w:val="both"/>
        <w:rPr>
          <w:rFonts w:ascii="Verdana" w:hAnsi="Verdana"/>
          <w:bCs/>
          <w:sz w:val="20"/>
        </w:rPr>
      </w:pPr>
      <w:r w:rsidRPr="00CA63EE">
        <w:rPr>
          <w:rFonts w:ascii="Verdana" w:hAnsi="Verdana"/>
          <w:bCs/>
          <w:sz w:val="20"/>
        </w:rPr>
        <w:t>Para efectos de los límites referentes a las posiciones en Instrumentos Estructurados establecidos en las Disposiciones de carácter general que establecen el Régimen de Inversión al que deberán sujetarse las sociedades de inversión se deberá observar el siguiente criterio:</w:t>
      </w:r>
    </w:p>
    <w:p w:rsidR="00CA63EE" w:rsidRPr="00CA63EE" w:rsidRDefault="00CA63EE" w:rsidP="00CA63EE">
      <w:pPr>
        <w:jc w:val="both"/>
        <w:rPr>
          <w:rFonts w:ascii="Verdana" w:hAnsi="Verdana"/>
          <w:bCs/>
          <w:sz w:val="20"/>
        </w:rPr>
      </w:pPr>
      <w:r w:rsidRPr="00CA63EE">
        <w:rPr>
          <w:rFonts w:ascii="Verdana" w:hAnsi="Verdana"/>
          <w:bCs/>
          <w:sz w:val="20"/>
        </w:rPr>
        <w:lastRenderedPageBreak/>
        <w:t xml:space="preserve">I.     Se considerará la suma de (i) el valor a mercado de los Instrumentos Estructurados emitidos sin el mecanismo de llamadas de capital, (ii) el valor a mercado de las llamadas de capital ya realizadas de los Instrumentos Estructurados emitidos bajo el mecanismo de llamadas de capital y (iii) el equivalente en pesos del mínimo entre el 35% del valor nocional de la emisión o el valor nocional de las llamadas de capital pendientes del Instrumento Estructurado emitido bajo el mecanismo de llamadas de capital, respecto al Activo Total de la Sociedad de Inversión, es decir, para </w:t>
      </w:r>
      <w:proofErr w:type="spellStart"/>
      <w:r w:rsidRPr="00CA63EE">
        <w:rPr>
          <w:rFonts w:ascii="Verdana" w:hAnsi="Verdana"/>
          <w:bCs/>
          <w:sz w:val="20"/>
        </w:rPr>
        <w:t>cadaSociedad</w:t>
      </w:r>
      <w:proofErr w:type="spellEnd"/>
      <w:r w:rsidRPr="00CA63EE">
        <w:rPr>
          <w:rFonts w:ascii="Verdana" w:hAnsi="Verdana"/>
          <w:bCs/>
          <w:sz w:val="20"/>
        </w:rPr>
        <w:t xml:space="preserve"> de Inversión para computar las inversiones en Instrumentos Estructurados, se calcula la suma de i) el valor a mercado del monto total invertido por dicha sociedad de inversión y, ii) el 35% del monto comprometido inicialmente por la sociedad de inversión. La suma de los factores anteriores no excederá del 100% del monto comprometido inicialmente por la sociedad de inversión; por lo que el cómputo se deberá realizar de la siguiente manera:</w:t>
      </w:r>
    </w:p>
    <w:p w:rsidR="00CA63EE" w:rsidRPr="00CA63EE" w:rsidRDefault="00CA63EE" w:rsidP="00CA63EE">
      <w:pPr>
        <w:jc w:val="both"/>
        <w:rPr>
          <w:rFonts w:ascii="Verdana" w:hAnsi="Verdana"/>
          <w:bCs/>
          <w:sz w:val="20"/>
        </w:rPr>
      </w:pPr>
      <w:r w:rsidRPr="00CA63EE">
        <w:rPr>
          <w:rFonts w:ascii="Verdana" w:hAnsi="Verdana"/>
          <w:bCs/>
          <w:sz w:val="20"/>
        </w:rPr>
        <w:t> </w:t>
      </w:r>
    </w:p>
    <w:p w:rsidR="00CA63EE" w:rsidRPr="00CA63EE" w:rsidRDefault="00CA63EE" w:rsidP="00CA63EE">
      <w:pPr>
        <w:jc w:val="both"/>
        <w:rPr>
          <w:rFonts w:ascii="Verdana" w:hAnsi="Verdana"/>
          <w:bCs/>
          <w:sz w:val="20"/>
        </w:rPr>
      </w:pPr>
      <w:r w:rsidRPr="00CA63EE">
        <w:rPr>
          <w:rFonts w:ascii="Verdana" w:hAnsi="Verdana"/>
          <w:bCs/>
          <w:sz w:val="20"/>
        </w:rPr>
        <w:drawing>
          <wp:inline distT="0" distB="0" distL="0" distR="0">
            <wp:extent cx="5610225" cy="3648075"/>
            <wp:effectExtent l="0" t="0" r="9525" b="9525"/>
            <wp:docPr id="1" name="Imagen 1" descr="http://www.dof.gob.mx/imagenes_diarios/2018/11/16/MAT/shcp2a11_Cimg_14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f.gob.mx/imagenes_diarios/2018/11/16/MAT/shcp2a11_Cimg_14021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3648075"/>
                    </a:xfrm>
                    <a:prstGeom prst="rect">
                      <a:avLst/>
                    </a:prstGeom>
                    <a:noFill/>
                    <a:ln>
                      <a:noFill/>
                    </a:ln>
                  </pic:spPr>
                </pic:pic>
              </a:graphicData>
            </a:graphic>
          </wp:inline>
        </w:drawing>
      </w:r>
    </w:p>
    <w:p w:rsidR="00CA63EE" w:rsidRPr="00CA63EE" w:rsidRDefault="00CA63EE" w:rsidP="00CA63EE">
      <w:pPr>
        <w:jc w:val="both"/>
        <w:rPr>
          <w:rFonts w:ascii="Verdana" w:hAnsi="Verdana"/>
          <w:bCs/>
          <w:sz w:val="20"/>
        </w:rPr>
      </w:pPr>
      <w:r w:rsidRPr="00CA63EE">
        <w:rPr>
          <w:rFonts w:ascii="Verdana" w:hAnsi="Verdana"/>
          <w:bCs/>
          <w:sz w:val="20"/>
        </w:rPr>
        <w:t>Para efectos del cómputo de las llamadas de capital previstas en presente anexo no se considerarán las llamadas de capital pendientes cuando el Comité de Inversión haya determinado, notificado a la Comisión e iniciado con lo conducente para que los Instrumentos Estructurados que se encuentren en el presente supuesto dejen de formar parte de las carteras de inversión de las Sociedades de Inversión, previamente a la llamada, no participar en las llamadas de capital de algún Instrumento Estructurado previamente adquirido.</w:t>
      </w:r>
    </w:p>
    <w:p w:rsidR="00CA63EE" w:rsidRPr="00CA63EE" w:rsidRDefault="00CA63EE" w:rsidP="00CA63EE">
      <w:pPr>
        <w:jc w:val="both"/>
        <w:rPr>
          <w:rFonts w:ascii="Verdana" w:hAnsi="Verdana"/>
          <w:bCs/>
          <w:sz w:val="20"/>
        </w:rPr>
      </w:pPr>
      <w:r w:rsidRPr="00CA63EE">
        <w:rPr>
          <w:rFonts w:ascii="Verdana" w:hAnsi="Verdana"/>
          <w:bCs/>
          <w:sz w:val="20"/>
        </w:rPr>
        <w:t xml:space="preserve">Asimismo, cuando el Comité de Inversión haya determinado participar en esquemas de participación voluntarios referida en el artículo 30 fracción V se computará dentro del </w:t>
      </w:r>
      <w:r w:rsidRPr="00CA63EE">
        <w:rPr>
          <w:rFonts w:ascii="Verdana" w:hAnsi="Verdana"/>
          <w:bCs/>
          <w:sz w:val="20"/>
        </w:rPr>
        <w:lastRenderedPageBreak/>
        <w:t>límite de Instrumentos Estructurados hasta en tanto se haya realizado la llamadas de capital.</w:t>
      </w:r>
    </w:p>
    <w:p w:rsidR="00CA63EE" w:rsidRPr="00CA63EE" w:rsidRDefault="00CA63EE" w:rsidP="00CA63EE">
      <w:pPr>
        <w:jc w:val="both"/>
        <w:rPr>
          <w:rFonts w:ascii="Verdana" w:hAnsi="Verdana"/>
          <w:b/>
          <w:bCs/>
          <w:sz w:val="20"/>
        </w:rPr>
      </w:pPr>
      <w:r w:rsidRPr="00CA63EE">
        <w:rPr>
          <w:rFonts w:ascii="Verdana" w:hAnsi="Verdana"/>
          <w:b/>
          <w:bCs/>
          <w:sz w:val="20"/>
        </w:rPr>
        <w:t>ANEXO U</w:t>
      </w:r>
    </w:p>
    <w:p w:rsidR="00CA63EE" w:rsidRPr="00CA63EE" w:rsidRDefault="00CA63EE" w:rsidP="00CA63EE">
      <w:pPr>
        <w:jc w:val="both"/>
        <w:rPr>
          <w:rFonts w:ascii="Verdana" w:hAnsi="Verdana"/>
          <w:bCs/>
          <w:sz w:val="20"/>
        </w:rPr>
      </w:pPr>
      <w:r w:rsidRPr="00CA63EE">
        <w:rPr>
          <w:rFonts w:ascii="Verdana" w:hAnsi="Verdana"/>
          <w:b/>
          <w:bCs/>
          <w:sz w:val="20"/>
        </w:rPr>
        <w:t>Metodología para calcular los límites máximos de inversión para el conjunto de las Sociedades de</w:t>
      </w:r>
      <w:r w:rsidRPr="00CA63EE">
        <w:rPr>
          <w:rFonts w:ascii="Verdana" w:hAnsi="Verdana"/>
          <w:bCs/>
          <w:sz w:val="20"/>
        </w:rPr>
        <w:br/>
      </w:r>
      <w:r w:rsidRPr="00CA63EE">
        <w:rPr>
          <w:rFonts w:ascii="Verdana" w:hAnsi="Verdana"/>
          <w:b/>
          <w:bCs/>
          <w:sz w:val="20"/>
        </w:rPr>
        <w:t>Inversión operadas por una misma Administradora, en Instrumentos Estructurados.</w:t>
      </w:r>
    </w:p>
    <w:p w:rsidR="00CA63EE" w:rsidRPr="00CA63EE" w:rsidRDefault="00CA63EE" w:rsidP="00CA63EE">
      <w:pPr>
        <w:jc w:val="both"/>
        <w:rPr>
          <w:rFonts w:ascii="Verdana" w:hAnsi="Verdana"/>
          <w:bCs/>
          <w:sz w:val="20"/>
        </w:rPr>
      </w:pPr>
      <w:r w:rsidRPr="00CA63EE">
        <w:rPr>
          <w:rFonts w:ascii="Verdana" w:hAnsi="Verdana"/>
          <w:bCs/>
          <w:sz w:val="20"/>
        </w:rPr>
        <w:t>El monto máximo a invertir por el conjunto de las Sociedades de Inversión elegibles para inversiones en Instrumentos Estructurados, deberá obedecer los siguientes criterios:</w:t>
      </w:r>
    </w:p>
    <w:p w:rsidR="00CA63EE" w:rsidRPr="00CA63EE" w:rsidRDefault="00CA63EE" w:rsidP="00CA63EE">
      <w:pPr>
        <w:jc w:val="both"/>
        <w:rPr>
          <w:rFonts w:ascii="Verdana" w:hAnsi="Verdana"/>
          <w:bCs/>
          <w:sz w:val="20"/>
        </w:rPr>
      </w:pPr>
      <w:r w:rsidRPr="00CA63EE">
        <w:rPr>
          <w:rFonts w:ascii="Verdana" w:hAnsi="Verdana"/>
          <w:bCs/>
          <w:sz w:val="20"/>
        </w:rPr>
        <w:t>a)    Las Sociedades de Inversión Básicas 1 podrán invertir únicamente en Instrumentos Estructurados que cumplan con lo siguiente:</w:t>
      </w:r>
    </w:p>
    <w:p w:rsidR="00CA63EE" w:rsidRPr="00CA63EE" w:rsidRDefault="00CA63EE" w:rsidP="00CA63EE">
      <w:pPr>
        <w:jc w:val="both"/>
        <w:rPr>
          <w:rFonts w:ascii="Verdana" w:hAnsi="Verdana"/>
          <w:bCs/>
          <w:sz w:val="20"/>
        </w:rPr>
      </w:pPr>
      <w:r w:rsidRPr="00CA63EE">
        <w:rPr>
          <w:rFonts w:ascii="Verdana" w:hAnsi="Verdana"/>
          <w:bCs/>
          <w:sz w:val="20"/>
        </w:rPr>
        <w:t>i.    Se encuentren invertidos en, al menos el 80% del monto máximo de la emisión del Instrumento Estructurado, y comprometidos en al menos el 90% del monto máximo de la emisión del Instrumento Estructurado,</w:t>
      </w:r>
    </w:p>
    <w:p w:rsidR="00CA63EE" w:rsidRPr="00CA63EE" w:rsidRDefault="00CA63EE" w:rsidP="00CA63EE">
      <w:pPr>
        <w:jc w:val="both"/>
        <w:rPr>
          <w:rFonts w:ascii="Verdana" w:hAnsi="Verdana"/>
          <w:bCs/>
          <w:sz w:val="20"/>
        </w:rPr>
      </w:pPr>
      <w:r w:rsidRPr="00CA63EE">
        <w:rPr>
          <w:rFonts w:ascii="Verdana" w:hAnsi="Verdana"/>
          <w:bCs/>
          <w:sz w:val="20"/>
        </w:rPr>
        <w:t>ii.    Sean transferidos por medio de la transferencia de recursos de las Cuentas Individuales por la edad de los Trabajadores de conformidad con las Disposiciones de carácter general en materia de operaciones de los Sistemas de Ahorro para el Retiro.</w:t>
      </w:r>
    </w:p>
    <w:p w:rsidR="00CA63EE" w:rsidRPr="00CA63EE" w:rsidRDefault="00CA63EE" w:rsidP="00CA63EE">
      <w:pPr>
        <w:jc w:val="both"/>
        <w:rPr>
          <w:rFonts w:ascii="Verdana" w:hAnsi="Verdana"/>
          <w:bCs/>
          <w:sz w:val="20"/>
        </w:rPr>
      </w:pPr>
      <w:r w:rsidRPr="00CA63EE">
        <w:rPr>
          <w:rFonts w:ascii="Verdana" w:hAnsi="Verdana"/>
          <w:bCs/>
          <w:sz w:val="20"/>
        </w:rPr>
        <w:t>b)    Las Administradoras deberán cerciorarse de que el monto invertido por el conjunto de Sociedades de Inversión que opera, en ningún momento exceda el 50% del valor de un proyecto financiado a través de los Instrumentos Estructurados que tengan por objeto el financiamiento del mismo proyecto, con independencia del administrador. Lo anterior no es aplicable para la inversión en un proyecto financiado a través de un solo Instrumento Estructurado, cuyo valor de emisión sea inferior al Umbral</w:t>
      </w:r>
    </w:p>
    <w:p w:rsidR="00CA63EE" w:rsidRPr="00CA63EE" w:rsidRDefault="00CA63EE" w:rsidP="00CA63EE">
      <w:pPr>
        <w:jc w:val="both"/>
        <w:rPr>
          <w:rFonts w:ascii="Verdana" w:hAnsi="Verdana"/>
          <w:bCs/>
          <w:sz w:val="20"/>
        </w:rPr>
      </w:pPr>
      <w:proofErr w:type="gramStart"/>
      <w:r w:rsidRPr="00CA63EE">
        <w:rPr>
          <w:rFonts w:ascii="Verdana" w:hAnsi="Verdana"/>
          <w:bCs/>
          <w:sz w:val="20"/>
        </w:rPr>
        <w:t>definido</w:t>
      </w:r>
      <w:proofErr w:type="gramEnd"/>
      <w:r w:rsidRPr="00CA63EE">
        <w:rPr>
          <w:rFonts w:ascii="Verdana" w:hAnsi="Verdana"/>
          <w:bCs/>
          <w:sz w:val="20"/>
        </w:rPr>
        <w:t xml:space="preserve"> en el presente anexo.</w:t>
      </w:r>
    </w:p>
    <w:p w:rsidR="00CA63EE" w:rsidRPr="00CA63EE" w:rsidRDefault="00CA63EE" w:rsidP="00CA63EE">
      <w:pPr>
        <w:jc w:val="both"/>
        <w:rPr>
          <w:rFonts w:ascii="Verdana" w:hAnsi="Verdana"/>
          <w:bCs/>
          <w:sz w:val="20"/>
        </w:rPr>
      </w:pPr>
      <w:r w:rsidRPr="00CA63EE">
        <w:rPr>
          <w:rFonts w:ascii="Verdana" w:hAnsi="Verdana"/>
          <w:bCs/>
          <w:sz w:val="20"/>
        </w:rPr>
        <w:t xml:space="preserve">c)     Cuando el </w:t>
      </w:r>
      <w:proofErr w:type="spellStart"/>
      <w:r w:rsidRPr="00CA63EE">
        <w:rPr>
          <w:rFonts w:ascii="Verdana" w:hAnsi="Verdana"/>
          <w:bCs/>
          <w:sz w:val="20"/>
        </w:rPr>
        <w:t>co</w:t>
      </w:r>
      <w:proofErr w:type="spellEnd"/>
      <w:r w:rsidRPr="00CA63EE">
        <w:rPr>
          <w:rFonts w:ascii="Verdana" w:hAnsi="Verdana"/>
          <w:bCs/>
          <w:sz w:val="20"/>
        </w:rPr>
        <w:t>-inversionista y la Administradora tengan Nexo Patrimonial conjuntamente no podrán exceder del 35% del valor de cada proyecto financiado.</w:t>
      </w:r>
    </w:p>
    <w:p w:rsidR="00CA63EE" w:rsidRPr="00CA63EE" w:rsidRDefault="00CA63EE" w:rsidP="00CA63EE">
      <w:pPr>
        <w:jc w:val="both"/>
        <w:rPr>
          <w:rFonts w:ascii="Verdana" w:hAnsi="Verdana"/>
          <w:bCs/>
          <w:sz w:val="20"/>
        </w:rPr>
      </w:pPr>
      <w:r w:rsidRPr="00CA63EE">
        <w:rPr>
          <w:rFonts w:ascii="Verdana" w:hAnsi="Verdana"/>
          <w:bCs/>
          <w:sz w:val="20"/>
        </w:rPr>
        <w:t>d)    El Umbral al que se refiere la disposición Vigésima Cuarta, fracción IV de las Disposiciones de carácter general que establecen el régimen de inversión al que deberán sujetarse las sociedades de inversión especializadas de fondos para el retiro es equivalente a 4,350 millones de pesos, y se actualizará una vez cada año calendario en la misma proporción que el aumento del valor de las unidades de inversión (</w:t>
      </w:r>
      <w:proofErr w:type="spellStart"/>
      <w:r w:rsidRPr="00CA63EE">
        <w:rPr>
          <w:rFonts w:ascii="Verdana" w:hAnsi="Verdana"/>
          <w:bCs/>
          <w:sz w:val="20"/>
        </w:rPr>
        <w:t>UDIs</w:t>
      </w:r>
      <w:proofErr w:type="spellEnd"/>
      <w:r w:rsidRPr="00CA63EE">
        <w:rPr>
          <w:rFonts w:ascii="Verdana" w:hAnsi="Verdana"/>
          <w:bCs/>
          <w:sz w:val="20"/>
        </w:rPr>
        <w:t>). El valor anterior corresponde al 31 de diciembre de 2017.</w:t>
      </w:r>
    </w:p>
    <w:p w:rsidR="00CA63EE" w:rsidRPr="00CA63EE" w:rsidRDefault="00CA63EE" w:rsidP="00CA63EE">
      <w:pPr>
        <w:jc w:val="both"/>
        <w:rPr>
          <w:rFonts w:ascii="Verdana" w:hAnsi="Verdana"/>
          <w:bCs/>
          <w:sz w:val="20"/>
        </w:rPr>
      </w:pPr>
      <w:r w:rsidRPr="00CA63EE">
        <w:rPr>
          <w:rFonts w:ascii="Verdana" w:hAnsi="Verdana"/>
          <w:bCs/>
          <w:sz w:val="20"/>
        </w:rPr>
        <w:t>La Comisión dará a conocer periódicamente a las Administradoras el valor del Umbral, así como el valor del Activo Total.</w:t>
      </w:r>
    </w:p>
    <w:p w:rsidR="00CA63EE" w:rsidRPr="00CA63EE" w:rsidRDefault="00CA63EE" w:rsidP="00CA63EE">
      <w:pPr>
        <w:jc w:val="both"/>
        <w:rPr>
          <w:rFonts w:ascii="Verdana" w:hAnsi="Verdana"/>
          <w:bCs/>
          <w:sz w:val="20"/>
        </w:rPr>
      </w:pPr>
      <w:r w:rsidRPr="00CA63EE">
        <w:rPr>
          <w:rFonts w:ascii="Verdana" w:hAnsi="Verdana"/>
          <w:bCs/>
          <w:sz w:val="20"/>
        </w:rPr>
        <w:t xml:space="preserve">En el caso de las ofertas primarias de Instrumentos Estructurados y para efectos de cumplir con los límites previstos en el presente anexo y en las Disposiciones de </w:t>
      </w:r>
      <w:r w:rsidRPr="00CA63EE">
        <w:rPr>
          <w:rFonts w:ascii="Verdana" w:hAnsi="Verdana"/>
          <w:bCs/>
          <w:sz w:val="20"/>
        </w:rPr>
        <w:lastRenderedPageBreak/>
        <w:t>carácter general que establecen el régimen de inversión de las sociedades de inversión especializadas de fondos para el retiro, las Administradoras deberán requerir al administrador de dichos instrumentos por escrito y dejar evidencia de ello, que se comprometan a diversificar la base de inversionistas a fin de que las Sociedades de Inversión no incumplan con los límites a los que se refiere el presente párrafo.</w:t>
      </w:r>
    </w:p>
    <w:p w:rsidR="00CA63EE" w:rsidRPr="00CA63EE" w:rsidRDefault="00CA63EE" w:rsidP="00CA63EE">
      <w:pPr>
        <w:jc w:val="both"/>
        <w:rPr>
          <w:rFonts w:ascii="Verdana" w:hAnsi="Verdana"/>
          <w:bCs/>
          <w:sz w:val="20"/>
        </w:rPr>
      </w:pPr>
      <w:r w:rsidRPr="00CA63EE">
        <w:rPr>
          <w:rFonts w:ascii="Verdana" w:hAnsi="Verdana"/>
          <w:bCs/>
          <w:sz w:val="20"/>
        </w:rPr>
        <w:t>Las Administradoras deberán informar al administrador el monto absoluto y el rango a invertir, este último como porcentaje de valor nocional total del Instrumento Estructurado en cuestión, lo cual deberá quedar asentado en el Acta Pormenorizada de la sesión que corresponda. Para dichos efectos, la política deberá prever ajustes que el administrador pueda aplicar con fines de: i) dar cumplimiento a los límites previstos en las presentes Disposiciones y ii) definir la asignación de montos de Instrumentos Estructurados que pueden presentar variaciones respecto a las pujas de las Administradoras siempre que se basen en políticas previstas en el prospecto de emisión, dentro de los cuales pueden ser ajustes prorrata.</w:t>
      </w:r>
    </w:p>
    <w:p w:rsidR="00CA63EE" w:rsidRPr="00CA63EE" w:rsidRDefault="00CA63EE" w:rsidP="00CA63EE">
      <w:pPr>
        <w:jc w:val="both"/>
        <w:rPr>
          <w:rFonts w:ascii="Verdana" w:hAnsi="Verdana"/>
          <w:bCs/>
          <w:sz w:val="20"/>
        </w:rPr>
      </w:pPr>
      <w:r w:rsidRPr="00CA63EE">
        <w:rPr>
          <w:rFonts w:ascii="Verdana" w:hAnsi="Verdana"/>
          <w:bCs/>
          <w:sz w:val="20"/>
        </w:rPr>
        <w:t>Para efectos del presente Anexo, se entenderá que los administradores de los Instrumentos Estructurados son distintos cuando:</w:t>
      </w:r>
    </w:p>
    <w:p w:rsidR="00CA63EE" w:rsidRPr="00CA63EE" w:rsidRDefault="00CA63EE" w:rsidP="00CA63EE">
      <w:pPr>
        <w:jc w:val="both"/>
        <w:rPr>
          <w:rFonts w:ascii="Verdana" w:hAnsi="Verdana"/>
          <w:bCs/>
          <w:sz w:val="20"/>
        </w:rPr>
      </w:pPr>
      <w:r w:rsidRPr="00CA63EE">
        <w:rPr>
          <w:rFonts w:ascii="Verdana" w:hAnsi="Verdana"/>
          <w:bCs/>
          <w:sz w:val="20"/>
        </w:rPr>
        <w:t>i.    Sean personas morales distintas;</w:t>
      </w:r>
    </w:p>
    <w:p w:rsidR="00CA63EE" w:rsidRPr="00CA63EE" w:rsidRDefault="00CA63EE" w:rsidP="00CA63EE">
      <w:pPr>
        <w:jc w:val="both"/>
        <w:rPr>
          <w:rFonts w:ascii="Verdana" w:hAnsi="Verdana"/>
          <w:bCs/>
          <w:sz w:val="20"/>
        </w:rPr>
      </w:pPr>
      <w:r w:rsidRPr="00CA63EE">
        <w:rPr>
          <w:rFonts w:ascii="Verdana" w:hAnsi="Verdana"/>
          <w:bCs/>
          <w:sz w:val="20"/>
        </w:rPr>
        <w:t>ii.    Tengan equipos de administración distintos, es decir cuando, la estrategia, ejecución de las inversiones y la administración de cada Instrumento Estructurado dependan de equipos conformados por personas físicas distintas, con áreas de conocimiento y experiencia dirigidos específicamente a la administración de los proyectos financiados por el Instrumento Estructurado correspondiente, y</w:t>
      </w:r>
    </w:p>
    <w:p w:rsidR="00CA63EE" w:rsidRPr="00CA63EE" w:rsidRDefault="00CA63EE" w:rsidP="00CA63EE">
      <w:pPr>
        <w:jc w:val="both"/>
        <w:rPr>
          <w:rFonts w:ascii="Verdana" w:hAnsi="Verdana"/>
          <w:bCs/>
          <w:sz w:val="20"/>
        </w:rPr>
      </w:pPr>
      <w:r w:rsidRPr="00CA63EE">
        <w:rPr>
          <w:rFonts w:ascii="Verdana" w:hAnsi="Verdana"/>
          <w:bCs/>
          <w:sz w:val="20"/>
        </w:rPr>
        <w:t>iii.   Cuenten con tesis de inversión distintas desarrolladas para cada Instrumento Estructurado, las cuales estén orientadas a áreas o actividades económicas distintas.</w:t>
      </w:r>
    </w:p>
    <w:p w:rsidR="00CA63EE" w:rsidRPr="00CA63EE" w:rsidRDefault="00CA63EE" w:rsidP="00CA63EE">
      <w:pPr>
        <w:jc w:val="both"/>
        <w:rPr>
          <w:rFonts w:ascii="Verdana" w:hAnsi="Verdana"/>
          <w:b/>
          <w:bCs/>
          <w:sz w:val="20"/>
        </w:rPr>
      </w:pPr>
      <w:r w:rsidRPr="00CA63EE">
        <w:rPr>
          <w:rFonts w:ascii="Verdana" w:hAnsi="Verdana"/>
          <w:b/>
          <w:bCs/>
          <w:sz w:val="20"/>
        </w:rPr>
        <w:t>ANEXO V</w:t>
      </w:r>
    </w:p>
    <w:p w:rsidR="00CA63EE" w:rsidRPr="00CA63EE" w:rsidRDefault="00CA63EE" w:rsidP="00CA63EE">
      <w:pPr>
        <w:jc w:val="both"/>
        <w:rPr>
          <w:rFonts w:ascii="Verdana" w:hAnsi="Verdana"/>
          <w:bCs/>
          <w:sz w:val="20"/>
        </w:rPr>
      </w:pPr>
      <w:r w:rsidRPr="00CA63EE">
        <w:rPr>
          <w:rFonts w:ascii="Verdana" w:hAnsi="Verdana"/>
          <w:b/>
          <w:bCs/>
          <w:sz w:val="20"/>
        </w:rPr>
        <w:t>Relación de Índices Accionarios de Países Elegibles para Inversiones aprobados para determinar</w:t>
      </w:r>
      <w:r w:rsidRPr="00CA63EE">
        <w:rPr>
          <w:rFonts w:ascii="Verdana" w:hAnsi="Verdana"/>
          <w:bCs/>
          <w:sz w:val="20"/>
        </w:rPr>
        <w:br/>
      </w:r>
      <w:r w:rsidRPr="00CA63EE">
        <w:rPr>
          <w:rFonts w:ascii="Verdana" w:hAnsi="Verdana"/>
          <w:b/>
          <w:bCs/>
          <w:sz w:val="20"/>
        </w:rPr>
        <w:t>los límites máximos de inversión en acciones de Emisores Nacionales listadas.</w:t>
      </w:r>
    </w:p>
    <w:p w:rsidR="00CA63EE" w:rsidRPr="00CA63EE" w:rsidRDefault="00CA63EE" w:rsidP="00CA63EE">
      <w:pPr>
        <w:jc w:val="both"/>
        <w:rPr>
          <w:rFonts w:ascii="Verdana" w:hAnsi="Verdana"/>
          <w:bCs/>
          <w:sz w:val="20"/>
        </w:rPr>
      </w:pPr>
      <w:r w:rsidRPr="00CA63EE">
        <w:rPr>
          <w:rFonts w:ascii="Verdana" w:hAnsi="Verdana"/>
          <w:bCs/>
          <w:sz w:val="20"/>
        </w:rPr>
        <w:t>Los índices que las Administradoras podrán utilizar como referencia para determinar los límites máximos de inversión en acciones individuales de Emisores Nacionales listadas en una Bolsa de Valores autorizada para organizarse y operar en términos de la Ley del Mercado de Valores a los que se refiere la fracción II, de la disposición Vigésima Cuarta de las Disposiciones de carácter general que establecen el régimen de inversión al que deberán sujetarse las sociedades de inversión especializadas de fondos para el retiro, son los siguientes:</w:t>
      </w:r>
    </w:p>
    <w:p w:rsidR="00CA63EE" w:rsidRPr="00CA63EE" w:rsidRDefault="00CA63EE" w:rsidP="00CA63EE">
      <w:pPr>
        <w:jc w:val="both"/>
        <w:rPr>
          <w:rFonts w:ascii="Verdana" w:hAnsi="Verdana"/>
          <w:bCs/>
          <w:sz w:val="20"/>
        </w:rPr>
      </w:pPr>
      <w:r w:rsidRPr="00CA63EE">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37"/>
        <w:gridCol w:w="3212"/>
      </w:tblGrid>
      <w:tr w:rsidR="00CA63EE" w:rsidRPr="00CA63EE" w:rsidTr="00CA63EE">
        <w:trPr>
          <w:trHeight w:val="557"/>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
                <w:bCs/>
                <w:sz w:val="20"/>
              </w:rPr>
              <w:t>Desarrollador</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
                <w:bCs/>
                <w:sz w:val="20"/>
              </w:rPr>
              <w:t>Índice</w:t>
            </w:r>
          </w:p>
        </w:tc>
      </w:tr>
    </w:tbl>
    <w:p w:rsidR="00CA63EE" w:rsidRPr="00CA63EE" w:rsidRDefault="00CA63EE" w:rsidP="00CA63EE">
      <w:pPr>
        <w:jc w:val="both"/>
        <w:rPr>
          <w:rFonts w:ascii="Verdana" w:hAnsi="Verdana"/>
          <w:bCs/>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37"/>
        <w:gridCol w:w="3212"/>
      </w:tblGrid>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lastRenderedPageBreak/>
              <w:t>S&amp;P/BMV</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 xml:space="preserve">IPC </w:t>
            </w:r>
            <w:proofErr w:type="spellStart"/>
            <w:r w:rsidRPr="00CA63EE">
              <w:rPr>
                <w:rFonts w:ascii="Verdana" w:hAnsi="Verdana"/>
                <w:bCs/>
                <w:sz w:val="20"/>
              </w:rPr>
              <w:t>Composite</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S&amp;P/BMV</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IPC</w:t>
            </w:r>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S&amp;P/BMV</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Large</w:t>
            </w:r>
            <w:proofErr w:type="spellEnd"/>
            <w:r w:rsidRPr="00CA63EE">
              <w:rPr>
                <w:rFonts w:ascii="Verdana" w:hAnsi="Verdana"/>
                <w:bCs/>
                <w:sz w:val="20"/>
              </w:rPr>
              <w:t xml:space="preserve"> </w:t>
            </w:r>
            <w:proofErr w:type="spellStart"/>
            <w:r w:rsidRPr="00CA63EE">
              <w:rPr>
                <w:rFonts w:ascii="Verdana" w:hAnsi="Verdana"/>
                <w:bCs/>
                <w:sz w:val="20"/>
              </w:rPr>
              <w:t>Cap</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S&amp;P/BMV</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Mid</w:t>
            </w:r>
            <w:proofErr w:type="spellEnd"/>
            <w:r w:rsidRPr="00CA63EE">
              <w:rPr>
                <w:rFonts w:ascii="Verdana" w:hAnsi="Verdana"/>
                <w:bCs/>
                <w:sz w:val="20"/>
              </w:rPr>
              <w:t xml:space="preserve"> </w:t>
            </w:r>
            <w:proofErr w:type="spellStart"/>
            <w:r w:rsidRPr="00CA63EE">
              <w:rPr>
                <w:rFonts w:ascii="Verdana" w:hAnsi="Verdana"/>
                <w:bCs/>
                <w:sz w:val="20"/>
              </w:rPr>
              <w:t>Cap</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MSCI</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Mexico</w:t>
            </w:r>
            <w:proofErr w:type="spellEnd"/>
            <w:r w:rsidRPr="00CA63EE">
              <w:rPr>
                <w:rFonts w:ascii="Verdana" w:hAnsi="Verdana"/>
                <w:bCs/>
                <w:sz w:val="20"/>
              </w:rPr>
              <w:t xml:space="preserve"> </w:t>
            </w:r>
            <w:proofErr w:type="spellStart"/>
            <w:r w:rsidRPr="00CA63EE">
              <w:rPr>
                <w:rFonts w:ascii="Verdana" w:hAnsi="Verdana"/>
                <w:bCs/>
                <w:sz w:val="20"/>
              </w:rPr>
              <w:t>Investable</w:t>
            </w:r>
            <w:proofErr w:type="spellEnd"/>
            <w:r w:rsidRPr="00CA63EE">
              <w:rPr>
                <w:rFonts w:ascii="Verdana" w:hAnsi="Verdana"/>
                <w:bCs/>
                <w:sz w:val="20"/>
              </w:rPr>
              <w:t xml:space="preserve"> </w:t>
            </w:r>
            <w:proofErr w:type="spellStart"/>
            <w:r w:rsidRPr="00CA63EE">
              <w:rPr>
                <w:rFonts w:ascii="Verdana" w:hAnsi="Verdana"/>
                <w:bCs/>
                <w:sz w:val="20"/>
              </w:rPr>
              <w:t>Market</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MSCI</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Mexico</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FTSE</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Mexico</w:t>
            </w:r>
            <w:proofErr w:type="spellEnd"/>
            <w:r w:rsidRPr="00CA63EE">
              <w:rPr>
                <w:rFonts w:ascii="Verdana" w:hAnsi="Verdana"/>
                <w:bCs/>
                <w:sz w:val="20"/>
              </w:rPr>
              <w:t xml:space="preserve"> </w:t>
            </w:r>
            <w:proofErr w:type="spellStart"/>
            <w:r w:rsidRPr="00CA63EE">
              <w:rPr>
                <w:rFonts w:ascii="Verdana" w:hAnsi="Verdana"/>
                <w:bCs/>
                <w:sz w:val="20"/>
              </w:rPr>
              <w:t>All</w:t>
            </w:r>
            <w:proofErr w:type="spellEnd"/>
            <w:r w:rsidRPr="00CA63EE">
              <w:rPr>
                <w:rFonts w:ascii="Verdana" w:hAnsi="Verdana"/>
                <w:bCs/>
                <w:sz w:val="20"/>
              </w:rPr>
              <w:t xml:space="preserve"> </w:t>
            </w:r>
            <w:proofErr w:type="spellStart"/>
            <w:r w:rsidRPr="00CA63EE">
              <w:rPr>
                <w:rFonts w:ascii="Verdana" w:hAnsi="Verdana"/>
                <w:bCs/>
                <w:sz w:val="20"/>
              </w:rPr>
              <w:t>Cap</w:t>
            </w:r>
            <w:proofErr w:type="spellEnd"/>
          </w:p>
        </w:tc>
      </w:tr>
      <w:tr w:rsidR="00CA63EE" w:rsidRPr="00CA63EE" w:rsidTr="00CA63EE">
        <w:trPr>
          <w:trHeight w:val="542"/>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FTSE</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proofErr w:type="spellStart"/>
            <w:r w:rsidRPr="00CA63EE">
              <w:rPr>
                <w:rFonts w:ascii="Verdana" w:hAnsi="Verdana"/>
                <w:bCs/>
                <w:sz w:val="20"/>
              </w:rPr>
              <w:t>Mexico</w:t>
            </w:r>
            <w:proofErr w:type="spellEnd"/>
          </w:p>
        </w:tc>
      </w:tr>
      <w:tr w:rsidR="00CA63EE" w:rsidRPr="00CA63EE" w:rsidTr="00CA63EE">
        <w:trPr>
          <w:trHeight w:val="557"/>
        </w:trPr>
        <w:tc>
          <w:tcPr>
            <w:tcW w:w="2137"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FTSE</w:t>
            </w:r>
          </w:p>
        </w:tc>
        <w:tc>
          <w:tcPr>
            <w:tcW w:w="3212" w:type="dxa"/>
            <w:tcBorders>
              <w:top w:val="single" w:sz="6" w:space="0" w:color="000000"/>
              <w:left w:val="single" w:sz="6" w:space="0" w:color="000000"/>
              <w:bottom w:val="single" w:sz="6" w:space="0" w:color="000000"/>
              <w:right w:val="single" w:sz="6" w:space="0" w:color="000000"/>
            </w:tcBorders>
            <w:shd w:val="clear" w:color="auto" w:fill="FFFFFF"/>
            <w:hideMark/>
          </w:tcPr>
          <w:p w:rsidR="00CA63EE" w:rsidRPr="00CA63EE" w:rsidRDefault="00CA63EE" w:rsidP="00CA63EE">
            <w:pPr>
              <w:jc w:val="both"/>
              <w:rPr>
                <w:rFonts w:ascii="Verdana" w:hAnsi="Verdana"/>
                <w:bCs/>
                <w:sz w:val="20"/>
              </w:rPr>
            </w:pPr>
            <w:r w:rsidRPr="00CA63EE">
              <w:rPr>
                <w:rFonts w:ascii="Verdana" w:hAnsi="Verdana"/>
                <w:bCs/>
                <w:sz w:val="20"/>
              </w:rPr>
              <w:t>BIVA</w:t>
            </w:r>
          </w:p>
        </w:tc>
      </w:tr>
    </w:tbl>
    <w:p w:rsidR="00CA63EE" w:rsidRPr="00CA63EE" w:rsidRDefault="00CA63EE" w:rsidP="00CA63EE">
      <w:pPr>
        <w:jc w:val="both"/>
        <w:rPr>
          <w:rFonts w:ascii="Verdana" w:hAnsi="Verdana"/>
          <w:bCs/>
          <w:sz w:val="20"/>
        </w:rPr>
      </w:pPr>
    </w:p>
    <w:p w:rsidR="00BF3AEB" w:rsidRDefault="00AE01A5"/>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3EE"/>
    <w:rsid w:val="002228FA"/>
    <w:rsid w:val="00AE01A5"/>
    <w:rsid w:val="00C06CE1"/>
    <w:rsid w:val="00CA63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A63E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A63EE"/>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CA63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3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A63E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A63EE"/>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CA63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3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80074">
      <w:bodyDiv w:val="1"/>
      <w:marLeft w:val="0"/>
      <w:marRight w:val="0"/>
      <w:marTop w:val="0"/>
      <w:marBottom w:val="0"/>
      <w:divBdr>
        <w:top w:val="none" w:sz="0" w:space="0" w:color="auto"/>
        <w:left w:val="none" w:sz="0" w:space="0" w:color="auto"/>
        <w:bottom w:val="none" w:sz="0" w:space="0" w:color="auto"/>
        <w:right w:val="none" w:sz="0" w:space="0" w:color="auto"/>
      </w:divBdr>
    </w:div>
    <w:div w:id="1145273290">
      <w:bodyDiv w:val="1"/>
      <w:marLeft w:val="0"/>
      <w:marRight w:val="0"/>
      <w:marTop w:val="0"/>
      <w:marBottom w:val="0"/>
      <w:divBdr>
        <w:top w:val="none" w:sz="0" w:space="0" w:color="auto"/>
        <w:left w:val="none" w:sz="0" w:space="0" w:color="auto"/>
        <w:bottom w:val="none" w:sz="0" w:space="0" w:color="auto"/>
        <w:right w:val="none" w:sz="0" w:space="0" w:color="auto"/>
      </w:divBdr>
      <w:divsChild>
        <w:div w:id="406076516">
          <w:marLeft w:val="0"/>
          <w:marRight w:val="0"/>
          <w:marTop w:val="0"/>
          <w:marBottom w:val="52"/>
          <w:divBdr>
            <w:top w:val="none" w:sz="0" w:space="0" w:color="auto"/>
            <w:left w:val="none" w:sz="0" w:space="0" w:color="auto"/>
            <w:bottom w:val="none" w:sz="0" w:space="0" w:color="auto"/>
            <w:right w:val="none" w:sz="0" w:space="0" w:color="auto"/>
          </w:divBdr>
        </w:div>
        <w:div w:id="1901331865">
          <w:marLeft w:val="0"/>
          <w:marRight w:val="0"/>
          <w:marTop w:val="101"/>
          <w:marBottom w:val="52"/>
          <w:divBdr>
            <w:top w:val="none" w:sz="0" w:space="0" w:color="auto"/>
            <w:left w:val="none" w:sz="0" w:space="0" w:color="auto"/>
            <w:bottom w:val="none" w:sz="0" w:space="0" w:color="auto"/>
            <w:right w:val="none" w:sz="0" w:space="0" w:color="auto"/>
          </w:divBdr>
        </w:div>
        <w:div w:id="1190291458">
          <w:marLeft w:val="0"/>
          <w:marRight w:val="0"/>
          <w:marTop w:val="0"/>
          <w:marBottom w:val="52"/>
          <w:divBdr>
            <w:top w:val="none" w:sz="0" w:space="0" w:color="auto"/>
            <w:left w:val="none" w:sz="0" w:space="0" w:color="auto"/>
            <w:bottom w:val="none" w:sz="0" w:space="0" w:color="auto"/>
            <w:right w:val="none" w:sz="0" w:space="0" w:color="auto"/>
          </w:divBdr>
        </w:div>
        <w:div w:id="1321347834">
          <w:marLeft w:val="0"/>
          <w:marRight w:val="0"/>
          <w:marTop w:val="0"/>
          <w:marBottom w:val="52"/>
          <w:divBdr>
            <w:top w:val="none" w:sz="0" w:space="0" w:color="auto"/>
            <w:left w:val="none" w:sz="0" w:space="0" w:color="auto"/>
            <w:bottom w:val="none" w:sz="0" w:space="0" w:color="auto"/>
            <w:right w:val="none" w:sz="0" w:space="0" w:color="auto"/>
          </w:divBdr>
        </w:div>
        <w:div w:id="1387222733">
          <w:marLeft w:val="0"/>
          <w:marRight w:val="0"/>
          <w:marTop w:val="0"/>
          <w:marBottom w:val="52"/>
          <w:divBdr>
            <w:top w:val="none" w:sz="0" w:space="0" w:color="auto"/>
            <w:left w:val="none" w:sz="0" w:space="0" w:color="auto"/>
            <w:bottom w:val="none" w:sz="0" w:space="0" w:color="auto"/>
            <w:right w:val="none" w:sz="0" w:space="0" w:color="auto"/>
          </w:divBdr>
        </w:div>
        <w:div w:id="640229868">
          <w:marLeft w:val="0"/>
          <w:marRight w:val="0"/>
          <w:marTop w:val="0"/>
          <w:marBottom w:val="52"/>
          <w:divBdr>
            <w:top w:val="none" w:sz="0" w:space="0" w:color="auto"/>
            <w:left w:val="none" w:sz="0" w:space="0" w:color="auto"/>
            <w:bottom w:val="none" w:sz="0" w:space="0" w:color="auto"/>
            <w:right w:val="none" w:sz="0" w:space="0" w:color="auto"/>
          </w:divBdr>
        </w:div>
        <w:div w:id="1835027382">
          <w:marLeft w:val="0"/>
          <w:marRight w:val="0"/>
          <w:marTop w:val="0"/>
          <w:marBottom w:val="52"/>
          <w:divBdr>
            <w:top w:val="none" w:sz="0" w:space="0" w:color="auto"/>
            <w:left w:val="none" w:sz="0" w:space="0" w:color="auto"/>
            <w:bottom w:val="none" w:sz="0" w:space="0" w:color="auto"/>
            <w:right w:val="none" w:sz="0" w:space="0" w:color="auto"/>
          </w:divBdr>
        </w:div>
        <w:div w:id="897401785">
          <w:marLeft w:val="0"/>
          <w:marRight w:val="0"/>
          <w:marTop w:val="0"/>
          <w:marBottom w:val="52"/>
          <w:divBdr>
            <w:top w:val="none" w:sz="0" w:space="0" w:color="auto"/>
            <w:left w:val="none" w:sz="0" w:space="0" w:color="auto"/>
            <w:bottom w:val="none" w:sz="0" w:space="0" w:color="auto"/>
            <w:right w:val="none" w:sz="0" w:space="0" w:color="auto"/>
          </w:divBdr>
        </w:div>
        <w:div w:id="815220860">
          <w:marLeft w:val="0"/>
          <w:marRight w:val="0"/>
          <w:marTop w:val="0"/>
          <w:marBottom w:val="52"/>
          <w:divBdr>
            <w:top w:val="none" w:sz="0" w:space="0" w:color="auto"/>
            <w:left w:val="none" w:sz="0" w:space="0" w:color="auto"/>
            <w:bottom w:val="none" w:sz="0" w:space="0" w:color="auto"/>
            <w:right w:val="none" w:sz="0" w:space="0" w:color="auto"/>
          </w:divBdr>
        </w:div>
        <w:div w:id="1538159791">
          <w:marLeft w:val="0"/>
          <w:marRight w:val="0"/>
          <w:marTop w:val="101"/>
          <w:marBottom w:val="52"/>
          <w:divBdr>
            <w:top w:val="none" w:sz="0" w:space="0" w:color="auto"/>
            <w:left w:val="none" w:sz="0" w:space="0" w:color="auto"/>
            <w:bottom w:val="none" w:sz="0" w:space="0" w:color="auto"/>
            <w:right w:val="none" w:sz="0" w:space="0" w:color="auto"/>
          </w:divBdr>
        </w:div>
        <w:div w:id="443619992">
          <w:marLeft w:val="0"/>
          <w:marRight w:val="0"/>
          <w:marTop w:val="101"/>
          <w:marBottom w:val="52"/>
          <w:divBdr>
            <w:top w:val="none" w:sz="0" w:space="0" w:color="auto"/>
            <w:left w:val="none" w:sz="0" w:space="0" w:color="auto"/>
            <w:bottom w:val="none" w:sz="0" w:space="0" w:color="auto"/>
            <w:right w:val="none" w:sz="0" w:space="0" w:color="auto"/>
          </w:divBdr>
        </w:div>
        <w:div w:id="1124079921">
          <w:marLeft w:val="0"/>
          <w:marRight w:val="0"/>
          <w:marTop w:val="0"/>
          <w:marBottom w:val="52"/>
          <w:divBdr>
            <w:top w:val="none" w:sz="0" w:space="0" w:color="auto"/>
            <w:left w:val="none" w:sz="0" w:space="0" w:color="auto"/>
            <w:bottom w:val="none" w:sz="0" w:space="0" w:color="auto"/>
            <w:right w:val="none" w:sz="0" w:space="0" w:color="auto"/>
          </w:divBdr>
        </w:div>
        <w:div w:id="36592663">
          <w:marLeft w:val="0"/>
          <w:marRight w:val="0"/>
          <w:marTop w:val="0"/>
          <w:marBottom w:val="52"/>
          <w:divBdr>
            <w:top w:val="none" w:sz="0" w:space="0" w:color="auto"/>
            <w:left w:val="none" w:sz="0" w:space="0" w:color="auto"/>
            <w:bottom w:val="none" w:sz="0" w:space="0" w:color="auto"/>
            <w:right w:val="none" w:sz="0" w:space="0" w:color="auto"/>
          </w:divBdr>
        </w:div>
        <w:div w:id="107312289">
          <w:marLeft w:val="0"/>
          <w:marRight w:val="0"/>
          <w:marTop w:val="0"/>
          <w:marBottom w:val="52"/>
          <w:divBdr>
            <w:top w:val="none" w:sz="0" w:space="0" w:color="auto"/>
            <w:left w:val="none" w:sz="0" w:space="0" w:color="auto"/>
            <w:bottom w:val="none" w:sz="0" w:space="0" w:color="auto"/>
            <w:right w:val="none" w:sz="0" w:space="0" w:color="auto"/>
          </w:divBdr>
        </w:div>
        <w:div w:id="1759519137">
          <w:marLeft w:val="0"/>
          <w:marRight w:val="0"/>
          <w:marTop w:val="0"/>
          <w:marBottom w:val="52"/>
          <w:divBdr>
            <w:top w:val="none" w:sz="0" w:space="0" w:color="auto"/>
            <w:left w:val="none" w:sz="0" w:space="0" w:color="auto"/>
            <w:bottom w:val="none" w:sz="0" w:space="0" w:color="auto"/>
            <w:right w:val="none" w:sz="0" w:space="0" w:color="auto"/>
          </w:divBdr>
        </w:div>
        <w:div w:id="1077634127">
          <w:marLeft w:val="0"/>
          <w:marRight w:val="0"/>
          <w:marTop w:val="0"/>
          <w:marBottom w:val="52"/>
          <w:divBdr>
            <w:top w:val="none" w:sz="0" w:space="0" w:color="auto"/>
            <w:left w:val="none" w:sz="0" w:space="0" w:color="auto"/>
            <w:bottom w:val="none" w:sz="0" w:space="0" w:color="auto"/>
            <w:right w:val="none" w:sz="0" w:space="0" w:color="auto"/>
          </w:divBdr>
        </w:div>
        <w:div w:id="1660187858">
          <w:marLeft w:val="0"/>
          <w:marRight w:val="0"/>
          <w:marTop w:val="0"/>
          <w:marBottom w:val="52"/>
          <w:divBdr>
            <w:top w:val="none" w:sz="0" w:space="0" w:color="auto"/>
            <w:left w:val="none" w:sz="0" w:space="0" w:color="auto"/>
            <w:bottom w:val="none" w:sz="0" w:space="0" w:color="auto"/>
            <w:right w:val="none" w:sz="0" w:space="0" w:color="auto"/>
          </w:divBdr>
        </w:div>
        <w:div w:id="1299414831">
          <w:marLeft w:val="0"/>
          <w:marRight w:val="0"/>
          <w:marTop w:val="0"/>
          <w:marBottom w:val="52"/>
          <w:divBdr>
            <w:top w:val="none" w:sz="0" w:space="0" w:color="auto"/>
            <w:left w:val="none" w:sz="0" w:space="0" w:color="auto"/>
            <w:bottom w:val="none" w:sz="0" w:space="0" w:color="auto"/>
            <w:right w:val="none" w:sz="0" w:space="0" w:color="auto"/>
          </w:divBdr>
        </w:div>
        <w:div w:id="1692535654">
          <w:marLeft w:val="0"/>
          <w:marRight w:val="0"/>
          <w:marTop w:val="0"/>
          <w:marBottom w:val="52"/>
          <w:divBdr>
            <w:top w:val="none" w:sz="0" w:space="0" w:color="auto"/>
            <w:left w:val="none" w:sz="0" w:space="0" w:color="auto"/>
            <w:bottom w:val="none" w:sz="0" w:space="0" w:color="auto"/>
            <w:right w:val="none" w:sz="0" w:space="0" w:color="auto"/>
          </w:divBdr>
        </w:div>
        <w:div w:id="1672483493">
          <w:marLeft w:val="0"/>
          <w:marRight w:val="0"/>
          <w:marTop w:val="0"/>
          <w:marBottom w:val="52"/>
          <w:divBdr>
            <w:top w:val="none" w:sz="0" w:space="0" w:color="auto"/>
            <w:left w:val="none" w:sz="0" w:space="0" w:color="auto"/>
            <w:bottom w:val="none" w:sz="0" w:space="0" w:color="auto"/>
            <w:right w:val="none" w:sz="0" w:space="0" w:color="auto"/>
          </w:divBdr>
        </w:div>
        <w:div w:id="1333290508">
          <w:marLeft w:val="0"/>
          <w:marRight w:val="0"/>
          <w:marTop w:val="0"/>
          <w:marBottom w:val="52"/>
          <w:divBdr>
            <w:top w:val="none" w:sz="0" w:space="0" w:color="auto"/>
            <w:left w:val="none" w:sz="0" w:space="0" w:color="auto"/>
            <w:bottom w:val="none" w:sz="0" w:space="0" w:color="auto"/>
            <w:right w:val="none" w:sz="0" w:space="0" w:color="auto"/>
          </w:divBdr>
        </w:div>
        <w:div w:id="1850950443">
          <w:marLeft w:val="0"/>
          <w:marRight w:val="0"/>
          <w:marTop w:val="0"/>
          <w:marBottom w:val="52"/>
          <w:divBdr>
            <w:top w:val="none" w:sz="0" w:space="0" w:color="auto"/>
            <w:left w:val="none" w:sz="0" w:space="0" w:color="auto"/>
            <w:bottom w:val="none" w:sz="0" w:space="0" w:color="auto"/>
            <w:right w:val="none" w:sz="0" w:space="0" w:color="auto"/>
          </w:divBdr>
        </w:div>
        <w:div w:id="1495534824">
          <w:marLeft w:val="0"/>
          <w:marRight w:val="0"/>
          <w:marTop w:val="0"/>
          <w:marBottom w:val="52"/>
          <w:divBdr>
            <w:top w:val="none" w:sz="0" w:space="0" w:color="auto"/>
            <w:left w:val="none" w:sz="0" w:space="0" w:color="auto"/>
            <w:bottom w:val="none" w:sz="0" w:space="0" w:color="auto"/>
            <w:right w:val="none" w:sz="0" w:space="0" w:color="auto"/>
          </w:divBdr>
        </w:div>
        <w:div w:id="439883620">
          <w:marLeft w:val="0"/>
          <w:marRight w:val="0"/>
          <w:marTop w:val="0"/>
          <w:marBottom w:val="52"/>
          <w:divBdr>
            <w:top w:val="none" w:sz="0" w:space="0" w:color="auto"/>
            <w:left w:val="none" w:sz="0" w:space="0" w:color="auto"/>
            <w:bottom w:val="none" w:sz="0" w:space="0" w:color="auto"/>
            <w:right w:val="none" w:sz="0" w:space="0" w:color="auto"/>
          </w:divBdr>
        </w:div>
        <w:div w:id="1703749903">
          <w:marLeft w:val="0"/>
          <w:marRight w:val="0"/>
          <w:marTop w:val="0"/>
          <w:marBottom w:val="52"/>
          <w:divBdr>
            <w:top w:val="none" w:sz="0" w:space="0" w:color="auto"/>
            <w:left w:val="none" w:sz="0" w:space="0" w:color="auto"/>
            <w:bottom w:val="none" w:sz="0" w:space="0" w:color="auto"/>
            <w:right w:val="none" w:sz="0" w:space="0" w:color="auto"/>
          </w:divBdr>
        </w:div>
        <w:div w:id="641665661">
          <w:marLeft w:val="0"/>
          <w:marRight w:val="0"/>
          <w:marTop w:val="0"/>
          <w:marBottom w:val="52"/>
          <w:divBdr>
            <w:top w:val="none" w:sz="0" w:space="0" w:color="auto"/>
            <w:left w:val="none" w:sz="0" w:space="0" w:color="auto"/>
            <w:bottom w:val="none" w:sz="0" w:space="0" w:color="auto"/>
            <w:right w:val="none" w:sz="0" w:space="0" w:color="auto"/>
          </w:divBdr>
        </w:div>
        <w:div w:id="2013339868">
          <w:marLeft w:val="0"/>
          <w:marRight w:val="0"/>
          <w:marTop w:val="0"/>
          <w:marBottom w:val="52"/>
          <w:divBdr>
            <w:top w:val="none" w:sz="0" w:space="0" w:color="auto"/>
            <w:left w:val="none" w:sz="0" w:space="0" w:color="auto"/>
            <w:bottom w:val="none" w:sz="0" w:space="0" w:color="auto"/>
            <w:right w:val="none" w:sz="0" w:space="0" w:color="auto"/>
          </w:divBdr>
        </w:div>
        <w:div w:id="913012428">
          <w:marLeft w:val="0"/>
          <w:marRight w:val="0"/>
          <w:marTop w:val="0"/>
          <w:marBottom w:val="52"/>
          <w:divBdr>
            <w:top w:val="none" w:sz="0" w:space="0" w:color="auto"/>
            <w:left w:val="none" w:sz="0" w:space="0" w:color="auto"/>
            <w:bottom w:val="none" w:sz="0" w:space="0" w:color="auto"/>
            <w:right w:val="none" w:sz="0" w:space="0" w:color="auto"/>
          </w:divBdr>
        </w:div>
        <w:div w:id="448552536">
          <w:marLeft w:val="0"/>
          <w:marRight w:val="0"/>
          <w:marTop w:val="0"/>
          <w:marBottom w:val="52"/>
          <w:divBdr>
            <w:top w:val="none" w:sz="0" w:space="0" w:color="auto"/>
            <w:left w:val="none" w:sz="0" w:space="0" w:color="auto"/>
            <w:bottom w:val="none" w:sz="0" w:space="0" w:color="auto"/>
            <w:right w:val="none" w:sz="0" w:space="0" w:color="auto"/>
          </w:divBdr>
        </w:div>
        <w:div w:id="170412097">
          <w:marLeft w:val="0"/>
          <w:marRight w:val="0"/>
          <w:marTop w:val="0"/>
          <w:marBottom w:val="52"/>
          <w:divBdr>
            <w:top w:val="none" w:sz="0" w:space="0" w:color="auto"/>
            <w:left w:val="none" w:sz="0" w:space="0" w:color="auto"/>
            <w:bottom w:val="none" w:sz="0" w:space="0" w:color="auto"/>
            <w:right w:val="none" w:sz="0" w:space="0" w:color="auto"/>
          </w:divBdr>
        </w:div>
        <w:div w:id="1925531735">
          <w:marLeft w:val="0"/>
          <w:marRight w:val="0"/>
          <w:marTop w:val="0"/>
          <w:marBottom w:val="52"/>
          <w:divBdr>
            <w:top w:val="none" w:sz="0" w:space="0" w:color="auto"/>
            <w:left w:val="none" w:sz="0" w:space="0" w:color="auto"/>
            <w:bottom w:val="none" w:sz="0" w:space="0" w:color="auto"/>
            <w:right w:val="none" w:sz="0" w:space="0" w:color="auto"/>
          </w:divBdr>
        </w:div>
        <w:div w:id="1495990838">
          <w:marLeft w:val="0"/>
          <w:marRight w:val="0"/>
          <w:marTop w:val="0"/>
          <w:marBottom w:val="52"/>
          <w:divBdr>
            <w:top w:val="none" w:sz="0" w:space="0" w:color="auto"/>
            <w:left w:val="none" w:sz="0" w:space="0" w:color="auto"/>
            <w:bottom w:val="none" w:sz="0" w:space="0" w:color="auto"/>
            <w:right w:val="none" w:sz="0" w:space="0" w:color="auto"/>
          </w:divBdr>
        </w:div>
        <w:div w:id="1524439860">
          <w:marLeft w:val="0"/>
          <w:marRight w:val="0"/>
          <w:marTop w:val="0"/>
          <w:marBottom w:val="52"/>
          <w:divBdr>
            <w:top w:val="none" w:sz="0" w:space="0" w:color="auto"/>
            <w:left w:val="none" w:sz="0" w:space="0" w:color="auto"/>
            <w:bottom w:val="none" w:sz="0" w:space="0" w:color="auto"/>
            <w:right w:val="none" w:sz="0" w:space="0" w:color="auto"/>
          </w:divBdr>
        </w:div>
        <w:div w:id="917717467">
          <w:marLeft w:val="0"/>
          <w:marRight w:val="0"/>
          <w:marTop w:val="0"/>
          <w:marBottom w:val="52"/>
          <w:divBdr>
            <w:top w:val="none" w:sz="0" w:space="0" w:color="auto"/>
            <w:left w:val="none" w:sz="0" w:space="0" w:color="auto"/>
            <w:bottom w:val="none" w:sz="0" w:space="0" w:color="auto"/>
            <w:right w:val="none" w:sz="0" w:space="0" w:color="auto"/>
          </w:divBdr>
        </w:div>
        <w:div w:id="399668699">
          <w:marLeft w:val="0"/>
          <w:marRight w:val="0"/>
          <w:marTop w:val="0"/>
          <w:marBottom w:val="52"/>
          <w:divBdr>
            <w:top w:val="none" w:sz="0" w:space="0" w:color="auto"/>
            <w:left w:val="none" w:sz="0" w:space="0" w:color="auto"/>
            <w:bottom w:val="none" w:sz="0" w:space="0" w:color="auto"/>
            <w:right w:val="none" w:sz="0" w:space="0" w:color="auto"/>
          </w:divBdr>
        </w:div>
        <w:div w:id="160464767">
          <w:marLeft w:val="0"/>
          <w:marRight w:val="0"/>
          <w:marTop w:val="0"/>
          <w:marBottom w:val="52"/>
          <w:divBdr>
            <w:top w:val="none" w:sz="0" w:space="0" w:color="auto"/>
            <w:left w:val="none" w:sz="0" w:space="0" w:color="auto"/>
            <w:bottom w:val="none" w:sz="0" w:space="0" w:color="auto"/>
            <w:right w:val="none" w:sz="0" w:space="0" w:color="auto"/>
          </w:divBdr>
        </w:div>
        <w:div w:id="1347714505">
          <w:marLeft w:val="0"/>
          <w:marRight w:val="0"/>
          <w:marTop w:val="0"/>
          <w:marBottom w:val="52"/>
          <w:divBdr>
            <w:top w:val="none" w:sz="0" w:space="0" w:color="auto"/>
            <w:left w:val="none" w:sz="0" w:space="0" w:color="auto"/>
            <w:bottom w:val="none" w:sz="0" w:space="0" w:color="auto"/>
            <w:right w:val="none" w:sz="0" w:space="0" w:color="auto"/>
          </w:divBdr>
        </w:div>
        <w:div w:id="810561864">
          <w:marLeft w:val="0"/>
          <w:marRight w:val="0"/>
          <w:marTop w:val="0"/>
          <w:marBottom w:val="52"/>
          <w:divBdr>
            <w:top w:val="none" w:sz="0" w:space="0" w:color="auto"/>
            <w:left w:val="none" w:sz="0" w:space="0" w:color="auto"/>
            <w:bottom w:val="none" w:sz="0" w:space="0" w:color="auto"/>
            <w:right w:val="none" w:sz="0" w:space="0" w:color="auto"/>
          </w:divBdr>
        </w:div>
        <w:div w:id="1010958484">
          <w:marLeft w:val="0"/>
          <w:marRight w:val="0"/>
          <w:marTop w:val="0"/>
          <w:marBottom w:val="52"/>
          <w:divBdr>
            <w:top w:val="none" w:sz="0" w:space="0" w:color="auto"/>
            <w:left w:val="none" w:sz="0" w:space="0" w:color="auto"/>
            <w:bottom w:val="none" w:sz="0" w:space="0" w:color="auto"/>
            <w:right w:val="none" w:sz="0" w:space="0" w:color="auto"/>
          </w:divBdr>
        </w:div>
        <w:div w:id="798576271">
          <w:marLeft w:val="0"/>
          <w:marRight w:val="0"/>
          <w:marTop w:val="0"/>
          <w:marBottom w:val="52"/>
          <w:divBdr>
            <w:top w:val="none" w:sz="0" w:space="0" w:color="auto"/>
            <w:left w:val="none" w:sz="0" w:space="0" w:color="auto"/>
            <w:bottom w:val="none" w:sz="0" w:space="0" w:color="auto"/>
            <w:right w:val="none" w:sz="0" w:space="0" w:color="auto"/>
          </w:divBdr>
        </w:div>
        <w:div w:id="1736931738">
          <w:marLeft w:val="0"/>
          <w:marRight w:val="0"/>
          <w:marTop w:val="0"/>
          <w:marBottom w:val="52"/>
          <w:divBdr>
            <w:top w:val="none" w:sz="0" w:space="0" w:color="auto"/>
            <w:left w:val="none" w:sz="0" w:space="0" w:color="auto"/>
            <w:bottom w:val="none" w:sz="0" w:space="0" w:color="auto"/>
            <w:right w:val="none" w:sz="0" w:space="0" w:color="auto"/>
          </w:divBdr>
        </w:div>
        <w:div w:id="706948490">
          <w:marLeft w:val="0"/>
          <w:marRight w:val="0"/>
          <w:marTop w:val="0"/>
          <w:marBottom w:val="52"/>
          <w:divBdr>
            <w:top w:val="none" w:sz="0" w:space="0" w:color="auto"/>
            <w:left w:val="none" w:sz="0" w:space="0" w:color="auto"/>
            <w:bottom w:val="none" w:sz="0" w:space="0" w:color="auto"/>
            <w:right w:val="none" w:sz="0" w:space="0" w:color="auto"/>
          </w:divBdr>
        </w:div>
        <w:div w:id="604928021">
          <w:marLeft w:val="0"/>
          <w:marRight w:val="0"/>
          <w:marTop w:val="0"/>
          <w:marBottom w:val="52"/>
          <w:divBdr>
            <w:top w:val="none" w:sz="0" w:space="0" w:color="auto"/>
            <w:left w:val="none" w:sz="0" w:space="0" w:color="auto"/>
            <w:bottom w:val="none" w:sz="0" w:space="0" w:color="auto"/>
            <w:right w:val="none" w:sz="0" w:space="0" w:color="auto"/>
          </w:divBdr>
        </w:div>
        <w:div w:id="1699500872">
          <w:marLeft w:val="0"/>
          <w:marRight w:val="0"/>
          <w:marTop w:val="0"/>
          <w:marBottom w:val="52"/>
          <w:divBdr>
            <w:top w:val="none" w:sz="0" w:space="0" w:color="auto"/>
            <w:left w:val="none" w:sz="0" w:space="0" w:color="auto"/>
            <w:bottom w:val="none" w:sz="0" w:space="0" w:color="auto"/>
            <w:right w:val="none" w:sz="0" w:space="0" w:color="auto"/>
          </w:divBdr>
        </w:div>
        <w:div w:id="475268433">
          <w:marLeft w:val="0"/>
          <w:marRight w:val="0"/>
          <w:marTop w:val="0"/>
          <w:marBottom w:val="52"/>
          <w:divBdr>
            <w:top w:val="none" w:sz="0" w:space="0" w:color="auto"/>
            <w:left w:val="none" w:sz="0" w:space="0" w:color="auto"/>
            <w:bottom w:val="none" w:sz="0" w:space="0" w:color="auto"/>
            <w:right w:val="none" w:sz="0" w:space="0" w:color="auto"/>
          </w:divBdr>
        </w:div>
        <w:div w:id="109592334">
          <w:marLeft w:val="0"/>
          <w:marRight w:val="0"/>
          <w:marTop w:val="0"/>
          <w:marBottom w:val="52"/>
          <w:divBdr>
            <w:top w:val="none" w:sz="0" w:space="0" w:color="auto"/>
            <w:left w:val="none" w:sz="0" w:space="0" w:color="auto"/>
            <w:bottom w:val="none" w:sz="0" w:space="0" w:color="auto"/>
            <w:right w:val="none" w:sz="0" w:space="0" w:color="auto"/>
          </w:divBdr>
        </w:div>
        <w:div w:id="446386748">
          <w:marLeft w:val="0"/>
          <w:marRight w:val="0"/>
          <w:marTop w:val="0"/>
          <w:marBottom w:val="52"/>
          <w:divBdr>
            <w:top w:val="none" w:sz="0" w:space="0" w:color="auto"/>
            <w:left w:val="none" w:sz="0" w:space="0" w:color="auto"/>
            <w:bottom w:val="none" w:sz="0" w:space="0" w:color="auto"/>
            <w:right w:val="none" w:sz="0" w:space="0" w:color="auto"/>
          </w:divBdr>
        </w:div>
        <w:div w:id="1700006914">
          <w:marLeft w:val="0"/>
          <w:marRight w:val="0"/>
          <w:marTop w:val="0"/>
          <w:marBottom w:val="52"/>
          <w:divBdr>
            <w:top w:val="none" w:sz="0" w:space="0" w:color="auto"/>
            <w:left w:val="none" w:sz="0" w:space="0" w:color="auto"/>
            <w:bottom w:val="none" w:sz="0" w:space="0" w:color="auto"/>
            <w:right w:val="none" w:sz="0" w:space="0" w:color="auto"/>
          </w:divBdr>
        </w:div>
        <w:div w:id="568462179">
          <w:marLeft w:val="0"/>
          <w:marRight w:val="0"/>
          <w:marTop w:val="0"/>
          <w:marBottom w:val="52"/>
          <w:divBdr>
            <w:top w:val="none" w:sz="0" w:space="0" w:color="auto"/>
            <w:left w:val="none" w:sz="0" w:space="0" w:color="auto"/>
            <w:bottom w:val="none" w:sz="0" w:space="0" w:color="auto"/>
            <w:right w:val="none" w:sz="0" w:space="0" w:color="auto"/>
          </w:divBdr>
        </w:div>
        <w:div w:id="1392725594">
          <w:marLeft w:val="0"/>
          <w:marRight w:val="0"/>
          <w:marTop w:val="0"/>
          <w:marBottom w:val="52"/>
          <w:divBdr>
            <w:top w:val="none" w:sz="0" w:space="0" w:color="auto"/>
            <w:left w:val="none" w:sz="0" w:space="0" w:color="auto"/>
            <w:bottom w:val="none" w:sz="0" w:space="0" w:color="auto"/>
            <w:right w:val="none" w:sz="0" w:space="0" w:color="auto"/>
          </w:divBdr>
        </w:div>
        <w:div w:id="1756780983">
          <w:marLeft w:val="0"/>
          <w:marRight w:val="0"/>
          <w:marTop w:val="0"/>
          <w:marBottom w:val="52"/>
          <w:divBdr>
            <w:top w:val="none" w:sz="0" w:space="0" w:color="auto"/>
            <w:left w:val="none" w:sz="0" w:space="0" w:color="auto"/>
            <w:bottom w:val="none" w:sz="0" w:space="0" w:color="auto"/>
            <w:right w:val="none" w:sz="0" w:space="0" w:color="auto"/>
          </w:divBdr>
        </w:div>
        <w:div w:id="1463379073">
          <w:marLeft w:val="0"/>
          <w:marRight w:val="0"/>
          <w:marTop w:val="0"/>
          <w:marBottom w:val="52"/>
          <w:divBdr>
            <w:top w:val="none" w:sz="0" w:space="0" w:color="auto"/>
            <w:left w:val="none" w:sz="0" w:space="0" w:color="auto"/>
            <w:bottom w:val="none" w:sz="0" w:space="0" w:color="auto"/>
            <w:right w:val="none" w:sz="0" w:space="0" w:color="auto"/>
          </w:divBdr>
        </w:div>
        <w:div w:id="1144011441">
          <w:marLeft w:val="0"/>
          <w:marRight w:val="0"/>
          <w:marTop w:val="0"/>
          <w:marBottom w:val="52"/>
          <w:divBdr>
            <w:top w:val="none" w:sz="0" w:space="0" w:color="auto"/>
            <w:left w:val="none" w:sz="0" w:space="0" w:color="auto"/>
            <w:bottom w:val="none" w:sz="0" w:space="0" w:color="auto"/>
            <w:right w:val="none" w:sz="0" w:space="0" w:color="auto"/>
          </w:divBdr>
        </w:div>
        <w:div w:id="1054277663">
          <w:marLeft w:val="0"/>
          <w:marRight w:val="0"/>
          <w:marTop w:val="0"/>
          <w:marBottom w:val="52"/>
          <w:divBdr>
            <w:top w:val="none" w:sz="0" w:space="0" w:color="auto"/>
            <w:left w:val="none" w:sz="0" w:space="0" w:color="auto"/>
            <w:bottom w:val="none" w:sz="0" w:space="0" w:color="auto"/>
            <w:right w:val="none" w:sz="0" w:space="0" w:color="auto"/>
          </w:divBdr>
        </w:div>
        <w:div w:id="810363226">
          <w:marLeft w:val="0"/>
          <w:marRight w:val="0"/>
          <w:marTop w:val="0"/>
          <w:marBottom w:val="52"/>
          <w:divBdr>
            <w:top w:val="none" w:sz="0" w:space="0" w:color="auto"/>
            <w:left w:val="none" w:sz="0" w:space="0" w:color="auto"/>
            <w:bottom w:val="none" w:sz="0" w:space="0" w:color="auto"/>
            <w:right w:val="none" w:sz="0" w:space="0" w:color="auto"/>
          </w:divBdr>
        </w:div>
        <w:div w:id="60055820">
          <w:marLeft w:val="0"/>
          <w:marRight w:val="0"/>
          <w:marTop w:val="0"/>
          <w:marBottom w:val="52"/>
          <w:divBdr>
            <w:top w:val="none" w:sz="0" w:space="0" w:color="auto"/>
            <w:left w:val="none" w:sz="0" w:space="0" w:color="auto"/>
            <w:bottom w:val="none" w:sz="0" w:space="0" w:color="auto"/>
            <w:right w:val="none" w:sz="0" w:space="0" w:color="auto"/>
          </w:divBdr>
        </w:div>
        <w:div w:id="718094625">
          <w:marLeft w:val="0"/>
          <w:marRight w:val="0"/>
          <w:marTop w:val="0"/>
          <w:marBottom w:val="52"/>
          <w:divBdr>
            <w:top w:val="none" w:sz="0" w:space="0" w:color="auto"/>
            <w:left w:val="none" w:sz="0" w:space="0" w:color="auto"/>
            <w:bottom w:val="none" w:sz="0" w:space="0" w:color="auto"/>
            <w:right w:val="none" w:sz="0" w:space="0" w:color="auto"/>
          </w:divBdr>
        </w:div>
        <w:div w:id="735973807">
          <w:marLeft w:val="0"/>
          <w:marRight w:val="0"/>
          <w:marTop w:val="0"/>
          <w:marBottom w:val="52"/>
          <w:divBdr>
            <w:top w:val="none" w:sz="0" w:space="0" w:color="auto"/>
            <w:left w:val="none" w:sz="0" w:space="0" w:color="auto"/>
            <w:bottom w:val="none" w:sz="0" w:space="0" w:color="auto"/>
            <w:right w:val="none" w:sz="0" w:space="0" w:color="auto"/>
          </w:divBdr>
        </w:div>
        <w:div w:id="2089691217">
          <w:marLeft w:val="0"/>
          <w:marRight w:val="0"/>
          <w:marTop w:val="0"/>
          <w:marBottom w:val="52"/>
          <w:divBdr>
            <w:top w:val="none" w:sz="0" w:space="0" w:color="auto"/>
            <w:left w:val="none" w:sz="0" w:space="0" w:color="auto"/>
            <w:bottom w:val="none" w:sz="0" w:space="0" w:color="auto"/>
            <w:right w:val="none" w:sz="0" w:space="0" w:color="auto"/>
          </w:divBdr>
        </w:div>
        <w:div w:id="1172530182">
          <w:marLeft w:val="0"/>
          <w:marRight w:val="0"/>
          <w:marTop w:val="0"/>
          <w:marBottom w:val="52"/>
          <w:divBdr>
            <w:top w:val="none" w:sz="0" w:space="0" w:color="auto"/>
            <w:left w:val="none" w:sz="0" w:space="0" w:color="auto"/>
            <w:bottom w:val="none" w:sz="0" w:space="0" w:color="auto"/>
            <w:right w:val="none" w:sz="0" w:space="0" w:color="auto"/>
          </w:divBdr>
        </w:div>
        <w:div w:id="1539779355">
          <w:marLeft w:val="0"/>
          <w:marRight w:val="0"/>
          <w:marTop w:val="0"/>
          <w:marBottom w:val="52"/>
          <w:divBdr>
            <w:top w:val="none" w:sz="0" w:space="0" w:color="auto"/>
            <w:left w:val="none" w:sz="0" w:space="0" w:color="auto"/>
            <w:bottom w:val="none" w:sz="0" w:space="0" w:color="auto"/>
            <w:right w:val="none" w:sz="0" w:space="0" w:color="auto"/>
          </w:divBdr>
        </w:div>
        <w:div w:id="1005281260">
          <w:marLeft w:val="0"/>
          <w:marRight w:val="0"/>
          <w:marTop w:val="0"/>
          <w:marBottom w:val="52"/>
          <w:divBdr>
            <w:top w:val="none" w:sz="0" w:space="0" w:color="auto"/>
            <w:left w:val="none" w:sz="0" w:space="0" w:color="auto"/>
            <w:bottom w:val="none" w:sz="0" w:space="0" w:color="auto"/>
            <w:right w:val="none" w:sz="0" w:space="0" w:color="auto"/>
          </w:divBdr>
        </w:div>
        <w:div w:id="346753680">
          <w:marLeft w:val="0"/>
          <w:marRight w:val="0"/>
          <w:marTop w:val="0"/>
          <w:marBottom w:val="52"/>
          <w:divBdr>
            <w:top w:val="none" w:sz="0" w:space="0" w:color="auto"/>
            <w:left w:val="none" w:sz="0" w:space="0" w:color="auto"/>
            <w:bottom w:val="none" w:sz="0" w:space="0" w:color="auto"/>
            <w:right w:val="none" w:sz="0" w:space="0" w:color="auto"/>
          </w:divBdr>
        </w:div>
        <w:div w:id="1371606964">
          <w:marLeft w:val="0"/>
          <w:marRight w:val="0"/>
          <w:marTop w:val="0"/>
          <w:marBottom w:val="52"/>
          <w:divBdr>
            <w:top w:val="none" w:sz="0" w:space="0" w:color="auto"/>
            <w:left w:val="none" w:sz="0" w:space="0" w:color="auto"/>
            <w:bottom w:val="none" w:sz="0" w:space="0" w:color="auto"/>
            <w:right w:val="none" w:sz="0" w:space="0" w:color="auto"/>
          </w:divBdr>
        </w:div>
        <w:div w:id="140537033">
          <w:marLeft w:val="0"/>
          <w:marRight w:val="0"/>
          <w:marTop w:val="0"/>
          <w:marBottom w:val="52"/>
          <w:divBdr>
            <w:top w:val="none" w:sz="0" w:space="0" w:color="auto"/>
            <w:left w:val="none" w:sz="0" w:space="0" w:color="auto"/>
            <w:bottom w:val="none" w:sz="0" w:space="0" w:color="auto"/>
            <w:right w:val="none" w:sz="0" w:space="0" w:color="auto"/>
          </w:divBdr>
        </w:div>
        <w:div w:id="342635926">
          <w:marLeft w:val="0"/>
          <w:marRight w:val="0"/>
          <w:marTop w:val="0"/>
          <w:marBottom w:val="52"/>
          <w:divBdr>
            <w:top w:val="none" w:sz="0" w:space="0" w:color="auto"/>
            <w:left w:val="none" w:sz="0" w:space="0" w:color="auto"/>
            <w:bottom w:val="none" w:sz="0" w:space="0" w:color="auto"/>
            <w:right w:val="none" w:sz="0" w:space="0" w:color="auto"/>
          </w:divBdr>
        </w:div>
        <w:div w:id="1201823377">
          <w:marLeft w:val="0"/>
          <w:marRight w:val="0"/>
          <w:marTop w:val="0"/>
          <w:marBottom w:val="52"/>
          <w:divBdr>
            <w:top w:val="none" w:sz="0" w:space="0" w:color="auto"/>
            <w:left w:val="none" w:sz="0" w:space="0" w:color="auto"/>
            <w:bottom w:val="none" w:sz="0" w:space="0" w:color="auto"/>
            <w:right w:val="none" w:sz="0" w:space="0" w:color="auto"/>
          </w:divBdr>
        </w:div>
        <w:div w:id="171263873">
          <w:marLeft w:val="0"/>
          <w:marRight w:val="0"/>
          <w:marTop w:val="0"/>
          <w:marBottom w:val="52"/>
          <w:divBdr>
            <w:top w:val="none" w:sz="0" w:space="0" w:color="auto"/>
            <w:left w:val="none" w:sz="0" w:space="0" w:color="auto"/>
            <w:bottom w:val="none" w:sz="0" w:space="0" w:color="auto"/>
            <w:right w:val="none" w:sz="0" w:space="0" w:color="auto"/>
          </w:divBdr>
        </w:div>
        <w:div w:id="885070564">
          <w:marLeft w:val="0"/>
          <w:marRight w:val="0"/>
          <w:marTop w:val="0"/>
          <w:marBottom w:val="52"/>
          <w:divBdr>
            <w:top w:val="none" w:sz="0" w:space="0" w:color="auto"/>
            <w:left w:val="none" w:sz="0" w:space="0" w:color="auto"/>
            <w:bottom w:val="none" w:sz="0" w:space="0" w:color="auto"/>
            <w:right w:val="none" w:sz="0" w:space="0" w:color="auto"/>
          </w:divBdr>
        </w:div>
        <w:div w:id="767113992">
          <w:marLeft w:val="0"/>
          <w:marRight w:val="0"/>
          <w:marTop w:val="0"/>
          <w:marBottom w:val="52"/>
          <w:divBdr>
            <w:top w:val="none" w:sz="0" w:space="0" w:color="auto"/>
            <w:left w:val="none" w:sz="0" w:space="0" w:color="auto"/>
            <w:bottom w:val="none" w:sz="0" w:space="0" w:color="auto"/>
            <w:right w:val="none" w:sz="0" w:space="0" w:color="auto"/>
          </w:divBdr>
        </w:div>
        <w:div w:id="833490651">
          <w:marLeft w:val="0"/>
          <w:marRight w:val="0"/>
          <w:marTop w:val="0"/>
          <w:marBottom w:val="52"/>
          <w:divBdr>
            <w:top w:val="none" w:sz="0" w:space="0" w:color="auto"/>
            <w:left w:val="none" w:sz="0" w:space="0" w:color="auto"/>
            <w:bottom w:val="none" w:sz="0" w:space="0" w:color="auto"/>
            <w:right w:val="none" w:sz="0" w:space="0" w:color="auto"/>
          </w:divBdr>
        </w:div>
        <w:div w:id="1904682934">
          <w:marLeft w:val="0"/>
          <w:marRight w:val="0"/>
          <w:marTop w:val="0"/>
          <w:marBottom w:val="52"/>
          <w:divBdr>
            <w:top w:val="none" w:sz="0" w:space="0" w:color="auto"/>
            <w:left w:val="none" w:sz="0" w:space="0" w:color="auto"/>
            <w:bottom w:val="none" w:sz="0" w:space="0" w:color="auto"/>
            <w:right w:val="none" w:sz="0" w:space="0" w:color="auto"/>
          </w:divBdr>
        </w:div>
        <w:div w:id="157965214">
          <w:marLeft w:val="0"/>
          <w:marRight w:val="0"/>
          <w:marTop w:val="0"/>
          <w:marBottom w:val="52"/>
          <w:divBdr>
            <w:top w:val="none" w:sz="0" w:space="0" w:color="auto"/>
            <w:left w:val="none" w:sz="0" w:space="0" w:color="auto"/>
            <w:bottom w:val="none" w:sz="0" w:space="0" w:color="auto"/>
            <w:right w:val="none" w:sz="0" w:space="0" w:color="auto"/>
          </w:divBdr>
        </w:div>
        <w:div w:id="1828860168">
          <w:marLeft w:val="0"/>
          <w:marRight w:val="0"/>
          <w:marTop w:val="0"/>
          <w:marBottom w:val="52"/>
          <w:divBdr>
            <w:top w:val="none" w:sz="0" w:space="0" w:color="auto"/>
            <w:left w:val="none" w:sz="0" w:space="0" w:color="auto"/>
            <w:bottom w:val="none" w:sz="0" w:space="0" w:color="auto"/>
            <w:right w:val="none" w:sz="0" w:space="0" w:color="auto"/>
          </w:divBdr>
        </w:div>
        <w:div w:id="242300519">
          <w:marLeft w:val="0"/>
          <w:marRight w:val="0"/>
          <w:marTop w:val="0"/>
          <w:marBottom w:val="52"/>
          <w:divBdr>
            <w:top w:val="none" w:sz="0" w:space="0" w:color="auto"/>
            <w:left w:val="none" w:sz="0" w:space="0" w:color="auto"/>
            <w:bottom w:val="none" w:sz="0" w:space="0" w:color="auto"/>
            <w:right w:val="none" w:sz="0" w:space="0" w:color="auto"/>
          </w:divBdr>
        </w:div>
        <w:div w:id="806701843">
          <w:marLeft w:val="0"/>
          <w:marRight w:val="0"/>
          <w:marTop w:val="0"/>
          <w:marBottom w:val="52"/>
          <w:divBdr>
            <w:top w:val="none" w:sz="0" w:space="0" w:color="auto"/>
            <w:left w:val="none" w:sz="0" w:space="0" w:color="auto"/>
            <w:bottom w:val="none" w:sz="0" w:space="0" w:color="auto"/>
            <w:right w:val="none" w:sz="0" w:space="0" w:color="auto"/>
          </w:divBdr>
        </w:div>
        <w:div w:id="668556199">
          <w:marLeft w:val="0"/>
          <w:marRight w:val="0"/>
          <w:marTop w:val="0"/>
          <w:marBottom w:val="52"/>
          <w:divBdr>
            <w:top w:val="none" w:sz="0" w:space="0" w:color="auto"/>
            <w:left w:val="none" w:sz="0" w:space="0" w:color="auto"/>
            <w:bottom w:val="none" w:sz="0" w:space="0" w:color="auto"/>
            <w:right w:val="none" w:sz="0" w:space="0" w:color="auto"/>
          </w:divBdr>
        </w:div>
        <w:div w:id="729230608">
          <w:marLeft w:val="0"/>
          <w:marRight w:val="0"/>
          <w:marTop w:val="0"/>
          <w:marBottom w:val="52"/>
          <w:divBdr>
            <w:top w:val="none" w:sz="0" w:space="0" w:color="auto"/>
            <w:left w:val="none" w:sz="0" w:space="0" w:color="auto"/>
            <w:bottom w:val="none" w:sz="0" w:space="0" w:color="auto"/>
            <w:right w:val="none" w:sz="0" w:space="0" w:color="auto"/>
          </w:divBdr>
        </w:div>
        <w:div w:id="1177305856">
          <w:marLeft w:val="0"/>
          <w:marRight w:val="0"/>
          <w:marTop w:val="0"/>
          <w:marBottom w:val="52"/>
          <w:divBdr>
            <w:top w:val="none" w:sz="0" w:space="0" w:color="auto"/>
            <w:left w:val="none" w:sz="0" w:space="0" w:color="auto"/>
            <w:bottom w:val="none" w:sz="0" w:space="0" w:color="auto"/>
            <w:right w:val="none" w:sz="0" w:space="0" w:color="auto"/>
          </w:divBdr>
        </w:div>
        <w:div w:id="2123917143">
          <w:marLeft w:val="0"/>
          <w:marRight w:val="0"/>
          <w:marTop w:val="0"/>
          <w:marBottom w:val="52"/>
          <w:divBdr>
            <w:top w:val="none" w:sz="0" w:space="0" w:color="auto"/>
            <w:left w:val="none" w:sz="0" w:space="0" w:color="auto"/>
            <w:bottom w:val="none" w:sz="0" w:space="0" w:color="auto"/>
            <w:right w:val="none" w:sz="0" w:space="0" w:color="auto"/>
          </w:divBdr>
        </w:div>
        <w:div w:id="168913060">
          <w:marLeft w:val="0"/>
          <w:marRight w:val="0"/>
          <w:marTop w:val="0"/>
          <w:marBottom w:val="52"/>
          <w:divBdr>
            <w:top w:val="none" w:sz="0" w:space="0" w:color="auto"/>
            <w:left w:val="none" w:sz="0" w:space="0" w:color="auto"/>
            <w:bottom w:val="none" w:sz="0" w:space="0" w:color="auto"/>
            <w:right w:val="none" w:sz="0" w:space="0" w:color="auto"/>
          </w:divBdr>
        </w:div>
        <w:div w:id="2053770608">
          <w:marLeft w:val="0"/>
          <w:marRight w:val="0"/>
          <w:marTop w:val="0"/>
          <w:marBottom w:val="52"/>
          <w:divBdr>
            <w:top w:val="none" w:sz="0" w:space="0" w:color="auto"/>
            <w:left w:val="none" w:sz="0" w:space="0" w:color="auto"/>
            <w:bottom w:val="none" w:sz="0" w:space="0" w:color="auto"/>
            <w:right w:val="none" w:sz="0" w:space="0" w:color="auto"/>
          </w:divBdr>
        </w:div>
        <w:div w:id="539703752">
          <w:marLeft w:val="0"/>
          <w:marRight w:val="0"/>
          <w:marTop w:val="0"/>
          <w:marBottom w:val="52"/>
          <w:divBdr>
            <w:top w:val="none" w:sz="0" w:space="0" w:color="auto"/>
            <w:left w:val="none" w:sz="0" w:space="0" w:color="auto"/>
            <w:bottom w:val="none" w:sz="0" w:space="0" w:color="auto"/>
            <w:right w:val="none" w:sz="0" w:space="0" w:color="auto"/>
          </w:divBdr>
        </w:div>
        <w:div w:id="1283612029">
          <w:marLeft w:val="0"/>
          <w:marRight w:val="0"/>
          <w:marTop w:val="0"/>
          <w:marBottom w:val="52"/>
          <w:divBdr>
            <w:top w:val="none" w:sz="0" w:space="0" w:color="auto"/>
            <w:left w:val="none" w:sz="0" w:space="0" w:color="auto"/>
            <w:bottom w:val="none" w:sz="0" w:space="0" w:color="auto"/>
            <w:right w:val="none" w:sz="0" w:space="0" w:color="auto"/>
          </w:divBdr>
        </w:div>
        <w:div w:id="865868429">
          <w:marLeft w:val="0"/>
          <w:marRight w:val="0"/>
          <w:marTop w:val="0"/>
          <w:marBottom w:val="52"/>
          <w:divBdr>
            <w:top w:val="none" w:sz="0" w:space="0" w:color="auto"/>
            <w:left w:val="none" w:sz="0" w:space="0" w:color="auto"/>
            <w:bottom w:val="none" w:sz="0" w:space="0" w:color="auto"/>
            <w:right w:val="none" w:sz="0" w:space="0" w:color="auto"/>
          </w:divBdr>
        </w:div>
        <w:div w:id="684287259">
          <w:marLeft w:val="0"/>
          <w:marRight w:val="0"/>
          <w:marTop w:val="0"/>
          <w:marBottom w:val="52"/>
          <w:divBdr>
            <w:top w:val="none" w:sz="0" w:space="0" w:color="auto"/>
            <w:left w:val="none" w:sz="0" w:space="0" w:color="auto"/>
            <w:bottom w:val="none" w:sz="0" w:space="0" w:color="auto"/>
            <w:right w:val="none" w:sz="0" w:space="0" w:color="auto"/>
          </w:divBdr>
        </w:div>
        <w:div w:id="1351757113">
          <w:marLeft w:val="0"/>
          <w:marRight w:val="0"/>
          <w:marTop w:val="0"/>
          <w:marBottom w:val="52"/>
          <w:divBdr>
            <w:top w:val="none" w:sz="0" w:space="0" w:color="auto"/>
            <w:left w:val="none" w:sz="0" w:space="0" w:color="auto"/>
            <w:bottom w:val="none" w:sz="0" w:space="0" w:color="auto"/>
            <w:right w:val="none" w:sz="0" w:space="0" w:color="auto"/>
          </w:divBdr>
        </w:div>
        <w:div w:id="191186783">
          <w:marLeft w:val="0"/>
          <w:marRight w:val="0"/>
          <w:marTop w:val="0"/>
          <w:marBottom w:val="52"/>
          <w:divBdr>
            <w:top w:val="none" w:sz="0" w:space="0" w:color="auto"/>
            <w:left w:val="none" w:sz="0" w:space="0" w:color="auto"/>
            <w:bottom w:val="none" w:sz="0" w:space="0" w:color="auto"/>
            <w:right w:val="none" w:sz="0" w:space="0" w:color="auto"/>
          </w:divBdr>
        </w:div>
        <w:div w:id="444615567">
          <w:marLeft w:val="0"/>
          <w:marRight w:val="0"/>
          <w:marTop w:val="0"/>
          <w:marBottom w:val="52"/>
          <w:divBdr>
            <w:top w:val="none" w:sz="0" w:space="0" w:color="auto"/>
            <w:left w:val="none" w:sz="0" w:space="0" w:color="auto"/>
            <w:bottom w:val="none" w:sz="0" w:space="0" w:color="auto"/>
            <w:right w:val="none" w:sz="0" w:space="0" w:color="auto"/>
          </w:divBdr>
        </w:div>
        <w:div w:id="1431201363">
          <w:marLeft w:val="0"/>
          <w:marRight w:val="0"/>
          <w:marTop w:val="0"/>
          <w:marBottom w:val="52"/>
          <w:divBdr>
            <w:top w:val="none" w:sz="0" w:space="0" w:color="auto"/>
            <w:left w:val="none" w:sz="0" w:space="0" w:color="auto"/>
            <w:bottom w:val="none" w:sz="0" w:space="0" w:color="auto"/>
            <w:right w:val="none" w:sz="0" w:space="0" w:color="auto"/>
          </w:divBdr>
        </w:div>
        <w:div w:id="433213083">
          <w:marLeft w:val="0"/>
          <w:marRight w:val="0"/>
          <w:marTop w:val="0"/>
          <w:marBottom w:val="52"/>
          <w:divBdr>
            <w:top w:val="none" w:sz="0" w:space="0" w:color="auto"/>
            <w:left w:val="none" w:sz="0" w:space="0" w:color="auto"/>
            <w:bottom w:val="none" w:sz="0" w:space="0" w:color="auto"/>
            <w:right w:val="none" w:sz="0" w:space="0" w:color="auto"/>
          </w:divBdr>
        </w:div>
        <w:div w:id="524096211">
          <w:marLeft w:val="0"/>
          <w:marRight w:val="0"/>
          <w:marTop w:val="0"/>
          <w:marBottom w:val="52"/>
          <w:divBdr>
            <w:top w:val="none" w:sz="0" w:space="0" w:color="auto"/>
            <w:left w:val="none" w:sz="0" w:space="0" w:color="auto"/>
            <w:bottom w:val="none" w:sz="0" w:space="0" w:color="auto"/>
            <w:right w:val="none" w:sz="0" w:space="0" w:color="auto"/>
          </w:divBdr>
        </w:div>
        <w:div w:id="1057898237">
          <w:marLeft w:val="0"/>
          <w:marRight w:val="0"/>
          <w:marTop w:val="0"/>
          <w:marBottom w:val="52"/>
          <w:divBdr>
            <w:top w:val="none" w:sz="0" w:space="0" w:color="auto"/>
            <w:left w:val="none" w:sz="0" w:space="0" w:color="auto"/>
            <w:bottom w:val="none" w:sz="0" w:space="0" w:color="auto"/>
            <w:right w:val="none" w:sz="0" w:space="0" w:color="auto"/>
          </w:divBdr>
        </w:div>
        <w:div w:id="25831525">
          <w:marLeft w:val="0"/>
          <w:marRight w:val="0"/>
          <w:marTop w:val="0"/>
          <w:marBottom w:val="52"/>
          <w:divBdr>
            <w:top w:val="none" w:sz="0" w:space="0" w:color="auto"/>
            <w:left w:val="none" w:sz="0" w:space="0" w:color="auto"/>
            <w:bottom w:val="none" w:sz="0" w:space="0" w:color="auto"/>
            <w:right w:val="none" w:sz="0" w:space="0" w:color="auto"/>
          </w:divBdr>
        </w:div>
        <w:div w:id="760837975">
          <w:marLeft w:val="0"/>
          <w:marRight w:val="0"/>
          <w:marTop w:val="0"/>
          <w:marBottom w:val="52"/>
          <w:divBdr>
            <w:top w:val="none" w:sz="0" w:space="0" w:color="auto"/>
            <w:left w:val="none" w:sz="0" w:space="0" w:color="auto"/>
            <w:bottom w:val="none" w:sz="0" w:space="0" w:color="auto"/>
            <w:right w:val="none" w:sz="0" w:space="0" w:color="auto"/>
          </w:divBdr>
        </w:div>
        <w:div w:id="1589272181">
          <w:marLeft w:val="0"/>
          <w:marRight w:val="0"/>
          <w:marTop w:val="0"/>
          <w:marBottom w:val="52"/>
          <w:divBdr>
            <w:top w:val="none" w:sz="0" w:space="0" w:color="auto"/>
            <w:left w:val="none" w:sz="0" w:space="0" w:color="auto"/>
            <w:bottom w:val="none" w:sz="0" w:space="0" w:color="auto"/>
            <w:right w:val="none" w:sz="0" w:space="0" w:color="auto"/>
          </w:divBdr>
        </w:div>
        <w:div w:id="1189372656">
          <w:marLeft w:val="0"/>
          <w:marRight w:val="0"/>
          <w:marTop w:val="0"/>
          <w:marBottom w:val="52"/>
          <w:divBdr>
            <w:top w:val="none" w:sz="0" w:space="0" w:color="auto"/>
            <w:left w:val="none" w:sz="0" w:space="0" w:color="auto"/>
            <w:bottom w:val="none" w:sz="0" w:space="0" w:color="auto"/>
            <w:right w:val="none" w:sz="0" w:space="0" w:color="auto"/>
          </w:divBdr>
        </w:div>
        <w:div w:id="902716451">
          <w:marLeft w:val="0"/>
          <w:marRight w:val="0"/>
          <w:marTop w:val="0"/>
          <w:marBottom w:val="52"/>
          <w:divBdr>
            <w:top w:val="none" w:sz="0" w:space="0" w:color="auto"/>
            <w:left w:val="none" w:sz="0" w:space="0" w:color="auto"/>
            <w:bottom w:val="none" w:sz="0" w:space="0" w:color="auto"/>
            <w:right w:val="none" w:sz="0" w:space="0" w:color="auto"/>
          </w:divBdr>
        </w:div>
        <w:div w:id="1511068624">
          <w:marLeft w:val="0"/>
          <w:marRight w:val="0"/>
          <w:marTop w:val="0"/>
          <w:marBottom w:val="52"/>
          <w:divBdr>
            <w:top w:val="none" w:sz="0" w:space="0" w:color="auto"/>
            <w:left w:val="none" w:sz="0" w:space="0" w:color="auto"/>
            <w:bottom w:val="none" w:sz="0" w:space="0" w:color="auto"/>
            <w:right w:val="none" w:sz="0" w:space="0" w:color="auto"/>
          </w:divBdr>
        </w:div>
        <w:div w:id="832380240">
          <w:marLeft w:val="0"/>
          <w:marRight w:val="0"/>
          <w:marTop w:val="0"/>
          <w:marBottom w:val="52"/>
          <w:divBdr>
            <w:top w:val="none" w:sz="0" w:space="0" w:color="auto"/>
            <w:left w:val="none" w:sz="0" w:space="0" w:color="auto"/>
            <w:bottom w:val="none" w:sz="0" w:space="0" w:color="auto"/>
            <w:right w:val="none" w:sz="0" w:space="0" w:color="auto"/>
          </w:divBdr>
        </w:div>
        <w:div w:id="548348619">
          <w:marLeft w:val="0"/>
          <w:marRight w:val="0"/>
          <w:marTop w:val="0"/>
          <w:marBottom w:val="52"/>
          <w:divBdr>
            <w:top w:val="none" w:sz="0" w:space="0" w:color="auto"/>
            <w:left w:val="none" w:sz="0" w:space="0" w:color="auto"/>
            <w:bottom w:val="none" w:sz="0" w:space="0" w:color="auto"/>
            <w:right w:val="none" w:sz="0" w:space="0" w:color="auto"/>
          </w:divBdr>
        </w:div>
        <w:div w:id="1636980575">
          <w:marLeft w:val="0"/>
          <w:marRight w:val="0"/>
          <w:marTop w:val="0"/>
          <w:marBottom w:val="52"/>
          <w:divBdr>
            <w:top w:val="none" w:sz="0" w:space="0" w:color="auto"/>
            <w:left w:val="none" w:sz="0" w:space="0" w:color="auto"/>
            <w:bottom w:val="none" w:sz="0" w:space="0" w:color="auto"/>
            <w:right w:val="none" w:sz="0" w:space="0" w:color="auto"/>
          </w:divBdr>
        </w:div>
        <w:div w:id="1843739448">
          <w:marLeft w:val="0"/>
          <w:marRight w:val="0"/>
          <w:marTop w:val="0"/>
          <w:marBottom w:val="52"/>
          <w:divBdr>
            <w:top w:val="none" w:sz="0" w:space="0" w:color="auto"/>
            <w:left w:val="none" w:sz="0" w:space="0" w:color="auto"/>
            <w:bottom w:val="none" w:sz="0" w:space="0" w:color="auto"/>
            <w:right w:val="none" w:sz="0" w:space="0" w:color="auto"/>
          </w:divBdr>
        </w:div>
        <w:div w:id="1770852938">
          <w:marLeft w:val="0"/>
          <w:marRight w:val="0"/>
          <w:marTop w:val="0"/>
          <w:marBottom w:val="52"/>
          <w:divBdr>
            <w:top w:val="none" w:sz="0" w:space="0" w:color="auto"/>
            <w:left w:val="none" w:sz="0" w:space="0" w:color="auto"/>
            <w:bottom w:val="none" w:sz="0" w:space="0" w:color="auto"/>
            <w:right w:val="none" w:sz="0" w:space="0" w:color="auto"/>
          </w:divBdr>
        </w:div>
        <w:div w:id="614101729">
          <w:marLeft w:val="0"/>
          <w:marRight w:val="0"/>
          <w:marTop w:val="0"/>
          <w:marBottom w:val="52"/>
          <w:divBdr>
            <w:top w:val="none" w:sz="0" w:space="0" w:color="auto"/>
            <w:left w:val="none" w:sz="0" w:space="0" w:color="auto"/>
            <w:bottom w:val="none" w:sz="0" w:space="0" w:color="auto"/>
            <w:right w:val="none" w:sz="0" w:space="0" w:color="auto"/>
          </w:divBdr>
        </w:div>
        <w:div w:id="1231306670">
          <w:marLeft w:val="0"/>
          <w:marRight w:val="0"/>
          <w:marTop w:val="0"/>
          <w:marBottom w:val="52"/>
          <w:divBdr>
            <w:top w:val="none" w:sz="0" w:space="0" w:color="auto"/>
            <w:left w:val="none" w:sz="0" w:space="0" w:color="auto"/>
            <w:bottom w:val="none" w:sz="0" w:space="0" w:color="auto"/>
            <w:right w:val="none" w:sz="0" w:space="0" w:color="auto"/>
          </w:divBdr>
        </w:div>
        <w:div w:id="427317420">
          <w:marLeft w:val="0"/>
          <w:marRight w:val="0"/>
          <w:marTop w:val="0"/>
          <w:marBottom w:val="52"/>
          <w:divBdr>
            <w:top w:val="none" w:sz="0" w:space="0" w:color="auto"/>
            <w:left w:val="none" w:sz="0" w:space="0" w:color="auto"/>
            <w:bottom w:val="none" w:sz="0" w:space="0" w:color="auto"/>
            <w:right w:val="none" w:sz="0" w:space="0" w:color="auto"/>
          </w:divBdr>
        </w:div>
        <w:div w:id="1917742341">
          <w:marLeft w:val="0"/>
          <w:marRight w:val="0"/>
          <w:marTop w:val="0"/>
          <w:marBottom w:val="52"/>
          <w:divBdr>
            <w:top w:val="none" w:sz="0" w:space="0" w:color="auto"/>
            <w:left w:val="none" w:sz="0" w:space="0" w:color="auto"/>
            <w:bottom w:val="none" w:sz="0" w:space="0" w:color="auto"/>
            <w:right w:val="none" w:sz="0" w:space="0" w:color="auto"/>
          </w:divBdr>
        </w:div>
        <w:div w:id="245967884">
          <w:marLeft w:val="0"/>
          <w:marRight w:val="0"/>
          <w:marTop w:val="0"/>
          <w:marBottom w:val="52"/>
          <w:divBdr>
            <w:top w:val="none" w:sz="0" w:space="0" w:color="auto"/>
            <w:left w:val="none" w:sz="0" w:space="0" w:color="auto"/>
            <w:bottom w:val="none" w:sz="0" w:space="0" w:color="auto"/>
            <w:right w:val="none" w:sz="0" w:space="0" w:color="auto"/>
          </w:divBdr>
        </w:div>
        <w:div w:id="1654606909">
          <w:marLeft w:val="0"/>
          <w:marRight w:val="0"/>
          <w:marTop w:val="0"/>
          <w:marBottom w:val="52"/>
          <w:divBdr>
            <w:top w:val="none" w:sz="0" w:space="0" w:color="auto"/>
            <w:left w:val="none" w:sz="0" w:space="0" w:color="auto"/>
            <w:bottom w:val="none" w:sz="0" w:space="0" w:color="auto"/>
            <w:right w:val="none" w:sz="0" w:space="0" w:color="auto"/>
          </w:divBdr>
        </w:div>
        <w:div w:id="1598053544">
          <w:marLeft w:val="0"/>
          <w:marRight w:val="0"/>
          <w:marTop w:val="0"/>
          <w:marBottom w:val="52"/>
          <w:divBdr>
            <w:top w:val="none" w:sz="0" w:space="0" w:color="auto"/>
            <w:left w:val="none" w:sz="0" w:space="0" w:color="auto"/>
            <w:bottom w:val="none" w:sz="0" w:space="0" w:color="auto"/>
            <w:right w:val="none" w:sz="0" w:space="0" w:color="auto"/>
          </w:divBdr>
        </w:div>
        <w:div w:id="737367856">
          <w:marLeft w:val="0"/>
          <w:marRight w:val="0"/>
          <w:marTop w:val="0"/>
          <w:marBottom w:val="52"/>
          <w:divBdr>
            <w:top w:val="none" w:sz="0" w:space="0" w:color="auto"/>
            <w:left w:val="none" w:sz="0" w:space="0" w:color="auto"/>
            <w:bottom w:val="none" w:sz="0" w:space="0" w:color="auto"/>
            <w:right w:val="none" w:sz="0" w:space="0" w:color="auto"/>
          </w:divBdr>
        </w:div>
        <w:div w:id="1879004529">
          <w:marLeft w:val="0"/>
          <w:marRight w:val="0"/>
          <w:marTop w:val="0"/>
          <w:marBottom w:val="52"/>
          <w:divBdr>
            <w:top w:val="none" w:sz="0" w:space="0" w:color="auto"/>
            <w:left w:val="none" w:sz="0" w:space="0" w:color="auto"/>
            <w:bottom w:val="none" w:sz="0" w:space="0" w:color="auto"/>
            <w:right w:val="none" w:sz="0" w:space="0" w:color="auto"/>
          </w:divBdr>
        </w:div>
        <w:div w:id="2007006302">
          <w:marLeft w:val="0"/>
          <w:marRight w:val="0"/>
          <w:marTop w:val="0"/>
          <w:marBottom w:val="52"/>
          <w:divBdr>
            <w:top w:val="none" w:sz="0" w:space="0" w:color="auto"/>
            <w:left w:val="none" w:sz="0" w:space="0" w:color="auto"/>
            <w:bottom w:val="none" w:sz="0" w:space="0" w:color="auto"/>
            <w:right w:val="none" w:sz="0" w:space="0" w:color="auto"/>
          </w:divBdr>
        </w:div>
        <w:div w:id="1563177055">
          <w:marLeft w:val="0"/>
          <w:marRight w:val="0"/>
          <w:marTop w:val="0"/>
          <w:marBottom w:val="52"/>
          <w:divBdr>
            <w:top w:val="none" w:sz="0" w:space="0" w:color="auto"/>
            <w:left w:val="none" w:sz="0" w:space="0" w:color="auto"/>
            <w:bottom w:val="none" w:sz="0" w:space="0" w:color="auto"/>
            <w:right w:val="none" w:sz="0" w:space="0" w:color="auto"/>
          </w:divBdr>
        </w:div>
        <w:div w:id="870412623">
          <w:marLeft w:val="0"/>
          <w:marRight w:val="0"/>
          <w:marTop w:val="0"/>
          <w:marBottom w:val="52"/>
          <w:divBdr>
            <w:top w:val="none" w:sz="0" w:space="0" w:color="auto"/>
            <w:left w:val="none" w:sz="0" w:space="0" w:color="auto"/>
            <w:bottom w:val="none" w:sz="0" w:space="0" w:color="auto"/>
            <w:right w:val="none" w:sz="0" w:space="0" w:color="auto"/>
          </w:divBdr>
        </w:div>
        <w:div w:id="281571459">
          <w:marLeft w:val="0"/>
          <w:marRight w:val="0"/>
          <w:marTop w:val="0"/>
          <w:marBottom w:val="52"/>
          <w:divBdr>
            <w:top w:val="none" w:sz="0" w:space="0" w:color="auto"/>
            <w:left w:val="none" w:sz="0" w:space="0" w:color="auto"/>
            <w:bottom w:val="none" w:sz="0" w:space="0" w:color="auto"/>
            <w:right w:val="none" w:sz="0" w:space="0" w:color="auto"/>
          </w:divBdr>
        </w:div>
        <w:div w:id="1962563932">
          <w:marLeft w:val="0"/>
          <w:marRight w:val="0"/>
          <w:marTop w:val="0"/>
          <w:marBottom w:val="52"/>
          <w:divBdr>
            <w:top w:val="none" w:sz="0" w:space="0" w:color="auto"/>
            <w:left w:val="none" w:sz="0" w:space="0" w:color="auto"/>
            <w:bottom w:val="none" w:sz="0" w:space="0" w:color="auto"/>
            <w:right w:val="none" w:sz="0" w:space="0" w:color="auto"/>
          </w:divBdr>
        </w:div>
        <w:div w:id="879129891">
          <w:marLeft w:val="0"/>
          <w:marRight w:val="0"/>
          <w:marTop w:val="0"/>
          <w:marBottom w:val="52"/>
          <w:divBdr>
            <w:top w:val="none" w:sz="0" w:space="0" w:color="auto"/>
            <w:left w:val="none" w:sz="0" w:space="0" w:color="auto"/>
            <w:bottom w:val="none" w:sz="0" w:space="0" w:color="auto"/>
            <w:right w:val="none" w:sz="0" w:space="0" w:color="auto"/>
          </w:divBdr>
        </w:div>
        <w:div w:id="1622375421">
          <w:marLeft w:val="0"/>
          <w:marRight w:val="0"/>
          <w:marTop w:val="0"/>
          <w:marBottom w:val="52"/>
          <w:divBdr>
            <w:top w:val="none" w:sz="0" w:space="0" w:color="auto"/>
            <w:left w:val="none" w:sz="0" w:space="0" w:color="auto"/>
            <w:bottom w:val="none" w:sz="0" w:space="0" w:color="auto"/>
            <w:right w:val="none" w:sz="0" w:space="0" w:color="auto"/>
          </w:divBdr>
        </w:div>
        <w:div w:id="878663484">
          <w:marLeft w:val="0"/>
          <w:marRight w:val="0"/>
          <w:marTop w:val="0"/>
          <w:marBottom w:val="52"/>
          <w:divBdr>
            <w:top w:val="none" w:sz="0" w:space="0" w:color="auto"/>
            <w:left w:val="none" w:sz="0" w:space="0" w:color="auto"/>
            <w:bottom w:val="none" w:sz="0" w:space="0" w:color="auto"/>
            <w:right w:val="none" w:sz="0" w:space="0" w:color="auto"/>
          </w:divBdr>
        </w:div>
        <w:div w:id="1200168647">
          <w:marLeft w:val="0"/>
          <w:marRight w:val="0"/>
          <w:marTop w:val="0"/>
          <w:marBottom w:val="52"/>
          <w:divBdr>
            <w:top w:val="none" w:sz="0" w:space="0" w:color="auto"/>
            <w:left w:val="none" w:sz="0" w:space="0" w:color="auto"/>
            <w:bottom w:val="none" w:sz="0" w:space="0" w:color="auto"/>
            <w:right w:val="none" w:sz="0" w:space="0" w:color="auto"/>
          </w:divBdr>
        </w:div>
        <w:div w:id="1088650744">
          <w:marLeft w:val="0"/>
          <w:marRight w:val="0"/>
          <w:marTop w:val="0"/>
          <w:marBottom w:val="52"/>
          <w:divBdr>
            <w:top w:val="none" w:sz="0" w:space="0" w:color="auto"/>
            <w:left w:val="none" w:sz="0" w:space="0" w:color="auto"/>
            <w:bottom w:val="none" w:sz="0" w:space="0" w:color="auto"/>
            <w:right w:val="none" w:sz="0" w:space="0" w:color="auto"/>
          </w:divBdr>
        </w:div>
        <w:div w:id="1060905373">
          <w:marLeft w:val="0"/>
          <w:marRight w:val="0"/>
          <w:marTop w:val="0"/>
          <w:marBottom w:val="52"/>
          <w:divBdr>
            <w:top w:val="none" w:sz="0" w:space="0" w:color="auto"/>
            <w:left w:val="none" w:sz="0" w:space="0" w:color="auto"/>
            <w:bottom w:val="none" w:sz="0" w:space="0" w:color="auto"/>
            <w:right w:val="none" w:sz="0" w:space="0" w:color="auto"/>
          </w:divBdr>
        </w:div>
        <w:div w:id="77407413">
          <w:marLeft w:val="0"/>
          <w:marRight w:val="0"/>
          <w:marTop w:val="0"/>
          <w:marBottom w:val="52"/>
          <w:divBdr>
            <w:top w:val="none" w:sz="0" w:space="0" w:color="auto"/>
            <w:left w:val="none" w:sz="0" w:space="0" w:color="auto"/>
            <w:bottom w:val="none" w:sz="0" w:space="0" w:color="auto"/>
            <w:right w:val="none" w:sz="0" w:space="0" w:color="auto"/>
          </w:divBdr>
        </w:div>
        <w:div w:id="1418790881">
          <w:marLeft w:val="0"/>
          <w:marRight w:val="0"/>
          <w:marTop w:val="0"/>
          <w:marBottom w:val="52"/>
          <w:divBdr>
            <w:top w:val="none" w:sz="0" w:space="0" w:color="auto"/>
            <w:left w:val="none" w:sz="0" w:space="0" w:color="auto"/>
            <w:bottom w:val="none" w:sz="0" w:space="0" w:color="auto"/>
            <w:right w:val="none" w:sz="0" w:space="0" w:color="auto"/>
          </w:divBdr>
        </w:div>
        <w:div w:id="1295714106">
          <w:marLeft w:val="0"/>
          <w:marRight w:val="0"/>
          <w:marTop w:val="0"/>
          <w:marBottom w:val="52"/>
          <w:divBdr>
            <w:top w:val="none" w:sz="0" w:space="0" w:color="auto"/>
            <w:left w:val="none" w:sz="0" w:space="0" w:color="auto"/>
            <w:bottom w:val="none" w:sz="0" w:space="0" w:color="auto"/>
            <w:right w:val="none" w:sz="0" w:space="0" w:color="auto"/>
          </w:divBdr>
        </w:div>
        <w:div w:id="1129474870">
          <w:marLeft w:val="0"/>
          <w:marRight w:val="0"/>
          <w:marTop w:val="0"/>
          <w:marBottom w:val="52"/>
          <w:divBdr>
            <w:top w:val="none" w:sz="0" w:space="0" w:color="auto"/>
            <w:left w:val="none" w:sz="0" w:space="0" w:color="auto"/>
            <w:bottom w:val="none" w:sz="0" w:space="0" w:color="auto"/>
            <w:right w:val="none" w:sz="0" w:space="0" w:color="auto"/>
          </w:divBdr>
        </w:div>
        <w:div w:id="249320176">
          <w:marLeft w:val="0"/>
          <w:marRight w:val="0"/>
          <w:marTop w:val="0"/>
          <w:marBottom w:val="52"/>
          <w:divBdr>
            <w:top w:val="none" w:sz="0" w:space="0" w:color="auto"/>
            <w:left w:val="none" w:sz="0" w:space="0" w:color="auto"/>
            <w:bottom w:val="none" w:sz="0" w:space="0" w:color="auto"/>
            <w:right w:val="none" w:sz="0" w:space="0" w:color="auto"/>
          </w:divBdr>
        </w:div>
        <w:div w:id="1445155342">
          <w:marLeft w:val="0"/>
          <w:marRight w:val="0"/>
          <w:marTop w:val="0"/>
          <w:marBottom w:val="52"/>
          <w:divBdr>
            <w:top w:val="none" w:sz="0" w:space="0" w:color="auto"/>
            <w:left w:val="none" w:sz="0" w:space="0" w:color="auto"/>
            <w:bottom w:val="none" w:sz="0" w:space="0" w:color="auto"/>
            <w:right w:val="none" w:sz="0" w:space="0" w:color="auto"/>
          </w:divBdr>
        </w:div>
        <w:div w:id="367729006">
          <w:marLeft w:val="0"/>
          <w:marRight w:val="0"/>
          <w:marTop w:val="0"/>
          <w:marBottom w:val="52"/>
          <w:divBdr>
            <w:top w:val="none" w:sz="0" w:space="0" w:color="auto"/>
            <w:left w:val="none" w:sz="0" w:space="0" w:color="auto"/>
            <w:bottom w:val="none" w:sz="0" w:space="0" w:color="auto"/>
            <w:right w:val="none" w:sz="0" w:space="0" w:color="auto"/>
          </w:divBdr>
        </w:div>
        <w:div w:id="364133486">
          <w:marLeft w:val="0"/>
          <w:marRight w:val="0"/>
          <w:marTop w:val="0"/>
          <w:marBottom w:val="52"/>
          <w:divBdr>
            <w:top w:val="none" w:sz="0" w:space="0" w:color="auto"/>
            <w:left w:val="none" w:sz="0" w:space="0" w:color="auto"/>
            <w:bottom w:val="none" w:sz="0" w:space="0" w:color="auto"/>
            <w:right w:val="none" w:sz="0" w:space="0" w:color="auto"/>
          </w:divBdr>
        </w:div>
        <w:div w:id="1392576061">
          <w:marLeft w:val="0"/>
          <w:marRight w:val="0"/>
          <w:marTop w:val="0"/>
          <w:marBottom w:val="52"/>
          <w:divBdr>
            <w:top w:val="none" w:sz="0" w:space="0" w:color="auto"/>
            <w:left w:val="none" w:sz="0" w:space="0" w:color="auto"/>
            <w:bottom w:val="none" w:sz="0" w:space="0" w:color="auto"/>
            <w:right w:val="none" w:sz="0" w:space="0" w:color="auto"/>
          </w:divBdr>
        </w:div>
        <w:div w:id="1365593314">
          <w:marLeft w:val="0"/>
          <w:marRight w:val="0"/>
          <w:marTop w:val="0"/>
          <w:marBottom w:val="52"/>
          <w:divBdr>
            <w:top w:val="none" w:sz="0" w:space="0" w:color="auto"/>
            <w:left w:val="none" w:sz="0" w:space="0" w:color="auto"/>
            <w:bottom w:val="none" w:sz="0" w:space="0" w:color="auto"/>
            <w:right w:val="none" w:sz="0" w:space="0" w:color="auto"/>
          </w:divBdr>
        </w:div>
        <w:div w:id="685912602">
          <w:marLeft w:val="0"/>
          <w:marRight w:val="0"/>
          <w:marTop w:val="0"/>
          <w:marBottom w:val="52"/>
          <w:divBdr>
            <w:top w:val="none" w:sz="0" w:space="0" w:color="auto"/>
            <w:left w:val="none" w:sz="0" w:space="0" w:color="auto"/>
            <w:bottom w:val="none" w:sz="0" w:space="0" w:color="auto"/>
            <w:right w:val="none" w:sz="0" w:space="0" w:color="auto"/>
          </w:divBdr>
        </w:div>
        <w:div w:id="573440421">
          <w:marLeft w:val="0"/>
          <w:marRight w:val="0"/>
          <w:marTop w:val="0"/>
          <w:marBottom w:val="52"/>
          <w:divBdr>
            <w:top w:val="none" w:sz="0" w:space="0" w:color="auto"/>
            <w:left w:val="none" w:sz="0" w:space="0" w:color="auto"/>
            <w:bottom w:val="none" w:sz="0" w:space="0" w:color="auto"/>
            <w:right w:val="none" w:sz="0" w:space="0" w:color="auto"/>
          </w:divBdr>
        </w:div>
        <w:div w:id="573248325">
          <w:marLeft w:val="0"/>
          <w:marRight w:val="0"/>
          <w:marTop w:val="0"/>
          <w:marBottom w:val="52"/>
          <w:divBdr>
            <w:top w:val="none" w:sz="0" w:space="0" w:color="auto"/>
            <w:left w:val="none" w:sz="0" w:space="0" w:color="auto"/>
            <w:bottom w:val="none" w:sz="0" w:space="0" w:color="auto"/>
            <w:right w:val="none" w:sz="0" w:space="0" w:color="auto"/>
          </w:divBdr>
        </w:div>
        <w:div w:id="1165897348">
          <w:marLeft w:val="0"/>
          <w:marRight w:val="0"/>
          <w:marTop w:val="0"/>
          <w:marBottom w:val="52"/>
          <w:divBdr>
            <w:top w:val="none" w:sz="0" w:space="0" w:color="auto"/>
            <w:left w:val="none" w:sz="0" w:space="0" w:color="auto"/>
            <w:bottom w:val="none" w:sz="0" w:space="0" w:color="auto"/>
            <w:right w:val="none" w:sz="0" w:space="0" w:color="auto"/>
          </w:divBdr>
        </w:div>
        <w:div w:id="84884852">
          <w:marLeft w:val="0"/>
          <w:marRight w:val="0"/>
          <w:marTop w:val="0"/>
          <w:marBottom w:val="52"/>
          <w:divBdr>
            <w:top w:val="none" w:sz="0" w:space="0" w:color="auto"/>
            <w:left w:val="none" w:sz="0" w:space="0" w:color="auto"/>
            <w:bottom w:val="none" w:sz="0" w:space="0" w:color="auto"/>
            <w:right w:val="none" w:sz="0" w:space="0" w:color="auto"/>
          </w:divBdr>
        </w:div>
        <w:div w:id="873811320">
          <w:marLeft w:val="0"/>
          <w:marRight w:val="0"/>
          <w:marTop w:val="0"/>
          <w:marBottom w:val="52"/>
          <w:divBdr>
            <w:top w:val="none" w:sz="0" w:space="0" w:color="auto"/>
            <w:left w:val="none" w:sz="0" w:space="0" w:color="auto"/>
            <w:bottom w:val="none" w:sz="0" w:space="0" w:color="auto"/>
            <w:right w:val="none" w:sz="0" w:space="0" w:color="auto"/>
          </w:divBdr>
        </w:div>
        <w:div w:id="592856068">
          <w:marLeft w:val="0"/>
          <w:marRight w:val="0"/>
          <w:marTop w:val="0"/>
          <w:marBottom w:val="52"/>
          <w:divBdr>
            <w:top w:val="none" w:sz="0" w:space="0" w:color="auto"/>
            <w:left w:val="none" w:sz="0" w:space="0" w:color="auto"/>
            <w:bottom w:val="none" w:sz="0" w:space="0" w:color="auto"/>
            <w:right w:val="none" w:sz="0" w:space="0" w:color="auto"/>
          </w:divBdr>
        </w:div>
        <w:div w:id="1967613607">
          <w:marLeft w:val="0"/>
          <w:marRight w:val="0"/>
          <w:marTop w:val="0"/>
          <w:marBottom w:val="52"/>
          <w:divBdr>
            <w:top w:val="none" w:sz="0" w:space="0" w:color="auto"/>
            <w:left w:val="none" w:sz="0" w:space="0" w:color="auto"/>
            <w:bottom w:val="none" w:sz="0" w:space="0" w:color="auto"/>
            <w:right w:val="none" w:sz="0" w:space="0" w:color="auto"/>
          </w:divBdr>
        </w:div>
        <w:div w:id="1274871932">
          <w:marLeft w:val="0"/>
          <w:marRight w:val="0"/>
          <w:marTop w:val="0"/>
          <w:marBottom w:val="52"/>
          <w:divBdr>
            <w:top w:val="none" w:sz="0" w:space="0" w:color="auto"/>
            <w:left w:val="none" w:sz="0" w:space="0" w:color="auto"/>
            <w:bottom w:val="none" w:sz="0" w:space="0" w:color="auto"/>
            <w:right w:val="none" w:sz="0" w:space="0" w:color="auto"/>
          </w:divBdr>
        </w:div>
        <w:div w:id="396242361">
          <w:marLeft w:val="0"/>
          <w:marRight w:val="0"/>
          <w:marTop w:val="0"/>
          <w:marBottom w:val="52"/>
          <w:divBdr>
            <w:top w:val="none" w:sz="0" w:space="0" w:color="auto"/>
            <w:left w:val="none" w:sz="0" w:space="0" w:color="auto"/>
            <w:bottom w:val="none" w:sz="0" w:space="0" w:color="auto"/>
            <w:right w:val="none" w:sz="0" w:space="0" w:color="auto"/>
          </w:divBdr>
        </w:div>
        <w:div w:id="896549712">
          <w:marLeft w:val="0"/>
          <w:marRight w:val="0"/>
          <w:marTop w:val="0"/>
          <w:marBottom w:val="52"/>
          <w:divBdr>
            <w:top w:val="none" w:sz="0" w:space="0" w:color="auto"/>
            <w:left w:val="none" w:sz="0" w:space="0" w:color="auto"/>
            <w:bottom w:val="none" w:sz="0" w:space="0" w:color="auto"/>
            <w:right w:val="none" w:sz="0" w:space="0" w:color="auto"/>
          </w:divBdr>
        </w:div>
        <w:div w:id="2067217757">
          <w:marLeft w:val="0"/>
          <w:marRight w:val="0"/>
          <w:marTop w:val="0"/>
          <w:marBottom w:val="52"/>
          <w:divBdr>
            <w:top w:val="none" w:sz="0" w:space="0" w:color="auto"/>
            <w:left w:val="none" w:sz="0" w:space="0" w:color="auto"/>
            <w:bottom w:val="none" w:sz="0" w:space="0" w:color="auto"/>
            <w:right w:val="none" w:sz="0" w:space="0" w:color="auto"/>
          </w:divBdr>
        </w:div>
        <w:div w:id="1001540025">
          <w:marLeft w:val="0"/>
          <w:marRight w:val="0"/>
          <w:marTop w:val="0"/>
          <w:marBottom w:val="52"/>
          <w:divBdr>
            <w:top w:val="none" w:sz="0" w:space="0" w:color="auto"/>
            <w:left w:val="none" w:sz="0" w:space="0" w:color="auto"/>
            <w:bottom w:val="none" w:sz="0" w:space="0" w:color="auto"/>
            <w:right w:val="none" w:sz="0" w:space="0" w:color="auto"/>
          </w:divBdr>
        </w:div>
        <w:div w:id="1372002538">
          <w:marLeft w:val="0"/>
          <w:marRight w:val="0"/>
          <w:marTop w:val="0"/>
          <w:marBottom w:val="52"/>
          <w:divBdr>
            <w:top w:val="none" w:sz="0" w:space="0" w:color="auto"/>
            <w:left w:val="none" w:sz="0" w:space="0" w:color="auto"/>
            <w:bottom w:val="none" w:sz="0" w:space="0" w:color="auto"/>
            <w:right w:val="none" w:sz="0" w:space="0" w:color="auto"/>
          </w:divBdr>
        </w:div>
        <w:div w:id="1407611408">
          <w:marLeft w:val="0"/>
          <w:marRight w:val="0"/>
          <w:marTop w:val="0"/>
          <w:marBottom w:val="52"/>
          <w:divBdr>
            <w:top w:val="none" w:sz="0" w:space="0" w:color="auto"/>
            <w:left w:val="none" w:sz="0" w:space="0" w:color="auto"/>
            <w:bottom w:val="none" w:sz="0" w:space="0" w:color="auto"/>
            <w:right w:val="none" w:sz="0" w:space="0" w:color="auto"/>
          </w:divBdr>
        </w:div>
        <w:div w:id="137960305">
          <w:marLeft w:val="0"/>
          <w:marRight w:val="0"/>
          <w:marTop w:val="0"/>
          <w:marBottom w:val="52"/>
          <w:divBdr>
            <w:top w:val="none" w:sz="0" w:space="0" w:color="auto"/>
            <w:left w:val="none" w:sz="0" w:space="0" w:color="auto"/>
            <w:bottom w:val="none" w:sz="0" w:space="0" w:color="auto"/>
            <w:right w:val="none" w:sz="0" w:space="0" w:color="auto"/>
          </w:divBdr>
        </w:div>
        <w:div w:id="1119492446">
          <w:marLeft w:val="0"/>
          <w:marRight w:val="0"/>
          <w:marTop w:val="0"/>
          <w:marBottom w:val="52"/>
          <w:divBdr>
            <w:top w:val="none" w:sz="0" w:space="0" w:color="auto"/>
            <w:left w:val="none" w:sz="0" w:space="0" w:color="auto"/>
            <w:bottom w:val="none" w:sz="0" w:space="0" w:color="auto"/>
            <w:right w:val="none" w:sz="0" w:space="0" w:color="auto"/>
          </w:divBdr>
        </w:div>
        <w:div w:id="911162233">
          <w:marLeft w:val="0"/>
          <w:marRight w:val="0"/>
          <w:marTop w:val="0"/>
          <w:marBottom w:val="52"/>
          <w:divBdr>
            <w:top w:val="none" w:sz="0" w:space="0" w:color="auto"/>
            <w:left w:val="none" w:sz="0" w:space="0" w:color="auto"/>
            <w:bottom w:val="none" w:sz="0" w:space="0" w:color="auto"/>
            <w:right w:val="none" w:sz="0" w:space="0" w:color="auto"/>
          </w:divBdr>
        </w:div>
        <w:div w:id="654454886">
          <w:marLeft w:val="0"/>
          <w:marRight w:val="0"/>
          <w:marTop w:val="0"/>
          <w:marBottom w:val="52"/>
          <w:divBdr>
            <w:top w:val="none" w:sz="0" w:space="0" w:color="auto"/>
            <w:left w:val="none" w:sz="0" w:space="0" w:color="auto"/>
            <w:bottom w:val="none" w:sz="0" w:space="0" w:color="auto"/>
            <w:right w:val="none" w:sz="0" w:space="0" w:color="auto"/>
          </w:divBdr>
        </w:div>
        <w:div w:id="1526358977">
          <w:marLeft w:val="0"/>
          <w:marRight w:val="0"/>
          <w:marTop w:val="0"/>
          <w:marBottom w:val="52"/>
          <w:divBdr>
            <w:top w:val="none" w:sz="0" w:space="0" w:color="auto"/>
            <w:left w:val="none" w:sz="0" w:space="0" w:color="auto"/>
            <w:bottom w:val="none" w:sz="0" w:space="0" w:color="auto"/>
            <w:right w:val="none" w:sz="0" w:space="0" w:color="auto"/>
          </w:divBdr>
        </w:div>
        <w:div w:id="308751508">
          <w:marLeft w:val="0"/>
          <w:marRight w:val="0"/>
          <w:marTop w:val="0"/>
          <w:marBottom w:val="52"/>
          <w:divBdr>
            <w:top w:val="none" w:sz="0" w:space="0" w:color="auto"/>
            <w:left w:val="none" w:sz="0" w:space="0" w:color="auto"/>
            <w:bottom w:val="none" w:sz="0" w:space="0" w:color="auto"/>
            <w:right w:val="none" w:sz="0" w:space="0" w:color="auto"/>
          </w:divBdr>
        </w:div>
        <w:div w:id="1329140806">
          <w:marLeft w:val="0"/>
          <w:marRight w:val="0"/>
          <w:marTop w:val="0"/>
          <w:marBottom w:val="52"/>
          <w:divBdr>
            <w:top w:val="none" w:sz="0" w:space="0" w:color="auto"/>
            <w:left w:val="none" w:sz="0" w:space="0" w:color="auto"/>
            <w:bottom w:val="none" w:sz="0" w:space="0" w:color="auto"/>
            <w:right w:val="none" w:sz="0" w:space="0" w:color="auto"/>
          </w:divBdr>
        </w:div>
        <w:div w:id="1396271639">
          <w:marLeft w:val="0"/>
          <w:marRight w:val="0"/>
          <w:marTop w:val="101"/>
          <w:marBottom w:val="101"/>
          <w:divBdr>
            <w:top w:val="none" w:sz="0" w:space="0" w:color="auto"/>
            <w:left w:val="none" w:sz="0" w:space="0" w:color="auto"/>
            <w:bottom w:val="none" w:sz="0" w:space="0" w:color="auto"/>
            <w:right w:val="none" w:sz="0" w:space="0" w:color="auto"/>
          </w:divBdr>
        </w:div>
        <w:div w:id="597641837">
          <w:marLeft w:val="0"/>
          <w:marRight w:val="0"/>
          <w:marTop w:val="0"/>
          <w:marBottom w:val="101"/>
          <w:divBdr>
            <w:top w:val="none" w:sz="0" w:space="0" w:color="auto"/>
            <w:left w:val="none" w:sz="0" w:space="0" w:color="auto"/>
            <w:bottom w:val="none" w:sz="0" w:space="0" w:color="auto"/>
            <w:right w:val="none" w:sz="0" w:space="0" w:color="auto"/>
          </w:divBdr>
        </w:div>
        <w:div w:id="1589189003">
          <w:marLeft w:val="0"/>
          <w:marRight w:val="0"/>
          <w:marTop w:val="0"/>
          <w:marBottom w:val="101"/>
          <w:divBdr>
            <w:top w:val="none" w:sz="0" w:space="0" w:color="auto"/>
            <w:left w:val="none" w:sz="0" w:space="0" w:color="auto"/>
            <w:bottom w:val="none" w:sz="0" w:space="0" w:color="auto"/>
            <w:right w:val="none" w:sz="0" w:space="0" w:color="auto"/>
          </w:divBdr>
        </w:div>
        <w:div w:id="1759598743">
          <w:marLeft w:val="0"/>
          <w:marRight w:val="0"/>
          <w:marTop w:val="0"/>
          <w:marBottom w:val="101"/>
          <w:divBdr>
            <w:top w:val="none" w:sz="0" w:space="0" w:color="auto"/>
            <w:left w:val="none" w:sz="0" w:space="0" w:color="auto"/>
            <w:bottom w:val="none" w:sz="0" w:space="0" w:color="auto"/>
            <w:right w:val="none" w:sz="0" w:space="0" w:color="auto"/>
          </w:divBdr>
        </w:div>
        <w:div w:id="827209079">
          <w:marLeft w:val="0"/>
          <w:marRight w:val="0"/>
          <w:marTop w:val="0"/>
          <w:marBottom w:val="101"/>
          <w:divBdr>
            <w:top w:val="none" w:sz="0" w:space="0" w:color="auto"/>
            <w:left w:val="none" w:sz="0" w:space="0" w:color="auto"/>
            <w:bottom w:val="none" w:sz="0" w:space="0" w:color="auto"/>
            <w:right w:val="none" w:sz="0" w:space="0" w:color="auto"/>
          </w:divBdr>
        </w:div>
        <w:div w:id="468017718">
          <w:marLeft w:val="0"/>
          <w:marRight w:val="0"/>
          <w:marTop w:val="0"/>
          <w:marBottom w:val="101"/>
          <w:divBdr>
            <w:top w:val="none" w:sz="0" w:space="0" w:color="auto"/>
            <w:left w:val="none" w:sz="0" w:space="0" w:color="auto"/>
            <w:bottom w:val="none" w:sz="0" w:space="0" w:color="auto"/>
            <w:right w:val="none" w:sz="0" w:space="0" w:color="auto"/>
          </w:divBdr>
        </w:div>
        <w:div w:id="1324166655">
          <w:marLeft w:val="0"/>
          <w:marRight w:val="0"/>
          <w:marTop w:val="0"/>
          <w:marBottom w:val="101"/>
          <w:divBdr>
            <w:top w:val="none" w:sz="0" w:space="0" w:color="auto"/>
            <w:left w:val="none" w:sz="0" w:space="0" w:color="auto"/>
            <w:bottom w:val="none" w:sz="0" w:space="0" w:color="auto"/>
            <w:right w:val="none" w:sz="0" w:space="0" w:color="auto"/>
          </w:divBdr>
        </w:div>
        <w:div w:id="429811181">
          <w:marLeft w:val="0"/>
          <w:marRight w:val="0"/>
          <w:marTop w:val="0"/>
          <w:marBottom w:val="101"/>
          <w:divBdr>
            <w:top w:val="none" w:sz="0" w:space="0" w:color="auto"/>
            <w:left w:val="none" w:sz="0" w:space="0" w:color="auto"/>
            <w:bottom w:val="none" w:sz="0" w:space="0" w:color="auto"/>
            <w:right w:val="none" w:sz="0" w:space="0" w:color="auto"/>
          </w:divBdr>
        </w:div>
        <w:div w:id="1798983909">
          <w:marLeft w:val="1080"/>
          <w:marRight w:val="0"/>
          <w:marTop w:val="0"/>
          <w:marBottom w:val="101"/>
          <w:divBdr>
            <w:top w:val="none" w:sz="0" w:space="0" w:color="auto"/>
            <w:left w:val="none" w:sz="0" w:space="0" w:color="auto"/>
            <w:bottom w:val="none" w:sz="0" w:space="0" w:color="auto"/>
            <w:right w:val="none" w:sz="0" w:space="0" w:color="auto"/>
          </w:divBdr>
        </w:div>
        <w:div w:id="2045053750">
          <w:marLeft w:val="1080"/>
          <w:marRight w:val="0"/>
          <w:marTop w:val="0"/>
          <w:marBottom w:val="101"/>
          <w:divBdr>
            <w:top w:val="none" w:sz="0" w:space="0" w:color="auto"/>
            <w:left w:val="none" w:sz="0" w:space="0" w:color="auto"/>
            <w:bottom w:val="none" w:sz="0" w:space="0" w:color="auto"/>
            <w:right w:val="none" w:sz="0" w:space="0" w:color="auto"/>
          </w:divBdr>
        </w:div>
        <w:div w:id="381443223">
          <w:marLeft w:val="1080"/>
          <w:marRight w:val="0"/>
          <w:marTop w:val="0"/>
          <w:marBottom w:val="101"/>
          <w:divBdr>
            <w:top w:val="none" w:sz="0" w:space="0" w:color="auto"/>
            <w:left w:val="none" w:sz="0" w:space="0" w:color="auto"/>
            <w:bottom w:val="none" w:sz="0" w:space="0" w:color="auto"/>
            <w:right w:val="none" w:sz="0" w:space="0" w:color="auto"/>
          </w:divBdr>
        </w:div>
        <w:div w:id="865679236">
          <w:marLeft w:val="1080"/>
          <w:marRight w:val="0"/>
          <w:marTop w:val="0"/>
          <w:marBottom w:val="101"/>
          <w:divBdr>
            <w:top w:val="none" w:sz="0" w:space="0" w:color="auto"/>
            <w:left w:val="none" w:sz="0" w:space="0" w:color="auto"/>
            <w:bottom w:val="none" w:sz="0" w:space="0" w:color="auto"/>
            <w:right w:val="none" w:sz="0" w:space="0" w:color="auto"/>
          </w:divBdr>
        </w:div>
        <w:div w:id="1361202354">
          <w:marLeft w:val="1080"/>
          <w:marRight w:val="0"/>
          <w:marTop w:val="0"/>
          <w:marBottom w:val="101"/>
          <w:divBdr>
            <w:top w:val="none" w:sz="0" w:space="0" w:color="auto"/>
            <w:left w:val="none" w:sz="0" w:space="0" w:color="auto"/>
            <w:bottom w:val="none" w:sz="0" w:space="0" w:color="auto"/>
            <w:right w:val="none" w:sz="0" w:space="0" w:color="auto"/>
          </w:divBdr>
        </w:div>
        <w:div w:id="1849634839">
          <w:marLeft w:val="1080"/>
          <w:marRight w:val="0"/>
          <w:marTop w:val="0"/>
          <w:marBottom w:val="101"/>
          <w:divBdr>
            <w:top w:val="none" w:sz="0" w:space="0" w:color="auto"/>
            <w:left w:val="none" w:sz="0" w:space="0" w:color="auto"/>
            <w:bottom w:val="none" w:sz="0" w:space="0" w:color="auto"/>
            <w:right w:val="none" w:sz="0" w:space="0" w:color="auto"/>
          </w:divBdr>
        </w:div>
        <w:div w:id="1784113225">
          <w:marLeft w:val="1080"/>
          <w:marRight w:val="0"/>
          <w:marTop w:val="0"/>
          <w:marBottom w:val="101"/>
          <w:divBdr>
            <w:top w:val="none" w:sz="0" w:space="0" w:color="auto"/>
            <w:left w:val="none" w:sz="0" w:space="0" w:color="auto"/>
            <w:bottom w:val="none" w:sz="0" w:space="0" w:color="auto"/>
            <w:right w:val="none" w:sz="0" w:space="0" w:color="auto"/>
          </w:divBdr>
        </w:div>
        <w:div w:id="1558590256">
          <w:marLeft w:val="1080"/>
          <w:marRight w:val="0"/>
          <w:marTop w:val="0"/>
          <w:marBottom w:val="101"/>
          <w:divBdr>
            <w:top w:val="none" w:sz="0" w:space="0" w:color="auto"/>
            <w:left w:val="none" w:sz="0" w:space="0" w:color="auto"/>
            <w:bottom w:val="none" w:sz="0" w:space="0" w:color="auto"/>
            <w:right w:val="none" w:sz="0" w:space="0" w:color="auto"/>
          </w:divBdr>
        </w:div>
        <w:div w:id="1606838562">
          <w:marLeft w:val="1080"/>
          <w:marRight w:val="0"/>
          <w:marTop w:val="0"/>
          <w:marBottom w:val="101"/>
          <w:divBdr>
            <w:top w:val="none" w:sz="0" w:space="0" w:color="auto"/>
            <w:left w:val="none" w:sz="0" w:space="0" w:color="auto"/>
            <w:bottom w:val="none" w:sz="0" w:space="0" w:color="auto"/>
            <w:right w:val="none" w:sz="0" w:space="0" w:color="auto"/>
          </w:divBdr>
        </w:div>
        <w:div w:id="1776555660">
          <w:marLeft w:val="1080"/>
          <w:marRight w:val="0"/>
          <w:marTop w:val="0"/>
          <w:marBottom w:val="101"/>
          <w:divBdr>
            <w:top w:val="none" w:sz="0" w:space="0" w:color="auto"/>
            <w:left w:val="none" w:sz="0" w:space="0" w:color="auto"/>
            <w:bottom w:val="none" w:sz="0" w:space="0" w:color="auto"/>
            <w:right w:val="none" w:sz="0" w:space="0" w:color="auto"/>
          </w:divBdr>
        </w:div>
        <w:div w:id="87697047">
          <w:marLeft w:val="1080"/>
          <w:marRight w:val="0"/>
          <w:marTop w:val="0"/>
          <w:marBottom w:val="101"/>
          <w:divBdr>
            <w:top w:val="none" w:sz="0" w:space="0" w:color="auto"/>
            <w:left w:val="none" w:sz="0" w:space="0" w:color="auto"/>
            <w:bottom w:val="none" w:sz="0" w:space="0" w:color="auto"/>
            <w:right w:val="none" w:sz="0" w:space="0" w:color="auto"/>
          </w:divBdr>
        </w:div>
        <w:div w:id="296961100">
          <w:marLeft w:val="1080"/>
          <w:marRight w:val="0"/>
          <w:marTop w:val="0"/>
          <w:marBottom w:val="101"/>
          <w:divBdr>
            <w:top w:val="none" w:sz="0" w:space="0" w:color="auto"/>
            <w:left w:val="none" w:sz="0" w:space="0" w:color="auto"/>
            <w:bottom w:val="none" w:sz="0" w:space="0" w:color="auto"/>
            <w:right w:val="none" w:sz="0" w:space="0" w:color="auto"/>
          </w:divBdr>
        </w:div>
        <w:div w:id="944966331">
          <w:marLeft w:val="1080"/>
          <w:marRight w:val="0"/>
          <w:marTop w:val="0"/>
          <w:marBottom w:val="101"/>
          <w:divBdr>
            <w:top w:val="none" w:sz="0" w:space="0" w:color="auto"/>
            <w:left w:val="none" w:sz="0" w:space="0" w:color="auto"/>
            <w:bottom w:val="none" w:sz="0" w:space="0" w:color="auto"/>
            <w:right w:val="none" w:sz="0" w:space="0" w:color="auto"/>
          </w:divBdr>
        </w:div>
        <w:div w:id="892931460">
          <w:marLeft w:val="1440"/>
          <w:marRight w:val="0"/>
          <w:marTop w:val="0"/>
          <w:marBottom w:val="101"/>
          <w:divBdr>
            <w:top w:val="none" w:sz="0" w:space="0" w:color="auto"/>
            <w:left w:val="none" w:sz="0" w:space="0" w:color="auto"/>
            <w:bottom w:val="none" w:sz="0" w:space="0" w:color="auto"/>
            <w:right w:val="none" w:sz="0" w:space="0" w:color="auto"/>
          </w:divBdr>
        </w:div>
        <w:div w:id="341513610">
          <w:marLeft w:val="1440"/>
          <w:marRight w:val="0"/>
          <w:marTop w:val="0"/>
          <w:marBottom w:val="101"/>
          <w:divBdr>
            <w:top w:val="none" w:sz="0" w:space="0" w:color="auto"/>
            <w:left w:val="none" w:sz="0" w:space="0" w:color="auto"/>
            <w:bottom w:val="none" w:sz="0" w:space="0" w:color="auto"/>
            <w:right w:val="none" w:sz="0" w:space="0" w:color="auto"/>
          </w:divBdr>
        </w:div>
        <w:div w:id="1290747805">
          <w:marLeft w:val="1080"/>
          <w:marRight w:val="0"/>
          <w:marTop w:val="0"/>
          <w:marBottom w:val="101"/>
          <w:divBdr>
            <w:top w:val="none" w:sz="0" w:space="0" w:color="auto"/>
            <w:left w:val="none" w:sz="0" w:space="0" w:color="auto"/>
            <w:bottom w:val="none" w:sz="0" w:space="0" w:color="auto"/>
            <w:right w:val="none" w:sz="0" w:space="0" w:color="auto"/>
          </w:divBdr>
        </w:div>
        <w:div w:id="154881411">
          <w:marLeft w:val="1080"/>
          <w:marRight w:val="0"/>
          <w:marTop w:val="0"/>
          <w:marBottom w:val="101"/>
          <w:divBdr>
            <w:top w:val="none" w:sz="0" w:space="0" w:color="auto"/>
            <w:left w:val="none" w:sz="0" w:space="0" w:color="auto"/>
            <w:bottom w:val="none" w:sz="0" w:space="0" w:color="auto"/>
            <w:right w:val="none" w:sz="0" w:space="0" w:color="auto"/>
          </w:divBdr>
        </w:div>
        <w:div w:id="797457053">
          <w:marLeft w:val="1080"/>
          <w:marRight w:val="0"/>
          <w:marTop w:val="0"/>
          <w:marBottom w:val="101"/>
          <w:divBdr>
            <w:top w:val="none" w:sz="0" w:space="0" w:color="auto"/>
            <w:left w:val="none" w:sz="0" w:space="0" w:color="auto"/>
            <w:bottom w:val="none" w:sz="0" w:space="0" w:color="auto"/>
            <w:right w:val="none" w:sz="0" w:space="0" w:color="auto"/>
          </w:divBdr>
        </w:div>
        <w:div w:id="1117022897">
          <w:marLeft w:val="1080"/>
          <w:marRight w:val="0"/>
          <w:marTop w:val="0"/>
          <w:marBottom w:val="101"/>
          <w:divBdr>
            <w:top w:val="none" w:sz="0" w:space="0" w:color="auto"/>
            <w:left w:val="none" w:sz="0" w:space="0" w:color="auto"/>
            <w:bottom w:val="none" w:sz="0" w:space="0" w:color="auto"/>
            <w:right w:val="none" w:sz="0" w:space="0" w:color="auto"/>
          </w:divBdr>
        </w:div>
        <w:div w:id="835221712">
          <w:marLeft w:val="1080"/>
          <w:marRight w:val="0"/>
          <w:marTop w:val="0"/>
          <w:marBottom w:val="101"/>
          <w:divBdr>
            <w:top w:val="none" w:sz="0" w:space="0" w:color="auto"/>
            <w:left w:val="none" w:sz="0" w:space="0" w:color="auto"/>
            <w:bottom w:val="none" w:sz="0" w:space="0" w:color="auto"/>
            <w:right w:val="none" w:sz="0" w:space="0" w:color="auto"/>
          </w:divBdr>
        </w:div>
        <w:div w:id="1877960894">
          <w:marLeft w:val="1080"/>
          <w:marRight w:val="0"/>
          <w:marTop w:val="0"/>
          <w:marBottom w:val="101"/>
          <w:divBdr>
            <w:top w:val="none" w:sz="0" w:space="0" w:color="auto"/>
            <w:left w:val="none" w:sz="0" w:space="0" w:color="auto"/>
            <w:bottom w:val="none" w:sz="0" w:space="0" w:color="auto"/>
            <w:right w:val="none" w:sz="0" w:space="0" w:color="auto"/>
          </w:divBdr>
        </w:div>
        <w:div w:id="1651710810">
          <w:marLeft w:val="1080"/>
          <w:marRight w:val="0"/>
          <w:marTop w:val="0"/>
          <w:marBottom w:val="101"/>
          <w:divBdr>
            <w:top w:val="none" w:sz="0" w:space="0" w:color="auto"/>
            <w:left w:val="none" w:sz="0" w:space="0" w:color="auto"/>
            <w:bottom w:val="none" w:sz="0" w:space="0" w:color="auto"/>
            <w:right w:val="none" w:sz="0" w:space="0" w:color="auto"/>
          </w:divBdr>
        </w:div>
        <w:div w:id="1321805893">
          <w:marLeft w:val="1080"/>
          <w:marRight w:val="0"/>
          <w:marTop w:val="0"/>
          <w:marBottom w:val="101"/>
          <w:divBdr>
            <w:top w:val="none" w:sz="0" w:space="0" w:color="auto"/>
            <w:left w:val="none" w:sz="0" w:space="0" w:color="auto"/>
            <w:bottom w:val="none" w:sz="0" w:space="0" w:color="auto"/>
            <w:right w:val="none" w:sz="0" w:space="0" w:color="auto"/>
          </w:divBdr>
        </w:div>
        <w:div w:id="2067609332">
          <w:marLeft w:val="1080"/>
          <w:marRight w:val="0"/>
          <w:marTop w:val="0"/>
          <w:marBottom w:val="101"/>
          <w:divBdr>
            <w:top w:val="none" w:sz="0" w:space="0" w:color="auto"/>
            <w:left w:val="none" w:sz="0" w:space="0" w:color="auto"/>
            <w:bottom w:val="none" w:sz="0" w:space="0" w:color="auto"/>
            <w:right w:val="none" w:sz="0" w:space="0" w:color="auto"/>
          </w:divBdr>
        </w:div>
        <w:div w:id="1223130941">
          <w:marLeft w:val="1080"/>
          <w:marRight w:val="0"/>
          <w:marTop w:val="0"/>
          <w:marBottom w:val="101"/>
          <w:divBdr>
            <w:top w:val="none" w:sz="0" w:space="0" w:color="auto"/>
            <w:left w:val="none" w:sz="0" w:space="0" w:color="auto"/>
            <w:bottom w:val="none" w:sz="0" w:space="0" w:color="auto"/>
            <w:right w:val="none" w:sz="0" w:space="0" w:color="auto"/>
          </w:divBdr>
        </w:div>
        <w:div w:id="1906408103">
          <w:marLeft w:val="1080"/>
          <w:marRight w:val="0"/>
          <w:marTop w:val="0"/>
          <w:marBottom w:val="101"/>
          <w:divBdr>
            <w:top w:val="none" w:sz="0" w:space="0" w:color="auto"/>
            <w:left w:val="none" w:sz="0" w:space="0" w:color="auto"/>
            <w:bottom w:val="none" w:sz="0" w:space="0" w:color="auto"/>
            <w:right w:val="none" w:sz="0" w:space="0" w:color="auto"/>
          </w:divBdr>
        </w:div>
        <w:div w:id="2008941651">
          <w:marLeft w:val="1080"/>
          <w:marRight w:val="0"/>
          <w:marTop w:val="0"/>
          <w:marBottom w:val="101"/>
          <w:divBdr>
            <w:top w:val="none" w:sz="0" w:space="0" w:color="auto"/>
            <w:left w:val="none" w:sz="0" w:space="0" w:color="auto"/>
            <w:bottom w:val="none" w:sz="0" w:space="0" w:color="auto"/>
            <w:right w:val="none" w:sz="0" w:space="0" w:color="auto"/>
          </w:divBdr>
        </w:div>
        <w:div w:id="1936011250">
          <w:marLeft w:val="1080"/>
          <w:marRight w:val="0"/>
          <w:marTop w:val="0"/>
          <w:marBottom w:val="101"/>
          <w:divBdr>
            <w:top w:val="none" w:sz="0" w:space="0" w:color="auto"/>
            <w:left w:val="none" w:sz="0" w:space="0" w:color="auto"/>
            <w:bottom w:val="none" w:sz="0" w:space="0" w:color="auto"/>
            <w:right w:val="none" w:sz="0" w:space="0" w:color="auto"/>
          </w:divBdr>
        </w:div>
        <w:div w:id="1656453850">
          <w:marLeft w:val="1440"/>
          <w:marRight w:val="0"/>
          <w:marTop w:val="0"/>
          <w:marBottom w:val="101"/>
          <w:divBdr>
            <w:top w:val="none" w:sz="0" w:space="0" w:color="auto"/>
            <w:left w:val="none" w:sz="0" w:space="0" w:color="auto"/>
            <w:bottom w:val="none" w:sz="0" w:space="0" w:color="auto"/>
            <w:right w:val="none" w:sz="0" w:space="0" w:color="auto"/>
          </w:divBdr>
        </w:div>
        <w:div w:id="484710515">
          <w:marLeft w:val="1440"/>
          <w:marRight w:val="0"/>
          <w:marTop w:val="0"/>
          <w:marBottom w:val="101"/>
          <w:divBdr>
            <w:top w:val="none" w:sz="0" w:space="0" w:color="auto"/>
            <w:left w:val="none" w:sz="0" w:space="0" w:color="auto"/>
            <w:bottom w:val="none" w:sz="0" w:space="0" w:color="auto"/>
            <w:right w:val="none" w:sz="0" w:space="0" w:color="auto"/>
          </w:divBdr>
        </w:div>
        <w:div w:id="2022584281">
          <w:marLeft w:val="1440"/>
          <w:marRight w:val="0"/>
          <w:marTop w:val="0"/>
          <w:marBottom w:val="101"/>
          <w:divBdr>
            <w:top w:val="none" w:sz="0" w:space="0" w:color="auto"/>
            <w:left w:val="none" w:sz="0" w:space="0" w:color="auto"/>
            <w:bottom w:val="none" w:sz="0" w:space="0" w:color="auto"/>
            <w:right w:val="none" w:sz="0" w:space="0" w:color="auto"/>
          </w:divBdr>
        </w:div>
        <w:div w:id="672951255">
          <w:marLeft w:val="1440"/>
          <w:marRight w:val="0"/>
          <w:marTop w:val="0"/>
          <w:marBottom w:val="101"/>
          <w:divBdr>
            <w:top w:val="none" w:sz="0" w:space="0" w:color="auto"/>
            <w:left w:val="none" w:sz="0" w:space="0" w:color="auto"/>
            <w:bottom w:val="none" w:sz="0" w:space="0" w:color="auto"/>
            <w:right w:val="none" w:sz="0" w:space="0" w:color="auto"/>
          </w:divBdr>
        </w:div>
        <w:div w:id="1092697904">
          <w:marLeft w:val="1440"/>
          <w:marRight w:val="0"/>
          <w:marTop w:val="0"/>
          <w:marBottom w:val="101"/>
          <w:divBdr>
            <w:top w:val="none" w:sz="0" w:space="0" w:color="auto"/>
            <w:left w:val="none" w:sz="0" w:space="0" w:color="auto"/>
            <w:bottom w:val="none" w:sz="0" w:space="0" w:color="auto"/>
            <w:right w:val="none" w:sz="0" w:space="0" w:color="auto"/>
          </w:divBdr>
        </w:div>
        <w:div w:id="907182040">
          <w:marLeft w:val="1080"/>
          <w:marRight w:val="0"/>
          <w:marTop w:val="0"/>
          <w:marBottom w:val="101"/>
          <w:divBdr>
            <w:top w:val="none" w:sz="0" w:space="0" w:color="auto"/>
            <w:left w:val="none" w:sz="0" w:space="0" w:color="auto"/>
            <w:bottom w:val="none" w:sz="0" w:space="0" w:color="auto"/>
            <w:right w:val="none" w:sz="0" w:space="0" w:color="auto"/>
          </w:divBdr>
        </w:div>
        <w:div w:id="976908528">
          <w:marLeft w:val="1080"/>
          <w:marRight w:val="0"/>
          <w:marTop w:val="0"/>
          <w:marBottom w:val="101"/>
          <w:divBdr>
            <w:top w:val="none" w:sz="0" w:space="0" w:color="auto"/>
            <w:left w:val="none" w:sz="0" w:space="0" w:color="auto"/>
            <w:bottom w:val="none" w:sz="0" w:space="0" w:color="auto"/>
            <w:right w:val="none" w:sz="0" w:space="0" w:color="auto"/>
          </w:divBdr>
        </w:div>
        <w:div w:id="1560093297">
          <w:marLeft w:val="1080"/>
          <w:marRight w:val="0"/>
          <w:marTop w:val="0"/>
          <w:marBottom w:val="101"/>
          <w:divBdr>
            <w:top w:val="none" w:sz="0" w:space="0" w:color="auto"/>
            <w:left w:val="none" w:sz="0" w:space="0" w:color="auto"/>
            <w:bottom w:val="none" w:sz="0" w:space="0" w:color="auto"/>
            <w:right w:val="none" w:sz="0" w:space="0" w:color="auto"/>
          </w:divBdr>
        </w:div>
        <w:div w:id="1290936384">
          <w:marLeft w:val="1080"/>
          <w:marRight w:val="0"/>
          <w:marTop w:val="0"/>
          <w:marBottom w:val="101"/>
          <w:divBdr>
            <w:top w:val="none" w:sz="0" w:space="0" w:color="auto"/>
            <w:left w:val="none" w:sz="0" w:space="0" w:color="auto"/>
            <w:bottom w:val="none" w:sz="0" w:space="0" w:color="auto"/>
            <w:right w:val="none" w:sz="0" w:space="0" w:color="auto"/>
          </w:divBdr>
        </w:div>
        <w:div w:id="1226717161">
          <w:marLeft w:val="1080"/>
          <w:marRight w:val="0"/>
          <w:marTop w:val="0"/>
          <w:marBottom w:val="101"/>
          <w:divBdr>
            <w:top w:val="none" w:sz="0" w:space="0" w:color="auto"/>
            <w:left w:val="none" w:sz="0" w:space="0" w:color="auto"/>
            <w:bottom w:val="none" w:sz="0" w:space="0" w:color="auto"/>
            <w:right w:val="none" w:sz="0" w:space="0" w:color="auto"/>
          </w:divBdr>
        </w:div>
        <w:div w:id="127431846">
          <w:marLeft w:val="1080"/>
          <w:marRight w:val="0"/>
          <w:marTop w:val="0"/>
          <w:marBottom w:val="101"/>
          <w:divBdr>
            <w:top w:val="none" w:sz="0" w:space="0" w:color="auto"/>
            <w:left w:val="none" w:sz="0" w:space="0" w:color="auto"/>
            <w:bottom w:val="none" w:sz="0" w:space="0" w:color="auto"/>
            <w:right w:val="none" w:sz="0" w:space="0" w:color="auto"/>
          </w:divBdr>
        </w:div>
        <w:div w:id="1039664233">
          <w:marLeft w:val="1080"/>
          <w:marRight w:val="0"/>
          <w:marTop w:val="0"/>
          <w:marBottom w:val="101"/>
          <w:divBdr>
            <w:top w:val="none" w:sz="0" w:space="0" w:color="auto"/>
            <w:left w:val="none" w:sz="0" w:space="0" w:color="auto"/>
            <w:bottom w:val="none" w:sz="0" w:space="0" w:color="auto"/>
            <w:right w:val="none" w:sz="0" w:space="0" w:color="auto"/>
          </w:divBdr>
        </w:div>
        <w:div w:id="850221541">
          <w:marLeft w:val="1080"/>
          <w:marRight w:val="0"/>
          <w:marTop w:val="0"/>
          <w:marBottom w:val="101"/>
          <w:divBdr>
            <w:top w:val="none" w:sz="0" w:space="0" w:color="auto"/>
            <w:left w:val="none" w:sz="0" w:space="0" w:color="auto"/>
            <w:bottom w:val="none" w:sz="0" w:space="0" w:color="auto"/>
            <w:right w:val="none" w:sz="0" w:space="0" w:color="auto"/>
          </w:divBdr>
        </w:div>
        <w:div w:id="1101611085">
          <w:marLeft w:val="1080"/>
          <w:marRight w:val="0"/>
          <w:marTop w:val="0"/>
          <w:marBottom w:val="101"/>
          <w:divBdr>
            <w:top w:val="none" w:sz="0" w:space="0" w:color="auto"/>
            <w:left w:val="none" w:sz="0" w:space="0" w:color="auto"/>
            <w:bottom w:val="none" w:sz="0" w:space="0" w:color="auto"/>
            <w:right w:val="none" w:sz="0" w:space="0" w:color="auto"/>
          </w:divBdr>
        </w:div>
        <w:div w:id="1970474682">
          <w:marLeft w:val="1080"/>
          <w:marRight w:val="0"/>
          <w:marTop w:val="0"/>
          <w:marBottom w:val="101"/>
          <w:divBdr>
            <w:top w:val="none" w:sz="0" w:space="0" w:color="auto"/>
            <w:left w:val="none" w:sz="0" w:space="0" w:color="auto"/>
            <w:bottom w:val="none" w:sz="0" w:space="0" w:color="auto"/>
            <w:right w:val="none" w:sz="0" w:space="0" w:color="auto"/>
          </w:divBdr>
        </w:div>
        <w:div w:id="251622175">
          <w:marLeft w:val="1080"/>
          <w:marRight w:val="0"/>
          <w:marTop w:val="0"/>
          <w:marBottom w:val="101"/>
          <w:divBdr>
            <w:top w:val="none" w:sz="0" w:space="0" w:color="auto"/>
            <w:left w:val="none" w:sz="0" w:space="0" w:color="auto"/>
            <w:bottom w:val="none" w:sz="0" w:space="0" w:color="auto"/>
            <w:right w:val="none" w:sz="0" w:space="0" w:color="auto"/>
          </w:divBdr>
        </w:div>
        <w:div w:id="355933072">
          <w:marLeft w:val="1080"/>
          <w:marRight w:val="0"/>
          <w:marTop w:val="0"/>
          <w:marBottom w:val="101"/>
          <w:divBdr>
            <w:top w:val="none" w:sz="0" w:space="0" w:color="auto"/>
            <w:left w:val="none" w:sz="0" w:space="0" w:color="auto"/>
            <w:bottom w:val="none" w:sz="0" w:space="0" w:color="auto"/>
            <w:right w:val="none" w:sz="0" w:space="0" w:color="auto"/>
          </w:divBdr>
        </w:div>
        <w:div w:id="1661273995">
          <w:marLeft w:val="1080"/>
          <w:marRight w:val="0"/>
          <w:marTop w:val="0"/>
          <w:marBottom w:val="101"/>
          <w:divBdr>
            <w:top w:val="none" w:sz="0" w:space="0" w:color="auto"/>
            <w:left w:val="none" w:sz="0" w:space="0" w:color="auto"/>
            <w:bottom w:val="none" w:sz="0" w:space="0" w:color="auto"/>
            <w:right w:val="none" w:sz="0" w:space="0" w:color="auto"/>
          </w:divBdr>
        </w:div>
        <w:div w:id="1599172347">
          <w:marLeft w:val="1080"/>
          <w:marRight w:val="0"/>
          <w:marTop w:val="0"/>
          <w:marBottom w:val="101"/>
          <w:divBdr>
            <w:top w:val="none" w:sz="0" w:space="0" w:color="auto"/>
            <w:left w:val="none" w:sz="0" w:space="0" w:color="auto"/>
            <w:bottom w:val="none" w:sz="0" w:space="0" w:color="auto"/>
            <w:right w:val="none" w:sz="0" w:space="0" w:color="auto"/>
          </w:divBdr>
        </w:div>
        <w:div w:id="1003434268">
          <w:marLeft w:val="1080"/>
          <w:marRight w:val="0"/>
          <w:marTop w:val="0"/>
          <w:marBottom w:val="101"/>
          <w:divBdr>
            <w:top w:val="none" w:sz="0" w:space="0" w:color="auto"/>
            <w:left w:val="none" w:sz="0" w:space="0" w:color="auto"/>
            <w:bottom w:val="none" w:sz="0" w:space="0" w:color="auto"/>
            <w:right w:val="none" w:sz="0" w:space="0" w:color="auto"/>
          </w:divBdr>
        </w:div>
        <w:div w:id="363598209">
          <w:marLeft w:val="1080"/>
          <w:marRight w:val="0"/>
          <w:marTop w:val="0"/>
          <w:marBottom w:val="101"/>
          <w:divBdr>
            <w:top w:val="none" w:sz="0" w:space="0" w:color="auto"/>
            <w:left w:val="none" w:sz="0" w:space="0" w:color="auto"/>
            <w:bottom w:val="none" w:sz="0" w:space="0" w:color="auto"/>
            <w:right w:val="none" w:sz="0" w:space="0" w:color="auto"/>
          </w:divBdr>
        </w:div>
        <w:div w:id="387850115">
          <w:marLeft w:val="1080"/>
          <w:marRight w:val="0"/>
          <w:marTop w:val="0"/>
          <w:marBottom w:val="101"/>
          <w:divBdr>
            <w:top w:val="none" w:sz="0" w:space="0" w:color="auto"/>
            <w:left w:val="none" w:sz="0" w:space="0" w:color="auto"/>
            <w:bottom w:val="none" w:sz="0" w:space="0" w:color="auto"/>
            <w:right w:val="none" w:sz="0" w:space="0" w:color="auto"/>
          </w:divBdr>
        </w:div>
        <w:div w:id="2109228802">
          <w:marLeft w:val="1080"/>
          <w:marRight w:val="0"/>
          <w:marTop w:val="0"/>
          <w:marBottom w:val="101"/>
          <w:divBdr>
            <w:top w:val="none" w:sz="0" w:space="0" w:color="auto"/>
            <w:left w:val="none" w:sz="0" w:space="0" w:color="auto"/>
            <w:bottom w:val="none" w:sz="0" w:space="0" w:color="auto"/>
            <w:right w:val="none" w:sz="0" w:space="0" w:color="auto"/>
          </w:divBdr>
        </w:div>
        <w:div w:id="1021083296">
          <w:marLeft w:val="1080"/>
          <w:marRight w:val="0"/>
          <w:marTop w:val="0"/>
          <w:marBottom w:val="101"/>
          <w:divBdr>
            <w:top w:val="none" w:sz="0" w:space="0" w:color="auto"/>
            <w:left w:val="none" w:sz="0" w:space="0" w:color="auto"/>
            <w:bottom w:val="none" w:sz="0" w:space="0" w:color="auto"/>
            <w:right w:val="none" w:sz="0" w:space="0" w:color="auto"/>
          </w:divBdr>
        </w:div>
        <w:div w:id="1944610061">
          <w:marLeft w:val="1080"/>
          <w:marRight w:val="0"/>
          <w:marTop w:val="0"/>
          <w:marBottom w:val="101"/>
          <w:divBdr>
            <w:top w:val="none" w:sz="0" w:space="0" w:color="auto"/>
            <w:left w:val="none" w:sz="0" w:space="0" w:color="auto"/>
            <w:bottom w:val="none" w:sz="0" w:space="0" w:color="auto"/>
            <w:right w:val="none" w:sz="0" w:space="0" w:color="auto"/>
          </w:divBdr>
        </w:div>
        <w:div w:id="1384528072">
          <w:marLeft w:val="1080"/>
          <w:marRight w:val="0"/>
          <w:marTop w:val="0"/>
          <w:marBottom w:val="101"/>
          <w:divBdr>
            <w:top w:val="none" w:sz="0" w:space="0" w:color="auto"/>
            <w:left w:val="none" w:sz="0" w:space="0" w:color="auto"/>
            <w:bottom w:val="none" w:sz="0" w:space="0" w:color="auto"/>
            <w:right w:val="none" w:sz="0" w:space="0" w:color="auto"/>
          </w:divBdr>
        </w:div>
        <w:div w:id="1899515285">
          <w:marLeft w:val="1080"/>
          <w:marRight w:val="0"/>
          <w:marTop w:val="0"/>
          <w:marBottom w:val="80"/>
          <w:divBdr>
            <w:top w:val="none" w:sz="0" w:space="0" w:color="auto"/>
            <w:left w:val="none" w:sz="0" w:space="0" w:color="auto"/>
            <w:bottom w:val="none" w:sz="0" w:space="0" w:color="auto"/>
            <w:right w:val="none" w:sz="0" w:space="0" w:color="auto"/>
          </w:divBdr>
        </w:div>
        <w:div w:id="1780372770">
          <w:marLeft w:val="1080"/>
          <w:marRight w:val="0"/>
          <w:marTop w:val="0"/>
          <w:marBottom w:val="80"/>
          <w:divBdr>
            <w:top w:val="none" w:sz="0" w:space="0" w:color="auto"/>
            <w:left w:val="none" w:sz="0" w:space="0" w:color="auto"/>
            <w:bottom w:val="none" w:sz="0" w:space="0" w:color="auto"/>
            <w:right w:val="none" w:sz="0" w:space="0" w:color="auto"/>
          </w:divBdr>
        </w:div>
        <w:div w:id="629558214">
          <w:marLeft w:val="1080"/>
          <w:marRight w:val="0"/>
          <w:marTop w:val="0"/>
          <w:marBottom w:val="80"/>
          <w:divBdr>
            <w:top w:val="none" w:sz="0" w:space="0" w:color="auto"/>
            <w:left w:val="none" w:sz="0" w:space="0" w:color="auto"/>
            <w:bottom w:val="none" w:sz="0" w:space="0" w:color="auto"/>
            <w:right w:val="none" w:sz="0" w:space="0" w:color="auto"/>
          </w:divBdr>
        </w:div>
        <w:div w:id="28772477">
          <w:marLeft w:val="1080"/>
          <w:marRight w:val="0"/>
          <w:marTop w:val="0"/>
          <w:marBottom w:val="80"/>
          <w:divBdr>
            <w:top w:val="none" w:sz="0" w:space="0" w:color="auto"/>
            <w:left w:val="none" w:sz="0" w:space="0" w:color="auto"/>
            <w:bottom w:val="none" w:sz="0" w:space="0" w:color="auto"/>
            <w:right w:val="none" w:sz="0" w:space="0" w:color="auto"/>
          </w:divBdr>
        </w:div>
        <w:div w:id="907614174">
          <w:marLeft w:val="1080"/>
          <w:marRight w:val="0"/>
          <w:marTop w:val="0"/>
          <w:marBottom w:val="80"/>
          <w:divBdr>
            <w:top w:val="none" w:sz="0" w:space="0" w:color="auto"/>
            <w:left w:val="none" w:sz="0" w:space="0" w:color="auto"/>
            <w:bottom w:val="none" w:sz="0" w:space="0" w:color="auto"/>
            <w:right w:val="none" w:sz="0" w:space="0" w:color="auto"/>
          </w:divBdr>
        </w:div>
        <w:div w:id="586420883">
          <w:marLeft w:val="1080"/>
          <w:marRight w:val="0"/>
          <w:marTop w:val="0"/>
          <w:marBottom w:val="80"/>
          <w:divBdr>
            <w:top w:val="none" w:sz="0" w:space="0" w:color="auto"/>
            <w:left w:val="none" w:sz="0" w:space="0" w:color="auto"/>
            <w:bottom w:val="none" w:sz="0" w:space="0" w:color="auto"/>
            <w:right w:val="none" w:sz="0" w:space="0" w:color="auto"/>
          </w:divBdr>
        </w:div>
        <w:div w:id="413624800">
          <w:marLeft w:val="1080"/>
          <w:marRight w:val="0"/>
          <w:marTop w:val="0"/>
          <w:marBottom w:val="80"/>
          <w:divBdr>
            <w:top w:val="none" w:sz="0" w:space="0" w:color="auto"/>
            <w:left w:val="none" w:sz="0" w:space="0" w:color="auto"/>
            <w:bottom w:val="none" w:sz="0" w:space="0" w:color="auto"/>
            <w:right w:val="none" w:sz="0" w:space="0" w:color="auto"/>
          </w:divBdr>
        </w:div>
        <w:div w:id="1257444578">
          <w:marLeft w:val="1440"/>
          <w:marRight w:val="0"/>
          <w:marTop w:val="0"/>
          <w:marBottom w:val="80"/>
          <w:divBdr>
            <w:top w:val="none" w:sz="0" w:space="0" w:color="auto"/>
            <w:left w:val="none" w:sz="0" w:space="0" w:color="auto"/>
            <w:bottom w:val="none" w:sz="0" w:space="0" w:color="auto"/>
            <w:right w:val="none" w:sz="0" w:space="0" w:color="auto"/>
          </w:divBdr>
        </w:div>
        <w:div w:id="954215092">
          <w:marLeft w:val="1440"/>
          <w:marRight w:val="0"/>
          <w:marTop w:val="0"/>
          <w:marBottom w:val="80"/>
          <w:divBdr>
            <w:top w:val="none" w:sz="0" w:space="0" w:color="auto"/>
            <w:left w:val="none" w:sz="0" w:space="0" w:color="auto"/>
            <w:bottom w:val="none" w:sz="0" w:space="0" w:color="auto"/>
            <w:right w:val="none" w:sz="0" w:space="0" w:color="auto"/>
          </w:divBdr>
        </w:div>
        <w:div w:id="1598564587">
          <w:marLeft w:val="1440"/>
          <w:marRight w:val="0"/>
          <w:marTop w:val="0"/>
          <w:marBottom w:val="80"/>
          <w:divBdr>
            <w:top w:val="none" w:sz="0" w:space="0" w:color="auto"/>
            <w:left w:val="none" w:sz="0" w:space="0" w:color="auto"/>
            <w:bottom w:val="none" w:sz="0" w:space="0" w:color="auto"/>
            <w:right w:val="none" w:sz="0" w:space="0" w:color="auto"/>
          </w:divBdr>
        </w:div>
        <w:div w:id="1452016101">
          <w:marLeft w:val="1080"/>
          <w:marRight w:val="0"/>
          <w:marTop w:val="0"/>
          <w:marBottom w:val="80"/>
          <w:divBdr>
            <w:top w:val="none" w:sz="0" w:space="0" w:color="auto"/>
            <w:left w:val="none" w:sz="0" w:space="0" w:color="auto"/>
            <w:bottom w:val="none" w:sz="0" w:space="0" w:color="auto"/>
            <w:right w:val="none" w:sz="0" w:space="0" w:color="auto"/>
          </w:divBdr>
        </w:div>
        <w:div w:id="975451062">
          <w:marLeft w:val="1440"/>
          <w:marRight w:val="0"/>
          <w:marTop w:val="0"/>
          <w:marBottom w:val="80"/>
          <w:divBdr>
            <w:top w:val="none" w:sz="0" w:space="0" w:color="auto"/>
            <w:left w:val="none" w:sz="0" w:space="0" w:color="auto"/>
            <w:bottom w:val="none" w:sz="0" w:space="0" w:color="auto"/>
            <w:right w:val="none" w:sz="0" w:space="0" w:color="auto"/>
          </w:divBdr>
        </w:div>
        <w:div w:id="1377507752">
          <w:marLeft w:val="1440"/>
          <w:marRight w:val="0"/>
          <w:marTop w:val="0"/>
          <w:marBottom w:val="80"/>
          <w:divBdr>
            <w:top w:val="none" w:sz="0" w:space="0" w:color="auto"/>
            <w:left w:val="none" w:sz="0" w:space="0" w:color="auto"/>
            <w:bottom w:val="none" w:sz="0" w:space="0" w:color="auto"/>
            <w:right w:val="none" w:sz="0" w:space="0" w:color="auto"/>
          </w:divBdr>
        </w:div>
        <w:div w:id="1689603114">
          <w:marLeft w:val="1440"/>
          <w:marRight w:val="0"/>
          <w:marTop w:val="0"/>
          <w:marBottom w:val="80"/>
          <w:divBdr>
            <w:top w:val="none" w:sz="0" w:space="0" w:color="auto"/>
            <w:left w:val="none" w:sz="0" w:space="0" w:color="auto"/>
            <w:bottom w:val="none" w:sz="0" w:space="0" w:color="auto"/>
            <w:right w:val="none" w:sz="0" w:space="0" w:color="auto"/>
          </w:divBdr>
        </w:div>
        <w:div w:id="334378627">
          <w:marLeft w:val="1440"/>
          <w:marRight w:val="0"/>
          <w:marTop w:val="0"/>
          <w:marBottom w:val="80"/>
          <w:divBdr>
            <w:top w:val="none" w:sz="0" w:space="0" w:color="auto"/>
            <w:left w:val="none" w:sz="0" w:space="0" w:color="auto"/>
            <w:bottom w:val="none" w:sz="0" w:space="0" w:color="auto"/>
            <w:right w:val="none" w:sz="0" w:space="0" w:color="auto"/>
          </w:divBdr>
        </w:div>
        <w:div w:id="1326393541">
          <w:marLeft w:val="1440"/>
          <w:marRight w:val="0"/>
          <w:marTop w:val="0"/>
          <w:marBottom w:val="80"/>
          <w:divBdr>
            <w:top w:val="none" w:sz="0" w:space="0" w:color="auto"/>
            <w:left w:val="none" w:sz="0" w:space="0" w:color="auto"/>
            <w:bottom w:val="none" w:sz="0" w:space="0" w:color="auto"/>
            <w:right w:val="none" w:sz="0" w:space="0" w:color="auto"/>
          </w:divBdr>
        </w:div>
        <w:div w:id="817919280">
          <w:marLeft w:val="1440"/>
          <w:marRight w:val="0"/>
          <w:marTop w:val="0"/>
          <w:marBottom w:val="80"/>
          <w:divBdr>
            <w:top w:val="none" w:sz="0" w:space="0" w:color="auto"/>
            <w:left w:val="none" w:sz="0" w:space="0" w:color="auto"/>
            <w:bottom w:val="none" w:sz="0" w:space="0" w:color="auto"/>
            <w:right w:val="none" w:sz="0" w:space="0" w:color="auto"/>
          </w:divBdr>
        </w:div>
        <w:div w:id="1591885358">
          <w:marLeft w:val="1440"/>
          <w:marRight w:val="0"/>
          <w:marTop w:val="0"/>
          <w:marBottom w:val="80"/>
          <w:divBdr>
            <w:top w:val="none" w:sz="0" w:space="0" w:color="auto"/>
            <w:left w:val="none" w:sz="0" w:space="0" w:color="auto"/>
            <w:bottom w:val="none" w:sz="0" w:space="0" w:color="auto"/>
            <w:right w:val="none" w:sz="0" w:space="0" w:color="auto"/>
          </w:divBdr>
        </w:div>
        <w:div w:id="167520034">
          <w:marLeft w:val="1440"/>
          <w:marRight w:val="0"/>
          <w:marTop w:val="0"/>
          <w:marBottom w:val="80"/>
          <w:divBdr>
            <w:top w:val="none" w:sz="0" w:space="0" w:color="auto"/>
            <w:left w:val="none" w:sz="0" w:space="0" w:color="auto"/>
            <w:bottom w:val="none" w:sz="0" w:space="0" w:color="auto"/>
            <w:right w:val="none" w:sz="0" w:space="0" w:color="auto"/>
          </w:divBdr>
        </w:div>
        <w:div w:id="1279919031">
          <w:marLeft w:val="1440"/>
          <w:marRight w:val="0"/>
          <w:marTop w:val="0"/>
          <w:marBottom w:val="80"/>
          <w:divBdr>
            <w:top w:val="none" w:sz="0" w:space="0" w:color="auto"/>
            <w:left w:val="none" w:sz="0" w:space="0" w:color="auto"/>
            <w:bottom w:val="none" w:sz="0" w:space="0" w:color="auto"/>
            <w:right w:val="none" w:sz="0" w:space="0" w:color="auto"/>
          </w:divBdr>
        </w:div>
        <w:div w:id="35081405">
          <w:marLeft w:val="1080"/>
          <w:marRight w:val="0"/>
          <w:marTop w:val="0"/>
          <w:marBottom w:val="80"/>
          <w:divBdr>
            <w:top w:val="none" w:sz="0" w:space="0" w:color="auto"/>
            <w:left w:val="none" w:sz="0" w:space="0" w:color="auto"/>
            <w:bottom w:val="none" w:sz="0" w:space="0" w:color="auto"/>
            <w:right w:val="none" w:sz="0" w:space="0" w:color="auto"/>
          </w:divBdr>
        </w:div>
        <w:div w:id="2130082889">
          <w:marLeft w:val="1800"/>
          <w:marRight w:val="0"/>
          <w:marTop w:val="0"/>
          <w:marBottom w:val="80"/>
          <w:divBdr>
            <w:top w:val="none" w:sz="0" w:space="0" w:color="auto"/>
            <w:left w:val="none" w:sz="0" w:space="0" w:color="auto"/>
            <w:bottom w:val="none" w:sz="0" w:space="0" w:color="auto"/>
            <w:right w:val="none" w:sz="0" w:space="0" w:color="auto"/>
          </w:divBdr>
        </w:div>
        <w:div w:id="384790950">
          <w:marLeft w:val="1800"/>
          <w:marRight w:val="0"/>
          <w:marTop w:val="0"/>
          <w:marBottom w:val="80"/>
          <w:divBdr>
            <w:top w:val="none" w:sz="0" w:space="0" w:color="auto"/>
            <w:left w:val="none" w:sz="0" w:space="0" w:color="auto"/>
            <w:bottom w:val="none" w:sz="0" w:space="0" w:color="auto"/>
            <w:right w:val="none" w:sz="0" w:space="0" w:color="auto"/>
          </w:divBdr>
        </w:div>
        <w:div w:id="526716417">
          <w:marLeft w:val="1800"/>
          <w:marRight w:val="0"/>
          <w:marTop w:val="0"/>
          <w:marBottom w:val="101"/>
          <w:divBdr>
            <w:top w:val="none" w:sz="0" w:space="0" w:color="auto"/>
            <w:left w:val="none" w:sz="0" w:space="0" w:color="auto"/>
            <w:bottom w:val="none" w:sz="0" w:space="0" w:color="auto"/>
            <w:right w:val="none" w:sz="0" w:space="0" w:color="auto"/>
          </w:divBdr>
        </w:div>
        <w:div w:id="965507337">
          <w:marLeft w:val="1800"/>
          <w:marRight w:val="0"/>
          <w:marTop w:val="0"/>
          <w:marBottom w:val="101"/>
          <w:divBdr>
            <w:top w:val="none" w:sz="0" w:space="0" w:color="auto"/>
            <w:left w:val="none" w:sz="0" w:space="0" w:color="auto"/>
            <w:bottom w:val="none" w:sz="0" w:space="0" w:color="auto"/>
            <w:right w:val="none" w:sz="0" w:space="0" w:color="auto"/>
          </w:divBdr>
        </w:div>
        <w:div w:id="1845975783">
          <w:marLeft w:val="1800"/>
          <w:marRight w:val="0"/>
          <w:marTop w:val="0"/>
          <w:marBottom w:val="101"/>
          <w:divBdr>
            <w:top w:val="none" w:sz="0" w:space="0" w:color="auto"/>
            <w:left w:val="none" w:sz="0" w:space="0" w:color="auto"/>
            <w:bottom w:val="none" w:sz="0" w:space="0" w:color="auto"/>
            <w:right w:val="none" w:sz="0" w:space="0" w:color="auto"/>
          </w:divBdr>
        </w:div>
        <w:div w:id="2055277433">
          <w:marLeft w:val="1080"/>
          <w:marRight w:val="0"/>
          <w:marTop w:val="0"/>
          <w:marBottom w:val="101"/>
          <w:divBdr>
            <w:top w:val="none" w:sz="0" w:space="0" w:color="auto"/>
            <w:left w:val="none" w:sz="0" w:space="0" w:color="auto"/>
            <w:bottom w:val="none" w:sz="0" w:space="0" w:color="auto"/>
            <w:right w:val="none" w:sz="0" w:space="0" w:color="auto"/>
          </w:divBdr>
        </w:div>
        <w:div w:id="1019623631">
          <w:marLeft w:val="1080"/>
          <w:marRight w:val="0"/>
          <w:marTop w:val="0"/>
          <w:marBottom w:val="101"/>
          <w:divBdr>
            <w:top w:val="none" w:sz="0" w:space="0" w:color="auto"/>
            <w:left w:val="none" w:sz="0" w:space="0" w:color="auto"/>
            <w:bottom w:val="none" w:sz="0" w:space="0" w:color="auto"/>
            <w:right w:val="none" w:sz="0" w:space="0" w:color="auto"/>
          </w:divBdr>
        </w:div>
        <w:div w:id="2091996080">
          <w:marLeft w:val="1080"/>
          <w:marRight w:val="0"/>
          <w:marTop w:val="0"/>
          <w:marBottom w:val="101"/>
          <w:divBdr>
            <w:top w:val="none" w:sz="0" w:space="0" w:color="auto"/>
            <w:left w:val="none" w:sz="0" w:space="0" w:color="auto"/>
            <w:bottom w:val="none" w:sz="0" w:space="0" w:color="auto"/>
            <w:right w:val="none" w:sz="0" w:space="0" w:color="auto"/>
          </w:divBdr>
        </w:div>
        <w:div w:id="365184564">
          <w:marLeft w:val="1080"/>
          <w:marRight w:val="0"/>
          <w:marTop w:val="0"/>
          <w:marBottom w:val="101"/>
          <w:divBdr>
            <w:top w:val="none" w:sz="0" w:space="0" w:color="auto"/>
            <w:left w:val="none" w:sz="0" w:space="0" w:color="auto"/>
            <w:bottom w:val="none" w:sz="0" w:space="0" w:color="auto"/>
            <w:right w:val="none" w:sz="0" w:space="0" w:color="auto"/>
          </w:divBdr>
        </w:div>
        <w:div w:id="1614094531">
          <w:marLeft w:val="1080"/>
          <w:marRight w:val="0"/>
          <w:marTop w:val="0"/>
          <w:marBottom w:val="101"/>
          <w:divBdr>
            <w:top w:val="none" w:sz="0" w:space="0" w:color="auto"/>
            <w:left w:val="none" w:sz="0" w:space="0" w:color="auto"/>
            <w:bottom w:val="none" w:sz="0" w:space="0" w:color="auto"/>
            <w:right w:val="none" w:sz="0" w:space="0" w:color="auto"/>
          </w:divBdr>
        </w:div>
        <w:div w:id="1543640034">
          <w:marLeft w:val="1080"/>
          <w:marRight w:val="0"/>
          <w:marTop w:val="0"/>
          <w:marBottom w:val="101"/>
          <w:divBdr>
            <w:top w:val="none" w:sz="0" w:space="0" w:color="auto"/>
            <w:left w:val="none" w:sz="0" w:space="0" w:color="auto"/>
            <w:bottom w:val="none" w:sz="0" w:space="0" w:color="auto"/>
            <w:right w:val="none" w:sz="0" w:space="0" w:color="auto"/>
          </w:divBdr>
        </w:div>
        <w:div w:id="1590001614">
          <w:marLeft w:val="1080"/>
          <w:marRight w:val="0"/>
          <w:marTop w:val="0"/>
          <w:marBottom w:val="101"/>
          <w:divBdr>
            <w:top w:val="none" w:sz="0" w:space="0" w:color="auto"/>
            <w:left w:val="none" w:sz="0" w:space="0" w:color="auto"/>
            <w:bottom w:val="none" w:sz="0" w:space="0" w:color="auto"/>
            <w:right w:val="none" w:sz="0" w:space="0" w:color="auto"/>
          </w:divBdr>
        </w:div>
        <w:div w:id="672756208">
          <w:marLeft w:val="0"/>
          <w:marRight w:val="0"/>
          <w:marTop w:val="0"/>
          <w:marBottom w:val="101"/>
          <w:divBdr>
            <w:top w:val="none" w:sz="0" w:space="0" w:color="auto"/>
            <w:left w:val="none" w:sz="0" w:space="0" w:color="auto"/>
            <w:bottom w:val="none" w:sz="0" w:space="0" w:color="auto"/>
            <w:right w:val="none" w:sz="0" w:space="0" w:color="auto"/>
          </w:divBdr>
        </w:div>
        <w:div w:id="714239261">
          <w:marLeft w:val="0"/>
          <w:marRight w:val="0"/>
          <w:marTop w:val="0"/>
          <w:marBottom w:val="101"/>
          <w:divBdr>
            <w:top w:val="none" w:sz="0" w:space="0" w:color="auto"/>
            <w:left w:val="none" w:sz="0" w:space="0" w:color="auto"/>
            <w:bottom w:val="none" w:sz="0" w:space="0" w:color="auto"/>
            <w:right w:val="none" w:sz="0" w:space="0" w:color="auto"/>
          </w:divBdr>
        </w:div>
        <w:div w:id="539561472">
          <w:marLeft w:val="0"/>
          <w:marRight w:val="0"/>
          <w:marTop w:val="0"/>
          <w:marBottom w:val="101"/>
          <w:divBdr>
            <w:top w:val="none" w:sz="0" w:space="0" w:color="auto"/>
            <w:left w:val="none" w:sz="0" w:space="0" w:color="auto"/>
            <w:bottom w:val="none" w:sz="0" w:space="0" w:color="auto"/>
            <w:right w:val="none" w:sz="0" w:space="0" w:color="auto"/>
          </w:divBdr>
        </w:div>
        <w:div w:id="310603027">
          <w:marLeft w:val="0"/>
          <w:marRight w:val="0"/>
          <w:marTop w:val="0"/>
          <w:marBottom w:val="101"/>
          <w:divBdr>
            <w:top w:val="none" w:sz="0" w:space="0" w:color="auto"/>
            <w:left w:val="none" w:sz="0" w:space="0" w:color="auto"/>
            <w:bottom w:val="none" w:sz="0" w:space="0" w:color="auto"/>
            <w:right w:val="none" w:sz="0" w:space="0" w:color="auto"/>
          </w:divBdr>
        </w:div>
        <w:div w:id="757874596">
          <w:marLeft w:val="0"/>
          <w:marRight w:val="0"/>
          <w:marTop w:val="0"/>
          <w:marBottom w:val="101"/>
          <w:divBdr>
            <w:top w:val="none" w:sz="0" w:space="0" w:color="auto"/>
            <w:left w:val="none" w:sz="0" w:space="0" w:color="auto"/>
            <w:bottom w:val="none" w:sz="0" w:space="0" w:color="auto"/>
            <w:right w:val="none" w:sz="0" w:space="0" w:color="auto"/>
          </w:divBdr>
        </w:div>
        <w:div w:id="396628481">
          <w:marLeft w:val="1080"/>
          <w:marRight w:val="0"/>
          <w:marTop w:val="0"/>
          <w:marBottom w:val="101"/>
          <w:divBdr>
            <w:top w:val="none" w:sz="0" w:space="0" w:color="auto"/>
            <w:left w:val="none" w:sz="0" w:space="0" w:color="auto"/>
            <w:bottom w:val="none" w:sz="0" w:space="0" w:color="auto"/>
            <w:right w:val="none" w:sz="0" w:space="0" w:color="auto"/>
          </w:divBdr>
        </w:div>
        <w:div w:id="978413419">
          <w:marLeft w:val="1080"/>
          <w:marRight w:val="0"/>
          <w:marTop w:val="0"/>
          <w:marBottom w:val="101"/>
          <w:divBdr>
            <w:top w:val="none" w:sz="0" w:space="0" w:color="auto"/>
            <w:left w:val="none" w:sz="0" w:space="0" w:color="auto"/>
            <w:bottom w:val="none" w:sz="0" w:space="0" w:color="auto"/>
            <w:right w:val="none" w:sz="0" w:space="0" w:color="auto"/>
          </w:divBdr>
        </w:div>
        <w:div w:id="660356902">
          <w:marLeft w:val="1080"/>
          <w:marRight w:val="0"/>
          <w:marTop w:val="0"/>
          <w:marBottom w:val="101"/>
          <w:divBdr>
            <w:top w:val="none" w:sz="0" w:space="0" w:color="auto"/>
            <w:left w:val="none" w:sz="0" w:space="0" w:color="auto"/>
            <w:bottom w:val="none" w:sz="0" w:space="0" w:color="auto"/>
            <w:right w:val="none" w:sz="0" w:space="0" w:color="auto"/>
          </w:divBdr>
        </w:div>
        <w:div w:id="652410995">
          <w:marLeft w:val="1080"/>
          <w:marRight w:val="0"/>
          <w:marTop w:val="0"/>
          <w:marBottom w:val="101"/>
          <w:divBdr>
            <w:top w:val="none" w:sz="0" w:space="0" w:color="auto"/>
            <w:left w:val="none" w:sz="0" w:space="0" w:color="auto"/>
            <w:bottom w:val="none" w:sz="0" w:space="0" w:color="auto"/>
            <w:right w:val="none" w:sz="0" w:space="0" w:color="auto"/>
          </w:divBdr>
        </w:div>
        <w:div w:id="1148664060">
          <w:marLeft w:val="1080"/>
          <w:marRight w:val="0"/>
          <w:marTop w:val="0"/>
          <w:marBottom w:val="101"/>
          <w:divBdr>
            <w:top w:val="none" w:sz="0" w:space="0" w:color="auto"/>
            <w:left w:val="none" w:sz="0" w:space="0" w:color="auto"/>
            <w:bottom w:val="none" w:sz="0" w:space="0" w:color="auto"/>
            <w:right w:val="none" w:sz="0" w:space="0" w:color="auto"/>
          </w:divBdr>
        </w:div>
        <w:div w:id="1051347841">
          <w:marLeft w:val="1080"/>
          <w:marRight w:val="0"/>
          <w:marTop w:val="0"/>
          <w:marBottom w:val="101"/>
          <w:divBdr>
            <w:top w:val="none" w:sz="0" w:space="0" w:color="auto"/>
            <w:left w:val="none" w:sz="0" w:space="0" w:color="auto"/>
            <w:bottom w:val="none" w:sz="0" w:space="0" w:color="auto"/>
            <w:right w:val="none" w:sz="0" w:space="0" w:color="auto"/>
          </w:divBdr>
        </w:div>
        <w:div w:id="1103458975">
          <w:marLeft w:val="1440"/>
          <w:marRight w:val="0"/>
          <w:marTop w:val="0"/>
          <w:marBottom w:val="101"/>
          <w:divBdr>
            <w:top w:val="none" w:sz="0" w:space="0" w:color="auto"/>
            <w:left w:val="none" w:sz="0" w:space="0" w:color="auto"/>
            <w:bottom w:val="none" w:sz="0" w:space="0" w:color="auto"/>
            <w:right w:val="none" w:sz="0" w:space="0" w:color="auto"/>
          </w:divBdr>
        </w:div>
        <w:div w:id="2036155057">
          <w:marLeft w:val="1800"/>
          <w:marRight w:val="0"/>
          <w:marTop w:val="0"/>
          <w:marBottom w:val="101"/>
          <w:divBdr>
            <w:top w:val="none" w:sz="0" w:space="0" w:color="auto"/>
            <w:left w:val="none" w:sz="0" w:space="0" w:color="auto"/>
            <w:bottom w:val="none" w:sz="0" w:space="0" w:color="auto"/>
            <w:right w:val="none" w:sz="0" w:space="0" w:color="auto"/>
          </w:divBdr>
        </w:div>
        <w:div w:id="224806547">
          <w:marLeft w:val="1800"/>
          <w:marRight w:val="0"/>
          <w:marTop w:val="0"/>
          <w:marBottom w:val="101"/>
          <w:divBdr>
            <w:top w:val="none" w:sz="0" w:space="0" w:color="auto"/>
            <w:left w:val="none" w:sz="0" w:space="0" w:color="auto"/>
            <w:bottom w:val="none" w:sz="0" w:space="0" w:color="auto"/>
            <w:right w:val="none" w:sz="0" w:space="0" w:color="auto"/>
          </w:divBdr>
        </w:div>
        <w:div w:id="116722074">
          <w:marLeft w:val="1800"/>
          <w:marRight w:val="0"/>
          <w:marTop w:val="0"/>
          <w:marBottom w:val="101"/>
          <w:divBdr>
            <w:top w:val="none" w:sz="0" w:space="0" w:color="auto"/>
            <w:left w:val="none" w:sz="0" w:space="0" w:color="auto"/>
            <w:bottom w:val="none" w:sz="0" w:space="0" w:color="auto"/>
            <w:right w:val="none" w:sz="0" w:space="0" w:color="auto"/>
          </w:divBdr>
        </w:div>
        <w:div w:id="1674452064">
          <w:marLeft w:val="1440"/>
          <w:marRight w:val="0"/>
          <w:marTop w:val="0"/>
          <w:marBottom w:val="101"/>
          <w:divBdr>
            <w:top w:val="none" w:sz="0" w:space="0" w:color="auto"/>
            <w:left w:val="none" w:sz="0" w:space="0" w:color="auto"/>
            <w:bottom w:val="none" w:sz="0" w:space="0" w:color="auto"/>
            <w:right w:val="none" w:sz="0" w:space="0" w:color="auto"/>
          </w:divBdr>
        </w:div>
        <w:div w:id="804349667">
          <w:marLeft w:val="1440"/>
          <w:marRight w:val="0"/>
          <w:marTop w:val="0"/>
          <w:marBottom w:val="101"/>
          <w:divBdr>
            <w:top w:val="none" w:sz="0" w:space="0" w:color="auto"/>
            <w:left w:val="none" w:sz="0" w:space="0" w:color="auto"/>
            <w:bottom w:val="none" w:sz="0" w:space="0" w:color="auto"/>
            <w:right w:val="none" w:sz="0" w:space="0" w:color="auto"/>
          </w:divBdr>
        </w:div>
        <w:div w:id="990476417">
          <w:marLeft w:val="1080"/>
          <w:marRight w:val="0"/>
          <w:marTop w:val="0"/>
          <w:marBottom w:val="101"/>
          <w:divBdr>
            <w:top w:val="none" w:sz="0" w:space="0" w:color="auto"/>
            <w:left w:val="none" w:sz="0" w:space="0" w:color="auto"/>
            <w:bottom w:val="none" w:sz="0" w:space="0" w:color="auto"/>
            <w:right w:val="none" w:sz="0" w:space="0" w:color="auto"/>
          </w:divBdr>
        </w:div>
        <w:div w:id="608971557">
          <w:marLeft w:val="1440"/>
          <w:marRight w:val="0"/>
          <w:marTop w:val="0"/>
          <w:marBottom w:val="101"/>
          <w:divBdr>
            <w:top w:val="none" w:sz="0" w:space="0" w:color="auto"/>
            <w:left w:val="none" w:sz="0" w:space="0" w:color="auto"/>
            <w:bottom w:val="none" w:sz="0" w:space="0" w:color="auto"/>
            <w:right w:val="none" w:sz="0" w:space="0" w:color="auto"/>
          </w:divBdr>
        </w:div>
        <w:div w:id="1120536654">
          <w:marLeft w:val="1440"/>
          <w:marRight w:val="0"/>
          <w:marTop w:val="0"/>
          <w:marBottom w:val="101"/>
          <w:divBdr>
            <w:top w:val="none" w:sz="0" w:space="0" w:color="auto"/>
            <w:left w:val="none" w:sz="0" w:space="0" w:color="auto"/>
            <w:bottom w:val="none" w:sz="0" w:space="0" w:color="auto"/>
            <w:right w:val="none" w:sz="0" w:space="0" w:color="auto"/>
          </w:divBdr>
        </w:div>
        <w:div w:id="580796258">
          <w:marLeft w:val="1440"/>
          <w:marRight w:val="0"/>
          <w:marTop w:val="0"/>
          <w:marBottom w:val="101"/>
          <w:divBdr>
            <w:top w:val="none" w:sz="0" w:space="0" w:color="auto"/>
            <w:left w:val="none" w:sz="0" w:space="0" w:color="auto"/>
            <w:bottom w:val="none" w:sz="0" w:space="0" w:color="auto"/>
            <w:right w:val="none" w:sz="0" w:space="0" w:color="auto"/>
          </w:divBdr>
        </w:div>
        <w:div w:id="1012995779">
          <w:marLeft w:val="1440"/>
          <w:marRight w:val="0"/>
          <w:marTop w:val="0"/>
          <w:marBottom w:val="101"/>
          <w:divBdr>
            <w:top w:val="none" w:sz="0" w:space="0" w:color="auto"/>
            <w:left w:val="none" w:sz="0" w:space="0" w:color="auto"/>
            <w:bottom w:val="none" w:sz="0" w:space="0" w:color="auto"/>
            <w:right w:val="none" w:sz="0" w:space="0" w:color="auto"/>
          </w:divBdr>
        </w:div>
        <w:div w:id="1376781682">
          <w:marLeft w:val="1440"/>
          <w:marRight w:val="0"/>
          <w:marTop w:val="0"/>
          <w:marBottom w:val="101"/>
          <w:divBdr>
            <w:top w:val="none" w:sz="0" w:space="0" w:color="auto"/>
            <w:left w:val="none" w:sz="0" w:space="0" w:color="auto"/>
            <w:bottom w:val="none" w:sz="0" w:space="0" w:color="auto"/>
            <w:right w:val="none" w:sz="0" w:space="0" w:color="auto"/>
          </w:divBdr>
        </w:div>
        <w:div w:id="2113082733">
          <w:marLeft w:val="1440"/>
          <w:marRight w:val="0"/>
          <w:marTop w:val="0"/>
          <w:marBottom w:val="101"/>
          <w:divBdr>
            <w:top w:val="none" w:sz="0" w:space="0" w:color="auto"/>
            <w:left w:val="none" w:sz="0" w:space="0" w:color="auto"/>
            <w:bottom w:val="none" w:sz="0" w:space="0" w:color="auto"/>
            <w:right w:val="none" w:sz="0" w:space="0" w:color="auto"/>
          </w:divBdr>
        </w:div>
        <w:div w:id="215364276">
          <w:marLeft w:val="1440"/>
          <w:marRight w:val="0"/>
          <w:marTop w:val="0"/>
          <w:marBottom w:val="101"/>
          <w:divBdr>
            <w:top w:val="none" w:sz="0" w:space="0" w:color="auto"/>
            <w:left w:val="none" w:sz="0" w:space="0" w:color="auto"/>
            <w:bottom w:val="none" w:sz="0" w:space="0" w:color="auto"/>
            <w:right w:val="none" w:sz="0" w:space="0" w:color="auto"/>
          </w:divBdr>
        </w:div>
        <w:div w:id="663774819">
          <w:marLeft w:val="1080"/>
          <w:marRight w:val="0"/>
          <w:marTop w:val="0"/>
          <w:marBottom w:val="101"/>
          <w:divBdr>
            <w:top w:val="none" w:sz="0" w:space="0" w:color="auto"/>
            <w:left w:val="none" w:sz="0" w:space="0" w:color="auto"/>
            <w:bottom w:val="none" w:sz="0" w:space="0" w:color="auto"/>
            <w:right w:val="none" w:sz="0" w:space="0" w:color="auto"/>
          </w:divBdr>
        </w:div>
        <w:div w:id="129247334">
          <w:marLeft w:val="1080"/>
          <w:marRight w:val="0"/>
          <w:marTop w:val="0"/>
          <w:marBottom w:val="101"/>
          <w:divBdr>
            <w:top w:val="none" w:sz="0" w:space="0" w:color="auto"/>
            <w:left w:val="none" w:sz="0" w:space="0" w:color="auto"/>
            <w:bottom w:val="none" w:sz="0" w:space="0" w:color="auto"/>
            <w:right w:val="none" w:sz="0" w:space="0" w:color="auto"/>
          </w:divBdr>
        </w:div>
        <w:div w:id="1392968867">
          <w:marLeft w:val="1080"/>
          <w:marRight w:val="0"/>
          <w:marTop w:val="0"/>
          <w:marBottom w:val="101"/>
          <w:divBdr>
            <w:top w:val="none" w:sz="0" w:space="0" w:color="auto"/>
            <w:left w:val="none" w:sz="0" w:space="0" w:color="auto"/>
            <w:bottom w:val="none" w:sz="0" w:space="0" w:color="auto"/>
            <w:right w:val="none" w:sz="0" w:space="0" w:color="auto"/>
          </w:divBdr>
        </w:div>
        <w:div w:id="1808934260">
          <w:marLeft w:val="1080"/>
          <w:marRight w:val="0"/>
          <w:marTop w:val="0"/>
          <w:marBottom w:val="101"/>
          <w:divBdr>
            <w:top w:val="none" w:sz="0" w:space="0" w:color="auto"/>
            <w:left w:val="none" w:sz="0" w:space="0" w:color="auto"/>
            <w:bottom w:val="none" w:sz="0" w:space="0" w:color="auto"/>
            <w:right w:val="none" w:sz="0" w:space="0" w:color="auto"/>
          </w:divBdr>
        </w:div>
        <w:div w:id="1850876202">
          <w:marLeft w:val="1080"/>
          <w:marRight w:val="0"/>
          <w:marTop w:val="0"/>
          <w:marBottom w:val="101"/>
          <w:divBdr>
            <w:top w:val="none" w:sz="0" w:space="0" w:color="auto"/>
            <w:left w:val="none" w:sz="0" w:space="0" w:color="auto"/>
            <w:bottom w:val="none" w:sz="0" w:space="0" w:color="auto"/>
            <w:right w:val="none" w:sz="0" w:space="0" w:color="auto"/>
          </w:divBdr>
        </w:div>
        <w:div w:id="1338578001">
          <w:marLeft w:val="1080"/>
          <w:marRight w:val="0"/>
          <w:marTop w:val="0"/>
          <w:marBottom w:val="101"/>
          <w:divBdr>
            <w:top w:val="none" w:sz="0" w:space="0" w:color="auto"/>
            <w:left w:val="none" w:sz="0" w:space="0" w:color="auto"/>
            <w:bottom w:val="none" w:sz="0" w:space="0" w:color="auto"/>
            <w:right w:val="none" w:sz="0" w:space="0" w:color="auto"/>
          </w:divBdr>
        </w:div>
        <w:div w:id="2106420623">
          <w:marLeft w:val="1080"/>
          <w:marRight w:val="0"/>
          <w:marTop w:val="0"/>
          <w:marBottom w:val="101"/>
          <w:divBdr>
            <w:top w:val="none" w:sz="0" w:space="0" w:color="auto"/>
            <w:left w:val="none" w:sz="0" w:space="0" w:color="auto"/>
            <w:bottom w:val="none" w:sz="0" w:space="0" w:color="auto"/>
            <w:right w:val="none" w:sz="0" w:space="0" w:color="auto"/>
          </w:divBdr>
        </w:div>
        <w:div w:id="628824310">
          <w:marLeft w:val="1080"/>
          <w:marRight w:val="0"/>
          <w:marTop w:val="0"/>
          <w:marBottom w:val="101"/>
          <w:divBdr>
            <w:top w:val="none" w:sz="0" w:space="0" w:color="auto"/>
            <w:left w:val="none" w:sz="0" w:space="0" w:color="auto"/>
            <w:bottom w:val="none" w:sz="0" w:space="0" w:color="auto"/>
            <w:right w:val="none" w:sz="0" w:space="0" w:color="auto"/>
          </w:divBdr>
        </w:div>
        <w:div w:id="420681916">
          <w:marLeft w:val="1080"/>
          <w:marRight w:val="0"/>
          <w:marTop w:val="0"/>
          <w:marBottom w:val="101"/>
          <w:divBdr>
            <w:top w:val="none" w:sz="0" w:space="0" w:color="auto"/>
            <w:left w:val="none" w:sz="0" w:space="0" w:color="auto"/>
            <w:bottom w:val="none" w:sz="0" w:space="0" w:color="auto"/>
            <w:right w:val="none" w:sz="0" w:space="0" w:color="auto"/>
          </w:divBdr>
        </w:div>
        <w:div w:id="1863517012">
          <w:marLeft w:val="1080"/>
          <w:marRight w:val="0"/>
          <w:marTop w:val="0"/>
          <w:marBottom w:val="101"/>
          <w:divBdr>
            <w:top w:val="none" w:sz="0" w:space="0" w:color="auto"/>
            <w:left w:val="none" w:sz="0" w:space="0" w:color="auto"/>
            <w:bottom w:val="none" w:sz="0" w:space="0" w:color="auto"/>
            <w:right w:val="none" w:sz="0" w:space="0" w:color="auto"/>
          </w:divBdr>
        </w:div>
        <w:div w:id="746419381">
          <w:marLeft w:val="1440"/>
          <w:marRight w:val="0"/>
          <w:marTop w:val="0"/>
          <w:marBottom w:val="101"/>
          <w:divBdr>
            <w:top w:val="none" w:sz="0" w:space="0" w:color="auto"/>
            <w:left w:val="none" w:sz="0" w:space="0" w:color="auto"/>
            <w:bottom w:val="none" w:sz="0" w:space="0" w:color="auto"/>
            <w:right w:val="none" w:sz="0" w:space="0" w:color="auto"/>
          </w:divBdr>
        </w:div>
        <w:div w:id="1607538078">
          <w:marLeft w:val="1440"/>
          <w:marRight w:val="0"/>
          <w:marTop w:val="0"/>
          <w:marBottom w:val="101"/>
          <w:divBdr>
            <w:top w:val="none" w:sz="0" w:space="0" w:color="auto"/>
            <w:left w:val="none" w:sz="0" w:space="0" w:color="auto"/>
            <w:bottom w:val="none" w:sz="0" w:space="0" w:color="auto"/>
            <w:right w:val="none" w:sz="0" w:space="0" w:color="auto"/>
          </w:divBdr>
        </w:div>
        <w:div w:id="1615673389">
          <w:marLeft w:val="1440"/>
          <w:marRight w:val="0"/>
          <w:marTop w:val="0"/>
          <w:marBottom w:val="101"/>
          <w:divBdr>
            <w:top w:val="none" w:sz="0" w:space="0" w:color="auto"/>
            <w:left w:val="none" w:sz="0" w:space="0" w:color="auto"/>
            <w:bottom w:val="none" w:sz="0" w:space="0" w:color="auto"/>
            <w:right w:val="none" w:sz="0" w:space="0" w:color="auto"/>
          </w:divBdr>
        </w:div>
        <w:div w:id="968707097">
          <w:marLeft w:val="1440"/>
          <w:marRight w:val="0"/>
          <w:marTop w:val="0"/>
          <w:marBottom w:val="101"/>
          <w:divBdr>
            <w:top w:val="none" w:sz="0" w:space="0" w:color="auto"/>
            <w:left w:val="none" w:sz="0" w:space="0" w:color="auto"/>
            <w:bottom w:val="none" w:sz="0" w:space="0" w:color="auto"/>
            <w:right w:val="none" w:sz="0" w:space="0" w:color="auto"/>
          </w:divBdr>
        </w:div>
        <w:div w:id="2062895480">
          <w:marLeft w:val="1440"/>
          <w:marRight w:val="0"/>
          <w:marTop w:val="0"/>
          <w:marBottom w:val="101"/>
          <w:divBdr>
            <w:top w:val="none" w:sz="0" w:space="0" w:color="auto"/>
            <w:left w:val="none" w:sz="0" w:space="0" w:color="auto"/>
            <w:bottom w:val="none" w:sz="0" w:space="0" w:color="auto"/>
            <w:right w:val="none" w:sz="0" w:space="0" w:color="auto"/>
          </w:divBdr>
        </w:div>
        <w:div w:id="753623478">
          <w:marLeft w:val="1440"/>
          <w:marRight w:val="0"/>
          <w:marTop w:val="0"/>
          <w:marBottom w:val="101"/>
          <w:divBdr>
            <w:top w:val="none" w:sz="0" w:space="0" w:color="auto"/>
            <w:left w:val="none" w:sz="0" w:space="0" w:color="auto"/>
            <w:bottom w:val="none" w:sz="0" w:space="0" w:color="auto"/>
            <w:right w:val="none" w:sz="0" w:space="0" w:color="auto"/>
          </w:divBdr>
        </w:div>
        <w:div w:id="598606590">
          <w:marLeft w:val="1080"/>
          <w:marRight w:val="0"/>
          <w:marTop w:val="0"/>
          <w:marBottom w:val="101"/>
          <w:divBdr>
            <w:top w:val="none" w:sz="0" w:space="0" w:color="auto"/>
            <w:left w:val="none" w:sz="0" w:space="0" w:color="auto"/>
            <w:bottom w:val="none" w:sz="0" w:space="0" w:color="auto"/>
            <w:right w:val="none" w:sz="0" w:space="0" w:color="auto"/>
          </w:divBdr>
        </w:div>
        <w:div w:id="1311134219">
          <w:marLeft w:val="1080"/>
          <w:marRight w:val="0"/>
          <w:marTop w:val="0"/>
          <w:marBottom w:val="101"/>
          <w:divBdr>
            <w:top w:val="none" w:sz="0" w:space="0" w:color="auto"/>
            <w:left w:val="none" w:sz="0" w:space="0" w:color="auto"/>
            <w:bottom w:val="none" w:sz="0" w:space="0" w:color="auto"/>
            <w:right w:val="none" w:sz="0" w:space="0" w:color="auto"/>
          </w:divBdr>
        </w:div>
        <w:div w:id="230428921">
          <w:marLeft w:val="1080"/>
          <w:marRight w:val="0"/>
          <w:marTop w:val="0"/>
          <w:marBottom w:val="101"/>
          <w:divBdr>
            <w:top w:val="none" w:sz="0" w:space="0" w:color="auto"/>
            <w:left w:val="none" w:sz="0" w:space="0" w:color="auto"/>
            <w:bottom w:val="none" w:sz="0" w:space="0" w:color="auto"/>
            <w:right w:val="none" w:sz="0" w:space="0" w:color="auto"/>
          </w:divBdr>
        </w:div>
        <w:div w:id="1001658192">
          <w:marLeft w:val="1080"/>
          <w:marRight w:val="0"/>
          <w:marTop w:val="0"/>
          <w:marBottom w:val="101"/>
          <w:divBdr>
            <w:top w:val="none" w:sz="0" w:space="0" w:color="auto"/>
            <w:left w:val="none" w:sz="0" w:space="0" w:color="auto"/>
            <w:bottom w:val="none" w:sz="0" w:space="0" w:color="auto"/>
            <w:right w:val="none" w:sz="0" w:space="0" w:color="auto"/>
          </w:divBdr>
        </w:div>
        <w:div w:id="1798718641">
          <w:marLeft w:val="1080"/>
          <w:marRight w:val="0"/>
          <w:marTop w:val="0"/>
          <w:marBottom w:val="101"/>
          <w:divBdr>
            <w:top w:val="none" w:sz="0" w:space="0" w:color="auto"/>
            <w:left w:val="none" w:sz="0" w:space="0" w:color="auto"/>
            <w:bottom w:val="none" w:sz="0" w:space="0" w:color="auto"/>
            <w:right w:val="none" w:sz="0" w:space="0" w:color="auto"/>
          </w:divBdr>
        </w:div>
        <w:div w:id="1516076426">
          <w:marLeft w:val="1080"/>
          <w:marRight w:val="0"/>
          <w:marTop w:val="0"/>
          <w:marBottom w:val="101"/>
          <w:divBdr>
            <w:top w:val="none" w:sz="0" w:space="0" w:color="auto"/>
            <w:left w:val="none" w:sz="0" w:space="0" w:color="auto"/>
            <w:bottom w:val="none" w:sz="0" w:space="0" w:color="auto"/>
            <w:right w:val="none" w:sz="0" w:space="0" w:color="auto"/>
          </w:divBdr>
        </w:div>
        <w:div w:id="841816700">
          <w:marLeft w:val="1080"/>
          <w:marRight w:val="0"/>
          <w:marTop w:val="0"/>
          <w:marBottom w:val="101"/>
          <w:divBdr>
            <w:top w:val="none" w:sz="0" w:space="0" w:color="auto"/>
            <w:left w:val="none" w:sz="0" w:space="0" w:color="auto"/>
            <w:bottom w:val="none" w:sz="0" w:space="0" w:color="auto"/>
            <w:right w:val="none" w:sz="0" w:space="0" w:color="auto"/>
          </w:divBdr>
        </w:div>
        <w:div w:id="267353465">
          <w:marLeft w:val="1080"/>
          <w:marRight w:val="0"/>
          <w:marTop w:val="0"/>
          <w:marBottom w:val="101"/>
          <w:divBdr>
            <w:top w:val="none" w:sz="0" w:space="0" w:color="auto"/>
            <w:left w:val="none" w:sz="0" w:space="0" w:color="auto"/>
            <w:bottom w:val="none" w:sz="0" w:space="0" w:color="auto"/>
            <w:right w:val="none" w:sz="0" w:space="0" w:color="auto"/>
          </w:divBdr>
        </w:div>
        <w:div w:id="1113481109">
          <w:marLeft w:val="1080"/>
          <w:marRight w:val="0"/>
          <w:marTop w:val="0"/>
          <w:marBottom w:val="101"/>
          <w:divBdr>
            <w:top w:val="none" w:sz="0" w:space="0" w:color="auto"/>
            <w:left w:val="none" w:sz="0" w:space="0" w:color="auto"/>
            <w:bottom w:val="none" w:sz="0" w:space="0" w:color="auto"/>
            <w:right w:val="none" w:sz="0" w:space="0" w:color="auto"/>
          </w:divBdr>
        </w:div>
        <w:div w:id="1854495039">
          <w:marLeft w:val="0"/>
          <w:marRight w:val="0"/>
          <w:marTop w:val="0"/>
          <w:marBottom w:val="101"/>
          <w:divBdr>
            <w:top w:val="none" w:sz="0" w:space="0" w:color="auto"/>
            <w:left w:val="none" w:sz="0" w:space="0" w:color="auto"/>
            <w:bottom w:val="none" w:sz="0" w:space="0" w:color="auto"/>
            <w:right w:val="none" w:sz="0" w:space="0" w:color="auto"/>
          </w:divBdr>
        </w:div>
        <w:div w:id="1750425790">
          <w:marLeft w:val="1440"/>
          <w:marRight w:val="0"/>
          <w:marTop w:val="0"/>
          <w:marBottom w:val="101"/>
          <w:divBdr>
            <w:top w:val="none" w:sz="0" w:space="0" w:color="auto"/>
            <w:left w:val="none" w:sz="0" w:space="0" w:color="auto"/>
            <w:bottom w:val="none" w:sz="0" w:space="0" w:color="auto"/>
            <w:right w:val="none" w:sz="0" w:space="0" w:color="auto"/>
          </w:divBdr>
        </w:div>
        <w:div w:id="2036030169">
          <w:marLeft w:val="1440"/>
          <w:marRight w:val="0"/>
          <w:marTop w:val="0"/>
          <w:marBottom w:val="101"/>
          <w:divBdr>
            <w:top w:val="none" w:sz="0" w:space="0" w:color="auto"/>
            <w:left w:val="none" w:sz="0" w:space="0" w:color="auto"/>
            <w:bottom w:val="none" w:sz="0" w:space="0" w:color="auto"/>
            <w:right w:val="none" w:sz="0" w:space="0" w:color="auto"/>
          </w:divBdr>
        </w:div>
        <w:div w:id="1231699647">
          <w:marLeft w:val="0"/>
          <w:marRight w:val="0"/>
          <w:marTop w:val="0"/>
          <w:marBottom w:val="101"/>
          <w:divBdr>
            <w:top w:val="none" w:sz="0" w:space="0" w:color="auto"/>
            <w:left w:val="none" w:sz="0" w:space="0" w:color="auto"/>
            <w:bottom w:val="none" w:sz="0" w:space="0" w:color="auto"/>
            <w:right w:val="none" w:sz="0" w:space="0" w:color="auto"/>
          </w:divBdr>
        </w:div>
        <w:div w:id="992761189">
          <w:marLeft w:val="0"/>
          <w:marRight w:val="0"/>
          <w:marTop w:val="0"/>
          <w:marBottom w:val="101"/>
          <w:divBdr>
            <w:top w:val="none" w:sz="0" w:space="0" w:color="auto"/>
            <w:left w:val="none" w:sz="0" w:space="0" w:color="auto"/>
            <w:bottom w:val="none" w:sz="0" w:space="0" w:color="auto"/>
            <w:right w:val="none" w:sz="0" w:space="0" w:color="auto"/>
          </w:divBdr>
        </w:div>
        <w:div w:id="318703368">
          <w:marLeft w:val="0"/>
          <w:marRight w:val="0"/>
          <w:marTop w:val="0"/>
          <w:marBottom w:val="101"/>
          <w:divBdr>
            <w:top w:val="none" w:sz="0" w:space="0" w:color="auto"/>
            <w:left w:val="none" w:sz="0" w:space="0" w:color="auto"/>
            <w:bottom w:val="none" w:sz="0" w:space="0" w:color="auto"/>
            <w:right w:val="none" w:sz="0" w:space="0" w:color="auto"/>
          </w:divBdr>
        </w:div>
        <w:div w:id="997348862">
          <w:marLeft w:val="0"/>
          <w:marRight w:val="0"/>
          <w:marTop w:val="0"/>
          <w:marBottom w:val="101"/>
          <w:divBdr>
            <w:top w:val="none" w:sz="0" w:space="0" w:color="auto"/>
            <w:left w:val="none" w:sz="0" w:space="0" w:color="auto"/>
            <w:bottom w:val="none" w:sz="0" w:space="0" w:color="auto"/>
            <w:right w:val="none" w:sz="0" w:space="0" w:color="auto"/>
          </w:divBdr>
        </w:div>
        <w:div w:id="402531531">
          <w:marLeft w:val="0"/>
          <w:marRight w:val="0"/>
          <w:marTop w:val="0"/>
          <w:marBottom w:val="101"/>
          <w:divBdr>
            <w:top w:val="none" w:sz="0" w:space="0" w:color="auto"/>
            <w:left w:val="none" w:sz="0" w:space="0" w:color="auto"/>
            <w:bottom w:val="none" w:sz="0" w:space="0" w:color="auto"/>
            <w:right w:val="none" w:sz="0" w:space="0" w:color="auto"/>
          </w:divBdr>
        </w:div>
        <w:div w:id="252670964">
          <w:marLeft w:val="0"/>
          <w:marRight w:val="0"/>
          <w:marTop w:val="0"/>
          <w:marBottom w:val="101"/>
          <w:divBdr>
            <w:top w:val="none" w:sz="0" w:space="0" w:color="auto"/>
            <w:left w:val="none" w:sz="0" w:space="0" w:color="auto"/>
            <w:bottom w:val="none" w:sz="0" w:space="0" w:color="auto"/>
            <w:right w:val="none" w:sz="0" w:space="0" w:color="auto"/>
          </w:divBdr>
        </w:div>
        <w:div w:id="2084183937">
          <w:marLeft w:val="0"/>
          <w:marRight w:val="0"/>
          <w:marTop w:val="0"/>
          <w:marBottom w:val="101"/>
          <w:divBdr>
            <w:top w:val="none" w:sz="0" w:space="0" w:color="auto"/>
            <w:left w:val="none" w:sz="0" w:space="0" w:color="auto"/>
            <w:bottom w:val="none" w:sz="0" w:space="0" w:color="auto"/>
            <w:right w:val="none" w:sz="0" w:space="0" w:color="auto"/>
          </w:divBdr>
        </w:div>
        <w:div w:id="691347398">
          <w:marLeft w:val="0"/>
          <w:marRight w:val="0"/>
          <w:marTop w:val="0"/>
          <w:marBottom w:val="101"/>
          <w:divBdr>
            <w:top w:val="none" w:sz="0" w:space="0" w:color="auto"/>
            <w:left w:val="none" w:sz="0" w:space="0" w:color="auto"/>
            <w:bottom w:val="none" w:sz="0" w:space="0" w:color="auto"/>
            <w:right w:val="none" w:sz="0" w:space="0" w:color="auto"/>
          </w:divBdr>
        </w:div>
        <w:div w:id="245001931">
          <w:marLeft w:val="0"/>
          <w:marRight w:val="0"/>
          <w:marTop w:val="0"/>
          <w:marBottom w:val="101"/>
          <w:divBdr>
            <w:top w:val="none" w:sz="0" w:space="0" w:color="auto"/>
            <w:left w:val="none" w:sz="0" w:space="0" w:color="auto"/>
            <w:bottom w:val="none" w:sz="0" w:space="0" w:color="auto"/>
            <w:right w:val="none" w:sz="0" w:space="0" w:color="auto"/>
          </w:divBdr>
        </w:div>
        <w:div w:id="29914386">
          <w:marLeft w:val="0"/>
          <w:marRight w:val="0"/>
          <w:marTop w:val="0"/>
          <w:marBottom w:val="101"/>
          <w:divBdr>
            <w:top w:val="none" w:sz="0" w:space="0" w:color="auto"/>
            <w:left w:val="none" w:sz="0" w:space="0" w:color="auto"/>
            <w:bottom w:val="none" w:sz="0" w:space="0" w:color="auto"/>
            <w:right w:val="none" w:sz="0" w:space="0" w:color="auto"/>
          </w:divBdr>
        </w:div>
        <w:div w:id="1348601004">
          <w:marLeft w:val="0"/>
          <w:marRight w:val="0"/>
          <w:marTop w:val="0"/>
          <w:marBottom w:val="101"/>
          <w:divBdr>
            <w:top w:val="none" w:sz="0" w:space="0" w:color="auto"/>
            <w:left w:val="none" w:sz="0" w:space="0" w:color="auto"/>
            <w:bottom w:val="none" w:sz="0" w:space="0" w:color="auto"/>
            <w:right w:val="none" w:sz="0" w:space="0" w:color="auto"/>
          </w:divBdr>
        </w:div>
        <w:div w:id="1245608690">
          <w:marLeft w:val="1080"/>
          <w:marRight w:val="0"/>
          <w:marTop w:val="0"/>
          <w:marBottom w:val="101"/>
          <w:divBdr>
            <w:top w:val="none" w:sz="0" w:space="0" w:color="auto"/>
            <w:left w:val="none" w:sz="0" w:space="0" w:color="auto"/>
            <w:bottom w:val="none" w:sz="0" w:space="0" w:color="auto"/>
            <w:right w:val="none" w:sz="0" w:space="0" w:color="auto"/>
          </w:divBdr>
        </w:div>
        <w:div w:id="1161963623">
          <w:marLeft w:val="1080"/>
          <w:marRight w:val="0"/>
          <w:marTop w:val="0"/>
          <w:marBottom w:val="101"/>
          <w:divBdr>
            <w:top w:val="none" w:sz="0" w:space="0" w:color="auto"/>
            <w:left w:val="none" w:sz="0" w:space="0" w:color="auto"/>
            <w:bottom w:val="none" w:sz="0" w:space="0" w:color="auto"/>
            <w:right w:val="none" w:sz="0" w:space="0" w:color="auto"/>
          </w:divBdr>
        </w:div>
        <w:div w:id="371728549">
          <w:marLeft w:val="1080"/>
          <w:marRight w:val="0"/>
          <w:marTop w:val="0"/>
          <w:marBottom w:val="101"/>
          <w:divBdr>
            <w:top w:val="none" w:sz="0" w:space="0" w:color="auto"/>
            <w:left w:val="none" w:sz="0" w:space="0" w:color="auto"/>
            <w:bottom w:val="none" w:sz="0" w:space="0" w:color="auto"/>
            <w:right w:val="none" w:sz="0" w:space="0" w:color="auto"/>
          </w:divBdr>
        </w:div>
        <w:div w:id="1634940830">
          <w:marLeft w:val="0"/>
          <w:marRight w:val="0"/>
          <w:marTop w:val="0"/>
          <w:marBottom w:val="101"/>
          <w:divBdr>
            <w:top w:val="none" w:sz="0" w:space="0" w:color="auto"/>
            <w:left w:val="none" w:sz="0" w:space="0" w:color="auto"/>
            <w:bottom w:val="none" w:sz="0" w:space="0" w:color="auto"/>
            <w:right w:val="none" w:sz="0" w:space="0" w:color="auto"/>
          </w:divBdr>
        </w:div>
        <w:div w:id="830566589">
          <w:marLeft w:val="0"/>
          <w:marRight w:val="0"/>
          <w:marTop w:val="0"/>
          <w:marBottom w:val="101"/>
          <w:divBdr>
            <w:top w:val="none" w:sz="0" w:space="0" w:color="auto"/>
            <w:left w:val="none" w:sz="0" w:space="0" w:color="auto"/>
            <w:bottom w:val="none" w:sz="0" w:space="0" w:color="auto"/>
            <w:right w:val="none" w:sz="0" w:space="0" w:color="auto"/>
          </w:divBdr>
        </w:div>
        <w:div w:id="903028989">
          <w:marLeft w:val="0"/>
          <w:marRight w:val="0"/>
          <w:marTop w:val="0"/>
          <w:marBottom w:val="101"/>
          <w:divBdr>
            <w:top w:val="none" w:sz="0" w:space="0" w:color="auto"/>
            <w:left w:val="none" w:sz="0" w:space="0" w:color="auto"/>
            <w:bottom w:val="none" w:sz="0" w:space="0" w:color="auto"/>
            <w:right w:val="none" w:sz="0" w:space="0" w:color="auto"/>
          </w:divBdr>
        </w:div>
        <w:div w:id="746418411">
          <w:marLeft w:val="0"/>
          <w:marRight w:val="0"/>
          <w:marTop w:val="0"/>
          <w:marBottom w:val="101"/>
          <w:divBdr>
            <w:top w:val="none" w:sz="0" w:space="0" w:color="auto"/>
            <w:left w:val="none" w:sz="0" w:space="0" w:color="auto"/>
            <w:bottom w:val="none" w:sz="0" w:space="0" w:color="auto"/>
            <w:right w:val="none" w:sz="0" w:space="0" w:color="auto"/>
          </w:divBdr>
        </w:div>
        <w:div w:id="603391598">
          <w:marLeft w:val="0"/>
          <w:marRight w:val="0"/>
          <w:marTop w:val="0"/>
          <w:marBottom w:val="101"/>
          <w:divBdr>
            <w:top w:val="none" w:sz="0" w:space="0" w:color="auto"/>
            <w:left w:val="none" w:sz="0" w:space="0" w:color="auto"/>
            <w:bottom w:val="none" w:sz="0" w:space="0" w:color="auto"/>
            <w:right w:val="none" w:sz="0" w:space="0" w:color="auto"/>
          </w:divBdr>
        </w:div>
        <w:div w:id="950166789">
          <w:marLeft w:val="0"/>
          <w:marRight w:val="0"/>
          <w:marTop w:val="0"/>
          <w:marBottom w:val="101"/>
          <w:divBdr>
            <w:top w:val="none" w:sz="0" w:space="0" w:color="auto"/>
            <w:left w:val="none" w:sz="0" w:space="0" w:color="auto"/>
            <w:bottom w:val="none" w:sz="0" w:space="0" w:color="auto"/>
            <w:right w:val="none" w:sz="0" w:space="0" w:color="auto"/>
          </w:divBdr>
        </w:div>
        <w:div w:id="506136058">
          <w:marLeft w:val="0"/>
          <w:marRight w:val="0"/>
          <w:marTop w:val="0"/>
          <w:marBottom w:val="101"/>
          <w:divBdr>
            <w:top w:val="none" w:sz="0" w:space="0" w:color="auto"/>
            <w:left w:val="none" w:sz="0" w:space="0" w:color="auto"/>
            <w:bottom w:val="none" w:sz="0" w:space="0" w:color="auto"/>
            <w:right w:val="none" w:sz="0" w:space="0" w:color="auto"/>
          </w:divBdr>
        </w:div>
        <w:div w:id="1228416728">
          <w:marLeft w:val="0"/>
          <w:marRight w:val="0"/>
          <w:marTop w:val="0"/>
          <w:marBottom w:val="101"/>
          <w:divBdr>
            <w:top w:val="none" w:sz="0" w:space="0" w:color="auto"/>
            <w:left w:val="none" w:sz="0" w:space="0" w:color="auto"/>
            <w:bottom w:val="none" w:sz="0" w:space="0" w:color="auto"/>
            <w:right w:val="none" w:sz="0" w:space="0" w:color="auto"/>
          </w:divBdr>
        </w:div>
        <w:div w:id="1392387830">
          <w:marLeft w:val="0"/>
          <w:marRight w:val="0"/>
          <w:marTop w:val="0"/>
          <w:marBottom w:val="80"/>
          <w:divBdr>
            <w:top w:val="none" w:sz="0" w:space="0" w:color="auto"/>
            <w:left w:val="none" w:sz="0" w:space="0" w:color="auto"/>
            <w:bottom w:val="none" w:sz="0" w:space="0" w:color="auto"/>
            <w:right w:val="none" w:sz="0" w:space="0" w:color="auto"/>
          </w:divBdr>
        </w:div>
        <w:div w:id="863785873">
          <w:marLeft w:val="0"/>
          <w:marRight w:val="0"/>
          <w:marTop w:val="0"/>
          <w:marBottom w:val="80"/>
          <w:divBdr>
            <w:top w:val="none" w:sz="0" w:space="0" w:color="auto"/>
            <w:left w:val="none" w:sz="0" w:space="0" w:color="auto"/>
            <w:bottom w:val="none" w:sz="0" w:space="0" w:color="auto"/>
            <w:right w:val="none" w:sz="0" w:space="0" w:color="auto"/>
          </w:divBdr>
        </w:div>
        <w:div w:id="174417712">
          <w:marLeft w:val="0"/>
          <w:marRight w:val="0"/>
          <w:marTop w:val="0"/>
          <w:marBottom w:val="80"/>
          <w:divBdr>
            <w:top w:val="none" w:sz="0" w:space="0" w:color="auto"/>
            <w:left w:val="none" w:sz="0" w:space="0" w:color="auto"/>
            <w:bottom w:val="none" w:sz="0" w:space="0" w:color="auto"/>
            <w:right w:val="none" w:sz="0" w:space="0" w:color="auto"/>
          </w:divBdr>
        </w:div>
        <w:div w:id="863520202">
          <w:marLeft w:val="0"/>
          <w:marRight w:val="0"/>
          <w:marTop w:val="0"/>
          <w:marBottom w:val="80"/>
          <w:divBdr>
            <w:top w:val="none" w:sz="0" w:space="0" w:color="auto"/>
            <w:left w:val="none" w:sz="0" w:space="0" w:color="auto"/>
            <w:bottom w:val="none" w:sz="0" w:space="0" w:color="auto"/>
            <w:right w:val="none" w:sz="0" w:space="0" w:color="auto"/>
          </w:divBdr>
        </w:div>
        <w:div w:id="65109035">
          <w:marLeft w:val="0"/>
          <w:marRight w:val="0"/>
          <w:marTop w:val="0"/>
          <w:marBottom w:val="80"/>
          <w:divBdr>
            <w:top w:val="none" w:sz="0" w:space="0" w:color="auto"/>
            <w:left w:val="none" w:sz="0" w:space="0" w:color="auto"/>
            <w:bottom w:val="none" w:sz="0" w:space="0" w:color="auto"/>
            <w:right w:val="none" w:sz="0" w:space="0" w:color="auto"/>
          </w:divBdr>
        </w:div>
        <w:div w:id="421100056">
          <w:marLeft w:val="1080"/>
          <w:marRight w:val="0"/>
          <w:marTop w:val="0"/>
          <w:marBottom w:val="80"/>
          <w:divBdr>
            <w:top w:val="none" w:sz="0" w:space="0" w:color="auto"/>
            <w:left w:val="none" w:sz="0" w:space="0" w:color="auto"/>
            <w:bottom w:val="none" w:sz="0" w:space="0" w:color="auto"/>
            <w:right w:val="none" w:sz="0" w:space="0" w:color="auto"/>
          </w:divBdr>
        </w:div>
        <w:div w:id="168757025">
          <w:marLeft w:val="1080"/>
          <w:marRight w:val="0"/>
          <w:marTop w:val="0"/>
          <w:marBottom w:val="80"/>
          <w:divBdr>
            <w:top w:val="none" w:sz="0" w:space="0" w:color="auto"/>
            <w:left w:val="none" w:sz="0" w:space="0" w:color="auto"/>
            <w:bottom w:val="none" w:sz="0" w:space="0" w:color="auto"/>
            <w:right w:val="none" w:sz="0" w:space="0" w:color="auto"/>
          </w:divBdr>
        </w:div>
        <w:div w:id="157113567">
          <w:marLeft w:val="1080"/>
          <w:marRight w:val="0"/>
          <w:marTop w:val="0"/>
          <w:marBottom w:val="80"/>
          <w:divBdr>
            <w:top w:val="none" w:sz="0" w:space="0" w:color="auto"/>
            <w:left w:val="none" w:sz="0" w:space="0" w:color="auto"/>
            <w:bottom w:val="none" w:sz="0" w:space="0" w:color="auto"/>
            <w:right w:val="none" w:sz="0" w:space="0" w:color="auto"/>
          </w:divBdr>
        </w:div>
        <w:div w:id="226771365">
          <w:marLeft w:val="1080"/>
          <w:marRight w:val="0"/>
          <w:marTop w:val="0"/>
          <w:marBottom w:val="80"/>
          <w:divBdr>
            <w:top w:val="none" w:sz="0" w:space="0" w:color="auto"/>
            <w:left w:val="none" w:sz="0" w:space="0" w:color="auto"/>
            <w:bottom w:val="none" w:sz="0" w:space="0" w:color="auto"/>
            <w:right w:val="none" w:sz="0" w:space="0" w:color="auto"/>
          </w:divBdr>
        </w:div>
        <w:div w:id="86342094">
          <w:marLeft w:val="1080"/>
          <w:marRight w:val="0"/>
          <w:marTop w:val="0"/>
          <w:marBottom w:val="80"/>
          <w:divBdr>
            <w:top w:val="none" w:sz="0" w:space="0" w:color="auto"/>
            <w:left w:val="none" w:sz="0" w:space="0" w:color="auto"/>
            <w:bottom w:val="none" w:sz="0" w:space="0" w:color="auto"/>
            <w:right w:val="none" w:sz="0" w:space="0" w:color="auto"/>
          </w:divBdr>
        </w:div>
        <w:div w:id="85347864">
          <w:marLeft w:val="1080"/>
          <w:marRight w:val="0"/>
          <w:marTop w:val="0"/>
          <w:marBottom w:val="80"/>
          <w:divBdr>
            <w:top w:val="none" w:sz="0" w:space="0" w:color="auto"/>
            <w:left w:val="none" w:sz="0" w:space="0" w:color="auto"/>
            <w:bottom w:val="none" w:sz="0" w:space="0" w:color="auto"/>
            <w:right w:val="none" w:sz="0" w:space="0" w:color="auto"/>
          </w:divBdr>
        </w:div>
        <w:div w:id="269703787">
          <w:marLeft w:val="1080"/>
          <w:marRight w:val="0"/>
          <w:marTop w:val="0"/>
          <w:marBottom w:val="80"/>
          <w:divBdr>
            <w:top w:val="none" w:sz="0" w:space="0" w:color="auto"/>
            <w:left w:val="none" w:sz="0" w:space="0" w:color="auto"/>
            <w:bottom w:val="none" w:sz="0" w:space="0" w:color="auto"/>
            <w:right w:val="none" w:sz="0" w:space="0" w:color="auto"/>
          </w:divBdr>
        </w:div>
        <w:div w:id="1422675088">
          <w:marLeft w:val="0"/>
          <w:marRight w:val="0"/>
          <w:marTop w:val="0"/>
          <w:marBottom w:val="80"/>
          <w:divBdr>
            <w:top w:val="none" w:sz="0" w:space="0" w:color="auto"/>
            <w:left w:val="none" w:sz="0" w:space="0" w:color="auto"/>
            <w:bottom w:val="none" w:sz="0" w:space="0" w:color="auto"/>
            <w:right w:val="none" w:sz="0" w:space="0" w:color="auto"/>
          </w:divBdr>
        </w:div>
        <w:div w:id="1484199173">
          <w:marLeft w:val="1080"/>
          <w:marRight w:val="0"/>
          <w:marTop w:val="0"/>
          <w:marBottom w:val="80"/>
          <w:divBdr>
            <w:top w:val="none" w:sz="0" w:space="0" w:color="auto"/>
            <w:left w:val="none" w:sz="0" w:space="0" w:color="auto"/>
            <w:bottom w:val="none" w:sz="0" w:space="0" w:color="auto"/>
            <w:right w:val="none" w:sz="0" w:space="0" w:color="auto"/>
          </w:divBdr>
        </w:div>
        <w:div w:id="1586954939">
          <w:marLeft w:val="1440"/>
          <w:marRight w:val="0"/>
          <w:marTop w:val="0"/>
          <w:marBottom w:val="101"/>
          <w:divBdr>
            <w:top w:val="none" w:sz="0" w:space="0" w:color="auto"/>
            <w:left w:val="none" w:sz="0" w:space="0" w:color="auto"/>
            <w:bottom w:val="none" w:sz="0" w:space="0" w:color="auto"/>
            <w:right w:val="none" w:sz="0" w:space="0" w:color="auto"/>
          </w:divBdr>
        </w:div>
        <w:div w:id="1427338541">
          <w:marLeft w:val="1440"/>
          <w:marRight w:val="0"/>
          <w:marTop w:val="0"/>
          <w:marBottom w:val="101"/>
          <w:divBdr>
            <w:top w:val="none" w:sz="0" w:space="0" w:color="auto"/>
            <w:left w:val="none" w:sz="0" w:space="0" w:color="auto"/>
            <w:bottom w:val="none" w:sz="0" w:space="0" w:color="auto"/>
            <w:right w:val="none" w:sz="0" w:space="0" w:color="auto"/>
          </w:divBdr>
        </w:div>
        <w:div w:id="1979332693">
          <w:marLeft w:val="1440"/>
          <w:marRight w:val="0"/>
          <w:marTop w:val="0"/>
          <w:marBottom w:val="101"/>
          <w:divBdr>
            <w:top w:val="none" w:sz="0" w:space="0" w:color="auto"/>
            <w:left w:val="none" w:sz="0" w:space="0" w:color="auto"/>
            <w:bottom w:val="none" w:sz="0" w:space="0" w:color="auto"/>
            <w:right w:val="none" w:sz="0" w:space="0" w:color="auto"/>
          </w:divBdr>
        </w:div>
        <w:div w:id="740324721">
          <w:marLeft w:val="1080"/>
          <w:marRight w:val="0"/>
          <w:marTop w:val="0"/>
          <w:marBottom w:val="101"/>
          <w:divBdr>
            <w:top w:val="none" w:sz="0" w:space="0" w:color="auto"/>
            <w:left w:val="none" w:sz="0" w:space="0" w:color="auto"/>
            <w:bottom w:val="none" w:sz="0" w:space="0" w:color="auto"/>
            <w:right w:val="none" w:sz="0" w:space="0" w:color="auto"/>
          </w:divBdr>
        </w:div>
        <w:div w:id="435946096">
          <w:marLeft w:val="1080"/>
          <w:marRight w:val="0"/>
          <w:marTop w:val="0"/>
          <w:marBottom w:val="101"/>
          <w:divBdr>
            <w:top w:val="none" w:sz="0" w:space="0" w:color="auto"/>
            <w:left w:val="none" w:sz="0" w:space="0" w:color="auto"/>
            <w:bottom w:val="none" w:sz="0" w:space="0" w:color="auto"/>
            <w:right w:val="none" w:sz="0" w:space="0" w:color="auto"/>
          </w:divBdr>
        </w:div>
        <w:div w:id="2101488600">
          <w:marLeft w:val="1440"/>
          <w:marRight w:val="0"/>
          <w:marTop w:val="0"/>
          <w:marBottom w:val="101"/>
          <w:divBdr>
            <w:top w:val="none" w:sz="0" w:space="0" w:color="auto"/>
            <w:left w:val="none" w:sz="0" w:space="0" w:color="auto"/>
            <w:bottom w:val="none" w:sz="0" w:space="0" w:color="auto"/>
            <w:right w:val="none" w:sz="0" w:space="0" w:color="auto"/>
          </w:divBdr>
        </w:div>
        <w:div w:id="146097585">
          <w:marLeft w:val="1440"/>
          <w:marRight w:val="0"/>
          <w:marTop w:val="0"/>
          <w:marBottom w:val="101"/>
          <w:divBdr>
            <w:top w:val="none" w:sz="0" w:space="0" w:color="auto"/>
            <w:left w:val="none" w:sz="0" w:space="0" w:color="auto"/>
            <w:bottom w:val="none" w:sz="0" w:space="0" w:color="auto"/>
            <w:right w:val="none" w:sz="0" w:space="0" w:color="auto"/>
          </w:divBdr>
        </w:div>
        <w:div w:id="601689622">
          <w:marLeft w:val="1440"/>
          <w:marRight w:val="0"/>
          <w:marTop w:val="0"/>
          <w:marBottom w:val="101"/>
          <w:divBdr>
            <w:top w:val="none" w:sz="0" w:space="0" w:color="auto"/>
            <w:left w:val="none" w:sz="0" w:space="0" w:color="auto"/>
            <w:bottom w:val="none" w:sz="0" w:space="0" w:color="auto"/>
            <w:right w:val="none" w:sz="0" w:space="0" w:color="auto"/>
          </w:divBdr>
        </w:div>
        <w:div w:id="1770274583">
          <w:marLeft w:val="1440"/>
          <w:marRight w:val="0"/>
          <w:marTop w:val="0"/>
          <w:marBottom w:val="101"/>
          <w:divBdr>
            <w:top w:val="none" w:sz="0" w:space="0" w:color="auto"/>
            <w:left w:val="none" w:sz="0" w:space="0" w:color="auto"/>
            <w:bottom w:val="none" w:sz="0" w:space="0" w:color="auto"/>
            <w:right w:val="none" w:sz="0" w:space="0" w:color="auto"/>
          </w:divBdr>
        </w:div>
        <w:div w:id="1651013182">
          <w:marLeft w:val="1440"/>
          <w:marRight w:val="0"/>
          <w:marTop w:val="0"/>
          <w:marBottom w:val="101"/>
          <w:divBdr>
            <w:top w:val="none" w:sz="0" w:space="0" w:color="auto"/>
            <w:left w:val="none" w:sz="0" w:space="0" w:color="auto"/>
            <w:bottom w:val="none" w:sz="0" w:space="0" w:color="auto"/>
            <w:right w:val="none" w:sz="0" w:space="0" w:color="auto"/>
          </w:divBdr>
        </w:div>
        <w:div w:id="1537157809">
          <w:marLeft w:val="1440"/>
          <w:marRight w:val="0"/>
          <w:marTop w:val="0"/>
          <w:marBottom w:val="101"/>
          <w:divBdr>
            <w:top w:val="none" w:sz="0" w:space="0" w:color="auto"/>
            <w:left w:val="none" w:sz="0" w:space="0" w:color="auto"/>
            <w:bottom w:val="none" w:sz="0" w:space="0" w:color="auto"/>
            <w:right w:val="none" w:sz="0" w:space="0" w:color="auto"/>
          </w:divBdr>
        </w:div>
        <w:div w:id="1741950035">
          <w:marLeft w:val="1440"/>
          <w:marRight w:val="0"/>
          <w:marTop w:val="0"/>
          <w:marBottom w:val="101"/>
          <w:divBdr>
            <w:top w:val="none" w:sz="0" w:space="0" w:color="auto"/>
            <w:left w:val="none" w:sz="0" w:space="0" w:color="auto"/>
            <w:bottom w:val="none" w:sz="0" w:space="0" w:color="auto"/>
            <w:right w:val="none" w:sz="0" w:space="0" w:color="auto"/>
          </w:divBdr>
        </w:div>
        <w:div w:id="1449080779">
          <w:marLeft w:val="1080"/>
          <w:marRight w:val="0"/>
          <w:marTop w:val="0"/>
          <w:marBottom w:val="101"/>
          <w:divBdr>
            <w:top w:val="none" w:sz="0" w:space="0" w:color="auto"/>
            <w:left w:val="none" w:sz="0" w:space="0" w:color="auto"/>
            <w:bottom w:val="none" w:sz="0" w:space="0" w:color="auto"/>
            <w:right w:val="none" w:sz="0" w:space="0" w:color="auto"/>
          </w:divBdr>
        </w:div>
        <w:div w:id="37630126">
          <w:marLeft w:val="1080"/>
          <w:marRight w:val="0"/>
          <w:marTop w:val="0"/>
          <w:marBottom w:val="101"/>
          <w:divBdr>
            <w:top w:val="none" w:sz="0" w:space="0" w:color="auto"/>
            <w:left w:val="none" w:sz="0" w:space="0" w:color="auto"/>
            <w:bottom w:val="none" w:sz="0" w:space="0" w:color="auto"/>
            <w:right w:val="none" w:sz="0" w:space="0" w:color="auto"/>
          </w:divBdr>
        </w:div>
        <w:div w:id="156850607">
          <w:marLeft w:val="1080"/>
          <w:marRight w:val="0"/>
          <w:marTop w:val="0"/>
          <w:marBottom w:val="101"/>
          <w:divBdr>
            <w:top w:val="none" w:sz="0" w:space="0" w:color="auto"/>
            <w:left w:val="none" w:sz="0" w:space="0" w:color="auto"/>
            <w:bottom w:val="none" w:sz="0" w:space="0" w:color="auto"/>
            <w:right w:val="none" w:sz="0" w:space="0" w:color="auto"/>
          </w:divBdr>
        </w:div>
        <w:div w:id="838891157">
          <w:marLeft w:val="1080"/>
          <w:marRight w:val="0"/>
          <w:marTop w:val="0"/>
          <w:marBottom w:val="101"/>
          <w:divBdr>
            <w:top w:val="none" w:sz="0" w:space="0" w:color="auto"/>
            <w:left w:val="none" w:sz="0" w:space="0" w:color="auto"/>
            <w:bottom w:val="none" w:sz="0" w:space="0" w:color="auto"/>
            <w:right w:val="none" w:sz="0" w:space="0" w:color="auto"/>
          </w:divBdr>
        </w:div>
        <w:div w:id="1842115139">
          <w:marLeft w:val="1080"/>
          <w:marRight w:val="0"/>
          <w:marTop w:val="0"/>
          <w:marBottom w:val="101"/>
          <w:divBdr>
            <w:top w:val="none" w:sz="0" w:space="0" w:color="auto"/>
            <w:left w:val="none" w:sz="0" w:space="0" w:color="auto"/>
            <w:bottom w:val="none" w:sz="0" w:space="0" w:color="auto"/>
            <w:right w:val="none" w:sz="0" w:space="0" w:color="auto"/>
          </w:divBdr>
        </w:div>
        <w:div w:id="462891683">
          <w:marLeft w:val="1080"/>
          <w:marRight w:val="0"/>
          <w:marTop w:val="0"/>
          <w:marBottom w:val="101"/>
          <w:divBdr>
            <w:top w:val="none" w:sz="0" w:space="0" w:color="auto"/>
            <w:left w:val="none" w:sz="0" w:space="0" w:color="auto"/>
            <w:bottom w:val="none" w:sz="0" w:space="0" w:color="auto"/>
            <w:right w:val="none" w:sz="0" w:space="0" w:color="auto"/>
          </w:divBdr>
        </w:div>
        <w:div w:id="1022128880">
          <w:marLeft w:val="1080"/>
          <w:marRight w:val="0"/>
          <w:marTop w:val="0"/>
          <w:marBottom w:val="101"/>
          <w:divBdr>
            <w:top w:val="none" w:sz="0" w:space="0" w:color="auto"/>
            <w:left w:val="none" w:sz="0" w:space="0" w:color="auto"/>
            <w:bottom w:val="none" w:sz="0" w:space="0" w:color="auto"/>
            <w:right w:val="none" w:sz="0" w:space="0" w:color="auto"/>
          </w:divBdr>
        </w:div>
        <w:div w:id="201670952">
          <w:marLeft w:val="1080"/>
          <w:marRight w:val="0"/>
          <w:marTop w:val="0"/>
          <w:marBottom w:val="80"/>
          <w:divBdr>
            <w:top w:val="none" w:sz="0" w:space="0" w:color="auto"/>
            <w:left w:val="none" w:sz="0" w:space="0" w:color="auto"/>
            <w:bottom w:val="none" w:sz="0" w:space="0" w:color="auto"/>
            <w:right w:val="none" w:sz="0" w:space="0" w:color="auto"/>
          </w:divBdr>
        </w:div>
        <w:div w:id="757680505">
          <w:marLeft w:val="1080"/>
          <w:marRight w:val="0"/>
          <w:marTop w:val="0"/>
          <w:marBottom w:val="80"/>
          <w:divBdr>
            <w:top w:val="none" w:sz="0" w:space="0" w:color="auto"/>
            <w:left w:val="none" w:sz="0" w:space="0" w:color="auto"/>
            <w:bottom w:val="none" w:sz="0" w:space="0" w:color="auto"/>
            <w:right w:val="none" w:sz="0" w:space="0" w:color="auto"/>
          </w:divBdr>
        </w:div>
        <w:div w:id="885599770">
          <w:marLeft w:val="1080"/>
          <w:marRight w:val="0"/>
          <w:marTop w:val="0"/>
          <w:marBottom w:val="80"/>
          <w:divBdr>
            <w:top w:val="none" w:sz="0" w:space="0" w:color="auto"/>
            <w:left w:val="none" w:sz="0" w:space="0" w:color="auto"/>
            <w:bottom w:val="none" w:sz="0" w:space="0" w:color="auto"/>
            <w:right w:val="none" w:sz="0" w:space="0" w:color="auto"/>
          </w:divBdr>
        </w:div>
        <w:div w:id="1082096947">
          <w:marLeft w:val="1080"/>
          <w:marRight w:val="0"/>
          <w:marTop w:val="0"/>
          <w:marBottom w:val="80"/>
          <w:divBdr>
            <w:top w:val="none" w:sz="0" w:space="0" w:color="auto"/>
            <w:left w:val="none" w:sz="0" w:space="0" w:color="auto"/>
            <w:bottom w:val="none" w:sz="0" w:space="0" w:color="auto"/>
            <w:right w:val="none" w:sz="0" w:space="0" w:color="auto"/>
          </w:divBdr>
        </w:div>
        <w:div w:id="1015112886">
          <w:marLeft w:val="1080"/>
          <w:marRight w:val="0"/>
          <w:marTop w:val="0"/>
          <w:marBottom w:val="80"/>
          <w:divBdr>
            <w:top w:val="none" w:sz="0" w:space="0" w:color="auto"/>
            <w:left w:val="none" w:sz="0" w:space="0" w:color="auto"/>
            <w:bottom w:val="none" w:sz="0" w:space="0" w:color="auto"/>
            <w:right w:val="none" w:sz="0" w:space="0" w:color="auto"/>
          </w:divBdr>
        </w:div>
        <w:div w:id="795608722">
          <w:marLeft w:val="1080"/>
          <w:marRight w:val="0"/>
          <w:marTop w:val="0"/>
          <w:marBottom w:val="80"/>
          <w:divBdr>
            <w:top w:val="none" w:sz="0" w:space="0" w:color="auto"/>
            <w:left w:val="none" w:sz="0" w:space="0" w:color="auto"/>
            <w:bottom w:val="none" w:sz="0" w:space="0" w:color="auto"/>
            <w:right w:val="none" w:sz="0" w:space="0" w:color="auto"/>
          </w:divBdr>
        </w:div>
        <w:div w:id="589973671">
          <w:marLeft w:val="1080"/>
          <w:marRight w:val="0"/>
          <w:marTop w:val="0"/>
          <w:marBottom w:val="80"/>
          <w:divBdr>
            <w:top w:val="none" w:sz="0" w:space="0" w:color="auto"/>
            <w:left w:val="none" w:sz="0" w:space="0" w:color="auto"/>
            <w:bottom w:val="none" w:sz="0" w:space="0" w:color="auto"/>
            <w:right w:val="none" w:sz="0" w:space="0" w:color="auto"/>
          </w:divBdr>
        </w:div>
        <w:div w:id="1061371801">
          <w:marLeft w:val="1080"/>
          <w:marRight w:val="0"/>
          <w:marTop w:val="0"/>
          <w:marBottom w:val="80"/>
          <w:divBdr>
            <w:top w:val="none" w:sz="0" w:space="0" w:color="auto"/>
            <w:left w:val="none" w:sz="0" w:space="0" w:color="auto"/>
            <w:bottom w:val="none" w:sz="0" w:space="0" w:color="auto"/>
            <w:right w:val="none" w:sz="0" w:space="0" w:color="auto"/>
          </w:divBdr>
        </w:div>
        <w:div w:id="1962418382">
          <w:marLeft w:val="1080"/>
          <w:marRight w:val="0"/>
          <w:marTop w:val="0"/>
          <w:marBottom w:val="80"/>
          <w:divBdr>
            <w:top w:val="none" w:sz="0" w:space="0" w:color="auto"/>
            <w:left w:val="none" w:sz="0" w:space="0" w:color="auto"/>
            <w:bottom w:val="none" w:sz="0" w:space="0" w:color="auto"/>
            <w:right w:val="none" w:sz="0" w:space="0" w:color="auto"/>
          </w:divBdr>
        </w:div>
        <w:div w:id="19165452">
          <w:marLeft w:val="1080"/>
          <w:marRight w:val="0"/>
          <w:marTop w:val="0"/>
          <w:marBottom w:val="101"/>
          <w:divBdr>
            <w:top w:val="none" w:sz="0" w:space="0" w:color="auto"/>
            <w:left w:val="none" w:sz="0" w:space="0" w:color="auto"/>
            <w:bottom w:val="none" w:sz="0" w:space="0" w:color="auto"/>
            <w:right w:val="none" w:sz="0" w:space="0" w:color="auto"/>
          </w:divBdr>
        </w:div>
        <w:div w:id="1886719900">
          <w:marLeft w:val="1080"/>
          <w:marRight w:val="0"/>
          <w:marTop w:val="0"/>
          <w:marBottom w:val="101"/>
          <w:divBdr>
            <w:top w:val="none" w:sz="0" w:space="0" w:color="auto"/>
            <w:left w:val="none" w:sz="0" w:space="0" w:color="auto"/>
            <w:bottom w:val="none" w:sz="0" w:space="0" w:color="auto"/>
            <w:right w:val="none" w:sz="0" w:space="0" w:color="auto"/>
          </w:divBdr>
        </w:div>
        <w:div w:id="1480225056">
          <w:marLeft w:val="1080"/>
          <w:marRight w:val="0"/>
          <w:marTop w:val="0"/>
          <w:marBottom w:val="101"/>
          <w:divBdr>
            <w:top w:val="none" w:sz="0" w:space="0" w:color="auto"/>
            <w:left w:val="none" w:sz="0" w:space="0" w:color="auto"/>
            <w:bottom w:val="none" w:sz="0" w:space="0" w:color="auto"/>
            <w:right w:val="none" w:sz="0" w:space="0" w:color="auto"/>
          </w:divBdr>
        </w:div>
        <w:div w:id="2001884376">
          <w:marLeft w:val="1080"/>
          <w:marRight w:val="0"/>
          <w:marTop w:val="0"/>
          <w:marBottom w:val="101"/>
          <w:divBdr>
            <w:top w:val="none" w:sz="0" w:space="0" w:color="auto"/>
            <w:left w:val="none" w:sz="0" w:space="0" w:color="auto"/>
            <w:bottom w:val="none" w:sz="0" w:space="0" w:color="auto"/>
            <w:right w:val="none" w:sz="0" w:space="0" w:color="auto"/>
          </w:divBdr>
        </w:div>
        <w:div w:id="38744128">
          <w:marLeft w:val="1080"/>
          <w:marRight w:val="0"/>
          <w:marTop w:val="0"/>
          <w:marBottom w:val="101"/>
          <w:divBdr>
            <w:top w:val="none" w:sz="0" w:space="0" w:color="auto"/>
            <w:left w:val="none" w:sz="0" w:space="0" w:color="auto"/>
            <w:bottom w:val="none" w:sz="0" w:space="0" w:color="auto"/>
            <w:right w:val="none" w:sz="0" w:space="0" w:color="auto"/>
          </w:divBdr>
        </w:div>
        <w:div w:id="311718750">
          <w:marLeft w:val="1080"/>
          <w:marRight w:val="0"/>
          <w:marTop w:val="0"/>
          <w:marBottom w:val="101"/>
          <w:divBdr>
            <w:top w:val="none" w:sz="0" w:space="0" w:color="auto"/>
            <w:left w:val="none" w:sz="0" w:space="0" w:color="auto"/>
            <w:bottom w:val="none" w:sz="0" w:space="0" w:color="auto"/>
            <w:right w:val="none" w:sz="0" w:space="0" w:color="auto"/>
          </w:divBdr>
        </w:div>
        <w:div w:id="106853024">
          <w:marLeft w:val="1080"/>
          <w:marRight w:val="0"/>
          <w:marTop w:val="0"/>
          <w:marBottom w:val="101"/>
          <w:divBdr>
            <w:top w:val="none" w:sz="0" w:space="0" w:color="auto"/>
            <w:left w:val="none" w:sz="0" w:space="0" w:color="auto"/>
            <w:bottom w:val="none" w:sz="0" w:space="0" w:color="auto"/>
            <w:right w:val="none" w:sz="0" w:space="0" w:color="auto"/>
          </w:divBdr>
        </w:div>
        <w:div w:id="262150984">
          <w:marLeft w:val="1080"/>
          <w:marRight w:val="0"/>
          <w:marTop w:val="0"/>
          <w:marBottom w:val="101"/>
          <w:divBdr>
            <w:top w:val="none" w:sz="0" w:space="0" w:color="auto"/>
            <w:left w:val="none" w:sz="0" w:space="0" w:color="auto"/>
            <w:bottom w:val="none" w:sz="0" w:space="0" w:color="auto"/>
            <w:right w:val="none" w:sz="0" w:space="0" w:color="auto"/>
          </w:divBdr>
        </w:div>
        <w:div w:id="1012683548">
          <w:marLeft w:val="1080"/>
          <w:marRight w:val="0"/>
          <w:marTop w:val="0"/>
          <w:marBottom w:val="101"/>
          <w:divBdr>
            <w:top w:val="none" w:sz="0" w:space="0" w:color="auto"/>
            <w:left w:val="none" w:sz="0" w:space="0" w:color="auto"/>
            <w:bottom w:val="none" w:sz="0" w:space="0" w:color="auto"/>
            <w:right w:val="none" w:sz="0" w:space="0" w:color="auto"/>
          </w:divBdr>
        </w:div>
        <w:div w:id="1967391501">
          <w:marLeft w:val="1080"/>
          <w:marRight w:val="0"/>
          <w:marTop w:val="0"/>
          <w:marBottom w:val="101"/>
          <w:divBdr>
            <w:top w:val="none" w:sz="0" w:space="0" w:color="auto"/>
            <w:left w:val="none" w:sz="0" w:space="0" w:color="auto"/>
            <w:bottom w:val="none" w:sz="0" w:space="0" w:color="auto"/>
            <w:right w:val="none" w:sz="0" w:space="0" w:color="auto"/>
          </w:divBdr>
        </w:div>
        <w:div w:id="104888650">
          <w:marLeft w:val="1080"/>
          <w:marRight w:val="0"/>
          <w:marTop w:val="0"/>
          <w:marBottom w:val="101"/>
          <w:divBdr>
            <w:top w:val="none" w:sz="0" w:space="0" w:color="auto"/>
            <w:left w:val="none" w:sz="0" w:space="0" w:color="auto"/>
            <w:bottom w:val="none" w:sz="0" w:space="0" w:color="auto"/>
            <w:right w:val="none" w:sz="0" w:space="0" w:color="auto"/>
          </w:divBdr>
        </w:div>
        <w:div w:id="1242640818">
          <w:marLeft w:val="1080"/>
          <w:marRight w:val="0"/>
          <w:marTop w:val="0"/>
          <w:marBottom w:val="101"/>
          <w:divBdr>
            <w:top w:val="none" w:sz="0" w:space="0" w:color="auto"/>
            <w:left w:val="none" w:sz="0" w:space="0" w:color="auto"/>
            <w:bottom w:val="none" w:sz="0" w:space="0" w:color="auto"/>
            <w:right w:val="none" w:sz="0" w:space="0" w:color="auto"/>
          </w:divBdr>
        </w:div>
        <w:div w:id="158549099">
          <w:marLeft w:val="1080"/>
          <w:marRight w:val="0"/>
          <w:marTop w:val="0"/>
          <w:marBottom w:val="101"/>
          <w:divBdr>
            <w:top w:val="none" w:sz="0" w:space="0" w:color="auto"/>
            <w:left w:val="none" w:sz="0" w:space="0" w:color="auto"/>
            <w:bottom w:val="none" w:sz="0" w:space="0" w:color="auto"/>
            <w:right w:val="none" w:sz="0" w:space="0" w:color="auto"/>
          </w:divBdr>
        </w:div>
        <w:div w:id="1753158517">
          <w:marLeft w:val="0"/>
          <w:marRight w:val="0"/>
          <w:marTop w:val="0"/>
          <w:marBottom w:val="101"/>
          <w:divBdr>
            <w:top w:val="none" w:sz="0" w:space="0" w:color="auto"/>
            <w:left w:val="none" w:sz="0" w:space="0" w:color="auto"/>
            <w:bottom w:val="none" w:sz="0" w:space="0" w:color="auto"/>
            <w:right w:val="none" w:sz="0" w:space="0" w:color="auto"/>
          </w:divBdr>
        </w:div>
        <w:div w:id="195050405">
          <w:marLeft w:val="0"/>
          <w:marRight w:val="0"/>
          <w:marTop w:val="0"/>
          <w:marBottom w:val="101"/>
          <w:divBdr>
            <w:top w:val="none" w:sz="0" w:space="0" w:color="auto"/>
            <w:left w:val="none" w:sz="0" w:space="0" w:color="auto"/>
            <w:bottom w:val="none" w:sz="0" w:space="0" w:color="auto"/>
            <w:right w:val="none" w:sz="0" w:space="0" w:color="auto"/>
          </w:divBdr>
        </w:div>
        <w:div w:id="1326935240">
          <w:marLeft w:val="1080"/>
          <w:marRight w:val="0"/>
          <w:marTop w:val="0"/>
          <w:marBottom w:val="101"/>
          <w:divBdr>
            <w:top w:val="none" w:sz="0" w:space="0" w:color="auto"/>
            <w:left w:val="none" w:sz="0" w:space="0" w:color="auto"/>
            <w:bottom w:val="none" w:sz="0" w:space="0" w:color="auto"/>
            <w:right w:val="none" w:sz="0" w:space="0" w:color="auto"/>
          </w:divBdr>
        </w:div>
        <w:div w:id="1458644430">
          <w:marLeft w:val="1080"/>
          <w:marRight w:val="0"/>
          <w:marTop w:val="0"/>
          <w:marBottom w:val="101"/>
          <w:divBdr>
            <w:top w:val="none" w:sz="0" w:space="0" w:color="auto"/>
            <w:left w:val="none" w:sz="0" w:space="0" w:color="auto"/>
            <w:bottom w:val="none" w:sz="0" w:space="0" w:color="auto"/>
            <w:right w:val="none" w:sz="0" w:space="0" w:color="auto"/>
          </w:divBdr>
        </w:div>
        <w:div w:id="1677920333">
          <w:marLeft w:val="1080"/>
          <w:marRight w:val="0"/>
          <w:marTop w:val="0"/>
          <w:marBottom w:val="101"/>
          <w:divBdr>
            <w:top w:val="none" w:sz="0" w:space="0" w:color="auto"/>
            <w:left w:val="none" w:sz="0" w:space="0" w:color="auto"/>
            <w:bottom w:val="none" w:sz="0" w:space="0" w:color="auto"/>
            <w:right w:val="none" w:sz="0" w:space="0" w:color="auto"/>
          </w:divBdr>
        </w:div>
        <w:div w:id="1897932856">
          <w:marLeft w:val="1080"/>
          <w:marRight w:val="0"/>
          <w:marTop w:val="0"/>
          <w:marBottom w:val="80"/>
          <w:divBdr>
            <w:top w:val="none" w:sz="0" w:space="0" w:color="auto"/>
            <w:left w:val="none" w:sz="0" w:space="0" w:color="auto"/>
            <w:bottom w:val="none" w:sz="0" w:space="0" w:color="auto"/>
            <w:right w:val="none" w:sz="0" w:space="0" w:color="auto"/>
          </w:divBdr>
        </w:div>
        <w:div w:id="2067141496">
          <w:marLeft w:val="1080"/>
          <w:marRight w:val="0"/>
          <w:marTop w:val="0"/>
          <w:marBottom w:val="80"/>
          <w:divBdr>
            <w:top w:val="none" w:sz="0" w:space="0" w:color="auto"/>
            <w:left w:val="none" w:sz="0" w:space="0" w:color="auto"/>
            <w:bottom w:val="none" w:sz="0" w:space="0" w:color="auto"/>
            <w:right w:val="none" w:sz="0" w:space="0" w:color="auto"/>
          </w:divBdr>
        </w:div>
        <w:div w:id="1948148351">
          <w:marLeft w:val="1080"/>
          <w:marRight w:val="0"/>
          <w:marTop w:val="0"/>
          <w:marBottom w:val="80"/>
          <w:divBdr>
            <w:top w:val="none" w:sz="0" w:space="0" w:color="auto"/>
            <w:left w:val="none" w:sz="0" w:space="0" w:color="auto"/>
            <w:bottom w:val="none" w:sz="0" w:space="0" w:color="auto"/>
            <w:right w:val="none" w:sz="0" w:space="0" w:color="auto"/>
          </w:divBdr>
        </w:div>
        <w:div w:id="1136680793">
          <w:marLeft w:val="1080"/>
          <w:marRight w:val="0"/>
          <w:marTop w:val="0"/>
          <w:marBottom w:val="80"/>
          <w:divBdr>
            <w:top w:val="none" w:sz="0" w:space="0" w:color="auto"/>
            <w:left w:val="none" w:sz="0" w:space="0" w:color="auto"/>
            <w:bottom w:val="none" w:sz="0" w:space="0" w:color="auto"/>
            <w:right w:val="none" w:sz="0" w:space="0" w:color="auto"/>
          </w:divBdr>
        </w:div>
        <w:div w:id="2056460838">
          <w:marLeft w:val="1080"/>
          <w:marRight w:val="0"/>
          <w:marTop w:val="0"/>
          <w:marBottom w:val="80"/>
          <w:divBdr>
            <w:top w:val="none" w:sz="0" w:space="0" w:color="auto"/>
            <w:left w:val="none" w:sz="0" w:space="0" w:color="auto"/>
            <w:bottom w:val="none" w:sz="0" w:space="0" w:color="auto"/>
            <w:right w:val="none" w:sz="0" w:space="0" w:color="auto"/>
          </w:divBdr>
        </w:div>
        <w:div w:id="1031538413">
          <w:marLeft w:val="1080"/>
          <w:marRight w:val="0"/>
          <w:marTop w:val="0"/>
          <w:marBottom w:val="80"/>
          <w:divBdr>
            <w:top w:val="none" w:sz="0" w:space="0" w:color="auto"/>
            <w:left w:val="none" w:sz="0" w:space="0" w:color="auto"/>
            <w:bottom w:val="none" w:sz="0" w:space="0" w:color="auto"/>
            <w:right w:val="none" w:sz="0" w:space="0" w:color="auto"/>
          </w:divBdr>
        </w:div>
        <w:div w:id="1214148426">
          <w:marLeft w:val="1080"/>
          <w:marRight w:val="0"/>
          <w:marTop w:val="0"/>
          <w:marBottom w:val="80"/>
          <w:divBdr>
            <w:top w:val="none" w:sz="0" w:space="0" w:color="auto"/>
            <w:left w:val="none" w:sz="0" w:space="0" w:color="auto"/>
            <w:bottom w:val="none" w:sz="0" w:space="0" w:color="auto"/>
            <w:right w:val="none" w:sz="0" w:space="0" w:color="auto"/>
          </w:divBdr>
        </w:div>
        <w:div w:id="396326317">
          <w:marLeft w:val="0"/>
          <w:marRight w:val="0"/>
          <w:marTop w:val="0"/>
          <w:marBottom w:val="80"/>
          <w:divBdr>
            <w:top w:val="none" w:sz="0" w:space="0" w:color="auto"/>
            <w:left w:val="none" w:sz="0" w:space="0" w:color="auto"/>
            <w:bottom w:val="none" w:sz="0" w:space="0" w:color="auto"/>
            <w:right w:val="none" w:sz="0" w:space="0" w:color="auto"/>
          </w:divBdr>
        </w:div>
        <w:div w:id="456921478">
          <w:marLeft w:val="0"/>
          <w:marRight w:val="0"/>
          <w:marTop w:val="0"/>
          <w:marBottom w:val="80"/>
          <w:divBdr>
            <w:top w:val="none" w:sz="0" w:space="0" w:color="auto"/>
            <w:left w:val="none" w:sz="0" w:space="0" w:color="auto"/>
            <w:bottom w:val="none" w:sz="0" w:space="0" w:color="auto"/>
            <w:right w:val="none" w:sz="0" w:space="0" w:color="auto"/>
          </w:divBdr>
        </w:div>
        <w:div w:id="1582368487">
          <w:marLeft w:val="1080"/>
          <w:marRight w:val="0"/>
          <w:marTop w:val="0"/>
          <w:marBottom w:val="80"/>
          <w:divBdr>
            <w:top w:val="none" w:sz="0" w:space="0" w:color="auto"/>
            <w:left w:val="none" w:sz="0" w:space="0" w:color="auto"/>
            <w:bottom w:val="none" w:sz="0" w:space="0" w:color="auto"/>
            <w:right w:val="none" w:sz="0" w:space="0" w:color="auto"/>
          </w:divBdr>
        </w:div>
        <w:div w:id="1685593009">
          <w:marLeft w:val="1080"/>
          <w:marRight w:val="0"/>
          <w:marTop w:val="0"/>
          <w:marBottom w:val="80"/>
          <w:divBdr>
            <w:top w:val="none" w:sz="0" w:space="0" w:color="auto"/>
            <w:left w:val="none" w:sz="0" w:space="0" w:color="auto"/>
            <w:bottom w:val="none" w:sz="0" w:space="0" w:color="auto"/>
            <w:right w:val="none" w:sz="0" w:space="0" w:color="auto"/>
          </w:divBdr>
        </w:div>
        <w:div w:id="1510488641">
          <w:marLeft w:val="1440"/>
          <w:marRight w:val="0"/>
          <w:marTop w:val="0"/>
          <w:marBottom w:val="101"/>
          <w:divBdr>
            <w:top w:val="none" w:sz="0" w:space="0" w:color="auto"/>
            <w:left w:val="none" w:sz="0" w:space="0" w:color="auto"/>
            <w:bottom w:val="none" w:sz="0" w:space="0" w:color="auto"/>
            <w:right w:val="none" w:sz="0" w:space="0" w:color="auto"/>
          </w:divBdr>
        </w:div>
        <w:div w:id="2080515772">
          <w:marLeft w:val="1440"/>
          <w:marRight w:val="0"/>
          <w:marTop w:val="0"/>
          <w:marBottom w:val="101"/>
          <w:divBdr>
            <w:top w:val="none" w:sz="0" w:space="0" w:color="auto"/>
            <w:left w:val="none" w:sz="0" w:space="0" w:color="auto"/>
            <w:bottom w:val="none" w:sz="0" w:space="0" w:color="auto"/>
            <w:right w:val="none" w:sz="0" w:space="0" w:color="auto"/>
          </w:divBdr>
        </w:div>
        <w:div w:id="214046852">
          <w:marLeft w:val="1080"/>
          <w:marRight w:val="0"/>
          <w:marTop w:val="0"/>
          <w:marBottom w:val="101"/>
          <w:divBdr>
            <w:top w:val="none" w:sz="0" w:space="0" w:color="auto"/>
            <w:left w:val="none" w:sz="0" w:space="0" w:color="auto"/>
            <w:bottom w:val="none" w:sz="0" w:space="0" w:color="auto"/>
            <w:right w:val="none" w:sz="0" w:space="0" w:color="auto"/>
          </w:divBdr>
        </w:div>
        <w:div w:id="390151612">
          <w:marLeft w:val="1080"/>
          <w:marRight w:val="0"/>
          <w:marTop w:val="0"/>
          <w:marBottom w:val="101"/>
          <w:divBdr>
            <w:top w:val="none" w:sz="0" w:space="0" w:color="auto"/>
            <w:left w:val="none" w:sz="0" w:space="0" w:color="auto"/>
            <w:bottom w:val="none" w:sz="0" w:space="0" w:color="auto"/>
            <w:right w:val="none" w:sz="0" w:space="0" w:color="auto"/>
          </w:divBdr>
        </w:div>
        <w:div w:id="2119906237">
          <w:marLeft w:val="1080"/>
          <w:marRight w:val="0"/>
          <w:marTop w:val="0"/>
          <w:marBottom w:val="101"/>
          <w:divBdr>
            <w:top w:val="none" w:sz="0" w:space="0" w:color="auto"/>
            <w:left w:val="none" w:sz="0" w:space="0" w:color="auto"/>
            <w:bottom w:val="none" w:sz="0" w:space="0" w:color="auto"/>
            <w:right w:val="none" w:sz="0" w:space="0" w:color="auto"/>
          </w:divBdr>
        </w:div>
        <w:div w:id="1990741989">
          <w:marLeft w:val="1080"/>
          <w:marRight w:val="0"/>
          <w:marTop w:val="0"/>
          <w:marBottom w:val="101"/>
          <w:divBdr>
            <w:top w:val="none" w:sz="0" w:space="0" w:color="auto"/>
            <w:left w:val="none" w:sz="0" w:space="0" w:color="auto"/>
            <w:bottom w:val="none" w:sz="0" w:space="0" w:color="auto"/>
            <w:right w:val="none" w:sz="0" w:space="0" w:color="auto"/>
          </w:divBdr>
        </w:div>
        <w:div w:id="322121540">
          <w:marLeft w:val="1080"/>
          <w:marRight w:val="0"/>
          <w:marTop w:val="0"/>
          <w:marBottom w:val="101"/>
          <w:divBdr>
            <w:top w:val="none" w:sz="0" w:space="0" w:color="auto"/>
            <w:left w:val="none" w:sz="0" w:space="0" w:color="auto"/>
            <w:bottom w:val="none" w:sz="0" w:space="0" w:color="auto"/>
            <w:right w:val="none" w:sz="0" w:space="0" w:color="auto"/>
          </w:divBdr>
        </w:div>
        <w:div w:id="1245728673">
          <w:marLeft w:val="1080"/>
          <w:marRight w:val="0"/>
          <w:marTop w:val="0"/>
          <w:marBottom w:val="101"/>
          <w:divBdr>
            <w:top w:val="none" w:sz="0" w:space="0" w:color="auto"/>
            <w:left w:val="none" w:sz="0" w:space="0" w:color="auto"/>
            <w:bottom w:val="none" w:sz="0" w:space="0" w:color="auto"/>
            <w:right w:val="none" w:sz="0" w:space="0" w:color="auto"/>
          </w:divBdr>
        </w:div>
        <w:div w:id="2139569765">
          <w:marLeft w:val="1080"/>
          <w:marRight w:val="0"/>
          <w:marTop w:val="0"/>
          <w:marBottom w:val="101"/>
          <w:divBdr>
            <w:top w:val="none" w:sz="0" w:space="0" w:color="auto"/>
            <w:left w:val="none" w:sz="0" w:space="0" w:color="auto"/>
            <w:bottom w:val="none" w:sz="0" w:space="0" w:color="auto"/>
            <w:right w:val="none" w:sz="0" w:space="0" w:color="auto"/>
          </w:divBdr>
        </w:div>
        <w:div w:id="905720269">
          <w:marLeft w:val="1080"/>
          <w:marRight w:val="0"/>
          <w:marTop w:val="0"/>
          <w:marBottom w:val="101"/>
          <w:divBdr>
            <w:top w:val="none" w:sz="0" w:space="0" w:color="auto"/>
            <w:left w:val="none" w:sz="0" w:space="0" w:color="auto"/>
            <w:bottom w:val="none" w:sz="0" w:space="0" w:color="auto"/>
            <w:right w:val="none" w:sz="0" w:space="0" w:color="auto"/>
          </w:divBdr>
        </w:div>
        <w:div w:id="384374812">
          <w:marLeft w:val="1080"/>
          <w:marRight w:val="0"/>
          <w:marTop w:val="0"/>
          <w:marBottom w:val="101"/>
          <w:divBdr>
            <w:top w:val="none" w:sz="0" w:space="0" w:color="auto"/>
            <w:left w:val="none" w:sz="0" w:space="0" w:color="auto"/>
            <w:bottom w:val="none" w:sz="0" w:space="0" w:color="auto"/>
            <w:right w:val="none" w:sz="0" w:space="0" w:color="auto"/>
          </w:divBdr>
        </w:div>
        <w:div w:id="164132033">
          <w:marLeft w:val="1080"/>
          <w:marRight w:val="0"/>
          <w:marTop w:val="0"/>
          <w:marBottom w:val="101"/>
          <w:divBdr>
            <w:top w:val="none" w:sz="0" w:space="0" w:color="auto"/>
            <w:left w:val="none" w:sz="0" w:space="0" w:color="auto"/>
            <w:bottom w:val="none" w:sz="0" w:space="0" w:color="auto"/>
            <w:right w:val="none" w:sz="0" w:space="0" w:color="auto"/>
          </w:divBdr>
        </w:div>
        <w:div w:id="1119568522">
          <w:marLeft w:val="1080"/>
          <w:marRight w:val="0"/>
          <w:marTop w:val="0"/>
          <w:marBottom w:val="101"/>
          <w:divBdr>
            <w:top w:val="none" w:sz="0" w:space="0" w:color="auto"/>
            <w:left w:val="none" w:sz="0" w:space="0" w:color="auto"/>
            <w:bottom w:val="none" w:sz="0" w:space="0" w:color="auto"/>
            <w:right w:val="none" w:sz="0" w:space="0" w:color="auto"/>
          </w:divBdr>
        </w:div>
        <w:div w:id="1226137430">
          <w:marLeft w:val="1080"/>
          <w:marRight w:val="0"/>
          <w:marTop w:val="0"/>
          <w:marBottom w:val="101"/>
          <w:divBdr>
            <w:top w:val="none" w:sz="0" w:space="0" w:color="auto"/>
            <w:left w:val="none" w:sz="0" w:space="0" w:color="auto"/>
            <w:bottom w:val="none" w:sz="0" w:space="0" w:color="auto"/>
            <w:right w:val="none" w:sz="0" w:space="0" w:color="auto"/>
          </w:divBdr>
        </w:div>
        <w:div w:id="395323403">
          <w:marLeft w:val="1080"/>
          <w:marRight w:val="0"/>
          <w:marTop w:val="0"/>
          <w:marBottom w:val="101"/>
          <w:divBdr>
            <w:top w:val="none" w:sz="0" w:space="0" w:color="auto"/>
            <w:left w:val="none" w:sz="0" w:space="0" w:color="auto"/>
            <w:bottom w:val="none" w:sz="0" w:space="0" w:color="auto"/>
            <w:right w:val="none" w:sz="0" w:space="0" w:color="auto"/>
          </w:divBdr>
        </w:div>
        <w:div w:id="905839523">
          <w:marLeft w:val="1080"/>
          <w:marRight w:val="0"/>
          <w:marTop w:val="0"/>
          <w:marBottom w:val="101"/>
          <w:divBdr>
            <w:top w:val="none" w:sz="0" w:space="0" w:color="auto"/>
            <w:left w:val="none" w:sz="0" w:space="0" w:color="auto"/>
            <w:bottom w:val="none" w:sz="0" w:space="0" w:color="auto"/>
            <w:right w:val="none" w:sz="0" w:space="0" w:color="auto"/>
          </w:divBdr>
        </w:div>
        <w:div w:id="424234079">
          <w:marLeft w:val="0"/>
          <w:marRight w:val="0"/>
          <w:marTop w:val="0"/>
          <w:marBottom w:val="101"/>
          <w:divBdr>
            <w:top w:val="none" w:sz="0" w:space="0" w:color="auto"/>
            <w:left w:val="none" w:sz="0" w:space="0" w:color="auto"/>
            <w:bottom w:val="none" w:sz="0" w:space="0" w:color="auto"/>
            <w:right w:val="none" w:sz="0" w:space="0" w:color="auto"/>
          </w:divBdr>
        </w:div>
        <w:div w:id="1788232922">
          <w:marLeft w:val="0"/>
          <w:marRight w:val="0"/>
          <w:marTop w:val="0"/>
          <w:marBottom w:val="101"/>
          <w:divBdr>
            <w:top w:val="none" w:sz="0" w:space="0" w:color="auto"/>
            <w:left w:val="none" w:sz="0" w:space="0" w:color="auto"/>
            <w:bottom w:val="none" w:sz="0" w:space="0" w:color="auto"/>
            <w:right w:val="none" w:sz="0" w:space="0" w:color="auto"/>
          </w:divBdr>
        </w:div>
        <w:div w:id="87895769">
          <w:marLeft w:val="0"/>
          <w:marRight w:val="0"/>
          <w:marTop w:val="0"/>
          <w:marBottom w:val="101"/>
          <w:divBdr>
            <w:top w:val="none" w:sz="0" w:space="0" w:color="auto"/>
            <w:left w:val="none" w:sz="0" w:space="0" w:color="auto"/>
            <w:bottom w:val="none" w:sz="0" w:space="0" w:color="auto"/>
            <w:right w:val="none" w:sz="0" w:space="0" w:color="auto"/>
          </w:divBdr>
        </w:div>
        <w:div w:id="1060324655">
          <w:marLeft w:val="0"/>
          <w:marRight w:val="0"/>
          <w:marTop w:val="0"/>
          <w:marBottom w:val="101"/>
          <w:divBdr>
            <w:top w:val="none" w:sz="0" w:space="0" w:color="auto"/>
            <w:left w:val="none" w:sz="0" w:space="0" w:color="auto"/>
            <w:bottom w:val="none" w:sz="0" w:space="0" w:color="auto"/>
            <w:right w:val="none" w:sz="0" w:space="0" w:color="auto"/>
          </w:divBdr>
        </w:div>
        <w:div w:id="786965580">
          <w:marLeft w:val="0"/>
          <w:marRight w:val="0"/>
          <w:marTop w:val="0"/>
          <w:marBottom w:val="101"/>
          <w:divBdr>
            <w:top w:val="none" w:sz="0" w:space="0" w:color="auto"/>
            <w:left w:val="none" w:sz="0" w:space="0" w:color="auto"/>
            <w:bottom w:val="none" w:sz="0" w:space="0" w:color="auto"/>
            <w:right w:val="none" w:sz="0" w:space="0" w:color="auto"/>
          </w:divBdr>
        </w:div>
        <w:div w:id="350842634">
          <w:marLeft w:val="0"/>
          <w:marRight w:val="0"/>
          <w:marTop w:val="0"/>
          <w:marBottom w:val="101"/>
          <w:divBdr>
            <w:top w:val="none" w:sz="0" w:space="0" w:color="auto"/>
            <w:left w:val="none" w:sz="0" w:space="0" w:color="auto"/>
            <w:bottom w:val="none" w:sz="0" w:space="0" w:color="auto"/>
            <w:right w:val="none" w:sz="0" w:space="0" w:color="auto"/>
          </w:divBdr>
        </w:div>
        <w:div w:id="1926646575">
          <w:marLeft w:val="0"/>
          <w:marRight w:val="0"/>
          <w:marTop w:val="0"/>
          <w:marBottom w:val="101"/>
          <w:divBdr>
            <w:top w:val="none" w:sz="0" w:space="0" w:color="auto"/>
            <w:left w:val="none" w:sz="0" w:space="0" w:color="auto"/>
            <w:bottom w:val="none" w:sz="0" w:space="0" w:color="auto"/>
            <w:right w:val="none" w:sz="0" w:space="0" w:color="auto"/>
          </w:divBdr>
        </w:div>
        <w:div w:id="1563710015">
          <w:marLeft w:val="0"/>
          <w:marRight w:val="0"/>
          <w:marTop w:val="0"/>
          <w:marBottom w:val="101"/>
          <w:divBdr>
            <w:top w:val="none" w:sz="0" w:space="0" w:color="auto"/>
            <w:left w:val="none" w:sz="0" w:space="0" w:color="auto"/>
            <w:bottom w:val="none" w:sz="0" w:space="0" w:color="auto"/>
            <w:right w:val="none" w:sz="0" w:space="0" w:color="auto"/>
          </w:divBdr>
        </w:div>
        <w:div w:id="1340698835">
          <w:marLeft w:val="1080"/>
          <w:marRight w:val="0"/>
          <w:marTop w:val="0"/>
          <w:marBottom w:val="101"/>
          <w:divBdr>
            <w:top w:val="none" w:sz="0" w:space="0" w:color="auto"/>
            <w:left w:val="none" w:sz="0" w:space="0" w:color="auto"/>
            <w:bottom w:val="none" w:sz="0" w:space="0" w:color="auto"/>
            <w:right w:val="none" w:sz="0" w:space="0" w:color="auto"/>
          </w:divBdr>
        </w:div>
        <w:div w:id="2126194886">
          <w:marLeft w:val="1080"/>
          <w:marRight w:val="0"/>
          <w:marTop w:val="0"/>
          <w:marBottom w:val="101"/>
          <w:divBdr>
            <w:top w:val="none" w:sz="0" w:space="0" w:color="auto"/>
            <w:left w:val="none" w:sz="0" w:space="0" w:color="auto"/>
            <w:bottom w:val="none" w:sz="0" w:space="0" w:color="auto"/>
            <w:right w:val="none" w:sz="0" w:space="0" w:color="auto"/>
          </w:divBdr>
        </w:div>
        <w:div w:id="1080827796">
          <w:marLeft w:val="0"/>
          <w:marRight w:val="0"/>
          <w:marTop w:val="0"/>
          <w:marBottom w:val="101"/>
          <w:divBdr>
            <w:top w:val="none" w:sz="0" w:space="0" w:color="auto"/>
            <w:left w:val="none" w:sz="0" w:space="0" w:color="auto"/>
            <w:bottom w:val="none" w:sz="0" w:space="0" w:color="auto"/>
            <w:right w:val="none" w:sz="0" w:space="0" w:color="auto"/>
          </w:divBdr>
        </w:div>
        <w:div w:id="1984894205">
          <w:marLeft w:val="0"/>
          <w:marRight w:val="0"/>
          <w:marTop w:val="0"/>
          <w:marBottom w:val="101"/>
          <w:divBdr>
            <w:top w:val="none" w:sz="0" w:space="0" w:color="auto"/>
            <w:left w:val="none" w:sz="0" w:space="0" w:color="auto"/>
            <w:bottom w:val="none" w:sz="0" w:space="0" w:color="auto"/>
            <w:right w:val="none" w:sz="0" w:space="0" w:color="auto"/>
          </w:divBdr>
        </w:div>
        <w:div w:id="952512566">
          <w:marLeft w:val="0"/>
          <w:marRight w:val="0"/>
          <w:marTop w:val="0"/>
          <w:marBottom w:val="101"/>
          <w:divBdr>
            <w:top w:val="none" w:sz="0" w:space="0" w:color="auto"/>
            <w:left w:val="none" w:sz="0" w:space="0" w:color="auto"/>
            <w:bottom w:val="none" w:sz="0" w:space="0" w:color="auto"/>
            <w:right w:val="none" w:sz="0" w:space="0" w:color="auto"/>
          </w:divBdr>
        </w:div>
        <w:div w:id="492989200">
          <w:marLeft w:val="1080"/>
          <w:marRight w:val="0"/>
          <w:marTop w:val="0"/>
          <w:marBottom w:val="101"/>
          <w:divBdr>
            <w:top w:val="none" w:sz="0" w:space="0" w:color="auto"/>
            <w:left w:val="none" w:sz="0" w:space="0" w:color="auto"/>
            <w:bottom w:val="none" w:sz="0" w:space="0" w:color="auto"/>
            <w:right w:val="none" w:sz="0" w:space="0" w:color="auto"/>
          </w:divBdr>
        </w:div>
        <w:div w:id="1660576714">
          <w:marLeft w:val="1080"/>
          <w:marRight w:val="0"/>
          <w:marTop w:val="0"/>
          <w:marBottom w:val="101"/>
          <w:divBdr>
            <w:top w:val="none" w:sz="0" w:space="0" w:color="auto"/>
            <w:left w:val="none" w:sz="0" w:space="0" w:color="auto"/>
            <w:bottom w:val="none" w:sz="0" w:space="0" w:color="auto"/>
            <w:right w:val="none" w:sz="0" w:space="0" w:color="auto"/>
          </w:divBdr>
        </w:div>
        <w:div w:id="1775132336">
          <w:marLeft w:val="1080"/>
          <w:marRight w:val="0"/>
          <w:marTop w:val="0"/>
          <w:marBottom w:val="101"/>
          <w:divBdr>
            <w:top w:val="none" w:sz="0" w:space="0" w:color="auto"/>
            <w:left w:val="none" w:sz="0" w:space="0" w:color="auto"/>
            <w:bottom w:val="none" w:sz="0" w:space="0" w:color="auto"/>
            <w:right w:val="none" w:sz="0" w:space="0" w:color="auto"/>
          </w:divBdr>
        </w:div>
        <w:div w:id="882525394">
          <w:marLeft w:val="1080"/>
          <w:marRight w:val="0"/>
          <w:marTop w:val="0"/>
          <w:marBottom w:val="101"/>
          <w:divBdr>
            <w:top w:val="none" w:sz="0" w:space="0" w:color="auto"/>
            <w:left w:val="none" w:sz="0" w:space="0" w:color="auto"/>
            <w:bottom w:val="none" w:sz="0" w:space="0" w:color="auto"/>
            <w:right w:val="none" w:sz="0" w:space="0" w:color="auto"/>
          </w:divBdr>
        </w:div>
        <w:div w:id="1212116363">
          <w:marLeft w:val="1080"/>
          <w:marRight w:val="0"/>
          <w:marTop w:val="0"/>
          <w:marBottom w:val="101"/>
          <w:divBdr>
            <w:top w:val="none" w:sz="0" w:space="0" w:color="auto"/>
            <w:left w:val="none" w:sz="0" w:space="0" w:color="auto"/>
            <w:bottom w:val="none" w:sz="0" w:space="0" w:color="auto"/>
            <w:right w:val="none" w:sz="0" w:space="0" w:color="auto"/>
          </w:divBdr>
        </w:div>
        <w:div w:id="281886683">
          <w:marLeft w:val="1080"/>
          <w:marRight w:val="0"/>
          <w:marTop w:val="0"/>
          <w:marBottom w:val="101"/>
          <w:divBdr>
            <w:top w:val="none" w:sz="0" w:space="0" w:color="auto"/>
            <w:left w:val="none" w:sz="0" w:space="0" w:color="auto"/>
            <w:bottom w:val="none" w:sz="0" w:space="0" w:color="auto"/>
            <w:right w:val="none" w:sz="0" w:space="0" w:color="auto"/>
          </w:divBdr>
        </w:div>
        <w:div w:id="1132942317">
          <w:marLeft w:val="1080"/>
          <w:marRight w:val="0"/>
          <w:marTop w:val="0"/>
          <w:marBottom w:val="101"/>
          <w:divBdr>
            <w:top w:val="none" w:sz="0" w:space="0" w:color="auto"/>
            <w:left w:val="none" w:sz="0" w:space="0" w:color="auto"/>
            <w:bottom w:val="none" w:sz="0" w:space="0" w:color="auto"/>
            <w:right w:val="none" w:sz="0" w:space="0" w:color="auto"/>
          </w:divBdr>
        </w:div>
        <w:div w:id="1494949381">
          <w:marLeft w:val="1080"/>
          <w:marRight w:val="0"/>
          <w:marTop w:val="0"/>
          <w:marBottom w:val="101"/>
          <w:divBdr>
            <w:top w:val="none" w:sz="0" w:space="0" w:color="auto"/>
            <w:left w:val="none" w:sz="0" w:space="0" w:color="auto"/>
            <w:bottom w:val="none" w:sz="0" w:space="0" w:color="auto"/>
            <w:right w:val="none" w:sz="0" w:space="0" w:color="auto"/>
          </w:divBdr>
        </w:div>
        <w:div w:id="892429841">
          <w:marLeft w:val="1080"/>
          <w:marRight w:val="0"/>
          <w:marTop w:val="0"/>
          <w:marBottom w:val="101"/>
          <w:divBdr>
            <w:top w:val="none" w:sz="0" w:space="0" w:color="auto"/>
            <w:left w:val="none" w:sz="0" w:space="0" w:color="auto"/>
            <w:bottom w:val="none" w:sz="0" w:space="0" w:color="auto"/>
            <w:right w:val="none" w:sz="0" w:space="0" w:color="auto"/>
          </w:divBdr>
        </w:div>
        <w:div w:id="879243477">
          <w:marLeft w:val="1080"/>
          <w:marRight w:val="0"/>
          <w:marTop w:val="0"/>
          <w:marBottom w:val="101"/>
          <w:divBdr>
            <w:top w:val="none" w:sz="0" w:space="0" w:color="auto"/>
            <w:left w:val="none" w:sz="0" w:space="0" w:color="auto"/>
            <w:bottom w:val="none" w:sz="0" w:space="0" w:color="auto"/>
            <w:right w:val="none" w:sz="0" w:space="0" w:color="auto"/>
          </w:divBdr>
        </w:div>
        <w:div w:id="2107268909">
          <w:marLeft w:val="1080"/>
          <w:marRight w:val="0"/>
          <w:marTop w:val="0"/>
          <w:marBottom w:val="101"/>
          <w:divBdr>
            <w:top w:val="none" w:sz="0" w:space="0" w:color="auto"/>
            <w:left w:val="none" w:sz="0" w:space="0" w:color="auto"/>
            <w:bottom w:val="none" w:sz="0" w:space="0" w:color="auto"/>
            <w:right w:val="none" w:sz="0" w:space="0" w:color="auto"/>
          </w:divBdr>
        </w:div>
        <w:div w:id="1941377227">
          <w:marLeft w:val="1080"/>
          <w:marRight w:val="0"/>
          <w:marTop w:val="0"/>
          <w:marBottom w:val="101"/>
          <w:divBdr>
            <w:top w:val="none" w:sz="0" w:space="0" w:color="auto"/>
            <w:left w:val="none" w:sz="0" w:space="0" w:color="auto"/>
            <w:bottom w:val="none" w:sz="0" w:space="0" w:color="auto"/>
            <w:right w:val="none" w:sz="0" w:space="0" w:color="auto"/>
          </w:divBdr>
        </w:div>
        <w:div w:id="1401903420">
          <w:marLeft w:val="1440"/>
          <w:marRight w:val="0"/>
          <w:marTop w:val="0"/>
          <w:marBottom w:val="101"/>
          <w:divBdr>
            <w:top w:val="none" w:sz="0" w:space="0" w:color="auto"/>
            <w:left w:val="none" w:sz="0" w:space="0" w:color="auto"/>
            <w:bottom w:val="none" w:sz="0" w:space="0" w:color="auto"/>
            <w:right w:val="none" w:sz="0" w:space="0" w:color="auto"/>
          </w:divBdr>
        </w:div>
        <w:div w:id="1912301951">
          <w:marLeft w:val="1440"/>
          <w:marRight w:val="0"/>
          <w:marTop w:val="0"/>
          <w:marBottom w:val="101"/>
          <w:divBdr>
            <w:top w:val="none" w:sz="0" w:space="0" w:color="auto"/>
            <w:left w:val="none" w:sz="0" w:space="0" w:color="auto"/>
            <w:bottom w:val="none" w:sz="0" w:space="0" w:color="auto"/>
            <w:right w:val="none" w:sz="0" w:space="0" w:color="auto"/>
          </w:divBdr>
        </w:div>
        <w:div w:id="1293706982">
          <w:marLeft w:val="1440"/>
          <w:marRight w:val="0"/>
          <w:marTop w:val="0"/>
          <w:marBottom w:val="101"/>
          <w:divBdr>
            <w:top w:val="none" w:sz="0" w:space="0" w:color="auto"/>
            <w:left w:val="none" w:sz="0" w:space="0" w:color="auto"/>
            <w:bottom w:val="none" w:sz="0" w:space="0" w:color="auto"/>
            <w:right w:val="none" w:sz="0" w:space="0" w:color="auto"/>
          </w:divBdr>
        </w:div>
        <w:div w:id="797140809">
          <w:marLeft w:val="1440"/>
          <w:marRight w:val="0"/>
          <w:marTop w:val="0"/>
          <w:marBottom w:val="101"/>
          <w:divBdr>
            <w:top w:val="none" w:sz="0" w:space="0" w:color="auto"/>
            <w:left w:val="none" w:sz="0" w:space="0" w:color="auto"/>
            <w:bottom w:val="none" w:sz="0" w:space="0" w:color="auto"/>
            <w:right w:val="none" w:sz="0" w:space="0" w:color="auto"/>
          </w:divBdr>
        </w:div>
        <w:div w:id="1925457362">
          <w:marLeft w:val="1440"/>
          <w:marRight w:val="0"/>
          <w:marTop w:val="0"/>
          <w:marBottom w:val="101"/>
          <w:divBdr>
            <w:top w:val="none" w:sz="0" w:space="0" w:color="auto"/>
            <w:left w:val="none" w:sz="0" w:space="0" w:color="auto"/>
            <w:bottom w:val="none" w:sz="0" w:space="0" w:color="auto"/>
            <w:right w:val="none" w:sz="0" w:space="0" w:color="auto"/>
          </w:divBdr>
        </w:div>
        <w:div w:id="254555683">
          <w:marLeft w:val="1440"/>
          <w:marRight w:val="0"/>
          <w:marTop w:val="0"/>
          <w:marBottom w:val="101"/>
          <w:divBdr>
            <w:top w:val="none" w:sz="0" w:space="0" w:color="auto"/>
            <w:left w:val="none" w:sz="0" w:space="0" w:color="auto"/>
            <w:bottom w:val="none" w:sz="0" w:space="0" w:color="auto"/>
            <w:right w:val="none" w:sz="0" w:space="0" w:color="auto"/>
          </w:divBdr>
        </w:div>
        <w:div w:id="1818450671">
          <w:marLeft w:val="1440"/>
          <w:marRight w:val="0"/>
          <w:marTop w:val="0"/>
          <w:marBottom w:val="101"/>
          <w:divBdr>
            <w:top w:val="none" w:sz="0" w:space="0" w:color="auto"/>
            <w:left w:val="none" w:sz="0" w:space="0" w:color="auto"/>
            <w:bottom w:val="none" w:sz="0" w:space="0" w:color="auto"/>
            <w:right w:val="none" w:sz="0" w:space="0" w:color="auto"/>
          </w:divBdr>
        </w:div>
        <w:div w:id="579291925">
          <w:marLeft w:val="1080"/>
          <w:marRight w:val="0"/>
          <w:marTop w:val="0"/>
          <w:marBottom w:val="101"/>
          <w:divBdr>
            <w:top w:val="none" w:sz="0" w:space="0" w:color="auto"/>
            <w:left w:val="none" w:sz="0" w:space="0" w:color="auto"/>
            <w:bottom w:val="none" w:sz="0" w:space="0" w:color="auto"/>
            <w:right w:val="none" w:sz="0" w:space="0" w:color="auto"/>
          </w:divBdr>
        </w:div>
        <w:div w:id="147940681">
          <w:marLeft w:val="1080"/>
          <w:marRight w:val="0"/>
          <w:marTop w:val="0"/>
          <w:marBottom w:val="101"/>
          <w:divBdr>
            <w:top w:val="none" w:sz="0" w:space="0" w:color="auto"/>
            <w:left w:val="none" w:sz="0" w:space="0" w:color="auto"/>
            <w:bottom w:val="none" w:sz="0" w:space="0" w:color="auto"/>
            <w:right w:val="none" w:sz="0" w:space="0" w:color="auto"/>
          </w:divBdr>
        </w:div>
        <w:div w:id="1032926441">
          <w:marLeft w:val="1080"/>
          <w:marRight w:val="0"/>
          <w:marTop w:val="0"/>
          <w:marBottom w:val="101"/>
          <w:divBdr>
            <w:top w:val="none" w:sz="0" w:space="0" w:color="auto"/>
            <w:left w:val="none" w:sz="0" w:space="0" w:color="auto"/>
            <w:bottom w:val="none" w:sz="0" w:space="0" w:color="auto"/>
            <w:right w:val="none" w:sz="0" w:space="0" w:color="auto"/>
          </w:divBdr>
        </w:div>
        <w:div w:id="1803032394">
          <w:marLeft w:val="1080"/>
          <w:marRight w:val="0"/>
          <w:marTop w:val="0"/>
          <w:marBottom w:val="101"/>
          <w:divBdr>
            <w:top w:val="none" w:sz="0" w:space="0" w:color="auto"/>
            <w:left w:val="none" w:sz="0" w:space="0" w:color="auto"/>
            <w:bottom w:val="none" w:sz="0" w:space="0" w:color="auto"/>
            <w:right w:val="none" w:sz="0" w:space="0" w:color="auto"/>
          </w:divBdr>
        </w:div>
        <w:div w:id="1880046580">
          <w:marLeft w:val="1080"/>
          <w:marRight w:val="0"/>
          <w:marTop w:val="0"/>
          <w:marBottom w:val="101"/>
          <w:divBdr>
            <w:top w:val="none" w:sz="0" w:space="0" w:color="auto"/>
            <w:left w:val="none" w:sz="0" w:space="0" w:color="auto"/>
            <w:bottom w:val="none" w:sz="0" w:space="0" w:color="auto"/>
            <w:right w:val="none" w:sz="0" w:space="0" w:color="auto"/>
          </w:divBdr>
        </w:div>
        <w:div w:id="734355703">
          <w:marLeft w:val="1080"/>
          <w:marRight w:val="0"/>
          <w:marTop w:val="0"/>
          <w:marBottom w:val="101"/>
          <w:divBdr>
            <w:top w:val="none" w:sz="0" w:space="0" w:color="auto"/>
            <w:left w:val="none" w:sz="0" w:space="0" w:color="auto"/>
            <w:bottom w:val="none" w:sz="0" w:space="0" w:color="auto"/>
            <w:right w:val="none" w:sz="0" w:space="0" w:color="auto"/>
          </w:divBdr>
        </w:div>
        <w:div w:id="18819386">
          <w:marLeft w:val="1080"/>
          <w:marRight w:val="0"/>
          <w:marTop w:val="0"/>
          <w:marBottom w:val="101"/>
          <w:divBdr>
            <w:top w:val="none" w:sz="0" w:space="0" w:color="auto"/>
            <w:left w:val="none" w:sz="0" w:space="0" w:color="auto"/>
            <w:bottom w:val="none" w:sz="0" w:space="0" w:color="auto"/>
            <w:right w:val="none" w:sz="0" w:space="0" w:color="auto"/>
          </w:divBdr>
        </w:div>
        <w:div w:id="795563211">
          <w:marLeft w:val="1080"/>
          <w:marRight w:val="0"/>
          <w:marTop w:val="0"/>
          <w:marBottom w:val="101"/>
          <w:divBdr>
            <w:top w:val="none" w:sz="0" w:space="0" w:color="auto"/>
            <w:left w:val="none" w:sz="0" w:space="0" w:color="auto"/>
            <w:bottom w:val="none" w:sz="0" w:space="0" w:color="auto"/>
            <w:right w:val="none" w:sz="0" w:space="0" w:color="auto"/>
          </w:divBdr>
        </w:div>
        <w:div w:id="404958994">
          <w:marLeft w:val="1080"/>
          <w:marRight w:val="0"/>
          <w:marTop w:val="0"/>
          <w:marBottom w:val="101"/>
          <w:divBdr>
            <w:top w:val="none" w:sz="0" w:space="0" w:color="auto"/>
            <w:left w:val="none" w:sz="0" w:space="0" w:color="auto"/>
            <w:bottom w:val="none" w:sz="0" w:space="0" w:color="auto"/>
            <w:right w:val="none" w:sz="0" w:space="0" w:color="auto"/>
          </w:divBdr>
        </w:div>
        <w:div w:id="1834762359">
          <w:marLeft w:val="1080"/>
          <w:marRight w:val="0"/>
          <w:marTop w:val="0"/>
          <w:marBottom w:val="80"/>
          <w:divBdr>
            <w:top w:val="none" w:sz="0" w:space="0" w:color="auto"/>
            <w:left w:val="none" w:sz="0" w:space="0" w:color="auto"/>
            <w:bottom w:val="none" w:sz="0" w:space="0" w:color="auto"/>
            <w:right w:val="none" w:sz="0" w:space="0" w:color="auto"/>
          </w:divBdr>
        </w:div>
        <w:div w:id="533420422">
          <w:marLeft w:val="1080"/>
          <w:marRight w:val="0"/>
          <w:marTop w:val="0"/>
          <w:marBottom w:val="80"/>
          <w:divBdr>
            <w:top w:val="none" w:sz="0" w:space="0" w:color="auto"/>
            <w:left w:val="none" w:sz="0" w:space="0" w:color="auto"/>
            <w:bottom w:val="none" w:sz="0" w:space="0" w:color="auto"/>
            <w:right w:val="none" w:sz="0" w:space="0" w:color="auto"/>
          </w:divBdr>
        </w:div>
        <w:div w:id="292715643">
          <w:marLeft w:val="1080"/>
          <w:marRight w:val="0"/>
          <w:marTop w:val="0"/>
          <w:marBottom w:val="80"/>
          <w:divBdr>
            <w:top w:val="none" w:sz="0" w:space="0" w:color="auto"/>
            <w:left w:val="none" w:sz="0" w:space="0" w:color="auto"/>
            <w:bottom w:val="none" w:sz="0" w:space="0" w:color="auto"/>
            <w:right w:val="none" w:sz="0" w:space="0" w:color="auto"/>
          </w:divBdr>
        </w:div>
        <w:div w:id="913321077">
          <w:marLeft w:val="1080"/>
          <w:marRight w:val="0"/>
          <w:marTop w:val="0"/>
          <w:marBottom w:val="80"/>
          <w:divBdr>
            <w:top w:val="none" w:sz="0" w:space="0" w:color="auto"/>
            <w:left w:val="none" w:sz="0" w:space="0" w:color="auto"/>
            <w:bottom w:val="none" w:sz="0" w:space="0" w:color="auto"/>
            <w:right w:val="none" w:sz="0" w:space="0" w:color="auto"/>
          </w:divBdr>
        </w:div>
        <w:div w:id="631328084">
          <w:marLeft w:val="1080"/>
          <w:marRight w:val="0"/>
          <w:marTop w:val="0"/>
          <w:marBottom w:val="80"/>
          <w:divBdr>
            <w:top w:val="none" w:sz="0" w:space="0" w:color="auto"/>
            <w:left w:val="none" w:sz="0" w:space="0" w:color="auto"/>
            <w:bottom w:val="none" w:sz="0" w:space="0" w:color="auto"/>
            <w:right w:val="none" w:sz="0" w:space="0" w:color="auto"/>
          </w:divBdr>
        </w:div>
        <w:div w:id="611130620">
          <w:marLeft w:val="1080"/>
          <w:marRight w:val="0"/>
          <w:marTop w:val="0"/>
          <w:marBottom w:val="80"/>
          <w:divBdr>
            <w:top w:val="none" w:sz="0" w:space="0" w:color="auto"/>
            <w:left w:val="none" w:sz="0" w:space="0" w:color="auto"/>
            <w:bottom w:val="none" w:sz="0" w:space="0" w:color="auto"/>
            <w:right w:val="none" w:sz="0" w:space="0" w:color="auto"/>
          </w:divBdr>
        </w:div>
        <w:div w:id="279191750">
          <w:marLeft w:val="1080"/>
          <w:marRight w:val="0"/>
          <w:marTop w:val="0"/>
          <w:marBottom w:val="80"/>
          <w:divBdr>
            <w:top w:val="none" w:sz="0" w:space="0" w:color="auto"/>
            <w:left w:val="none" w:sz="0" w:space="0" w:color="auto"/>
            <w:bottom w:val="none" w:sz="0" w:space="0" w:color="auto"/>
            <w:right w:val="none" w:sz="0" w:space="0" w:color="auto"/>
          </w:divBdr>
        </w:div>
        <w:div w:id="1783576662">
          <w:marLeft w:val="1080"/>
          <w:marRight w:val="0"/>
          <w:marTop w:val="0"/>
          <w:marBottom w:val="80"/>
          <w:divBdr>
            <w:top w:val="none" w:sz="0" w:space="0" w:color="auto"/>
            <w:left w:val="none" w:sz="0" w:space="0" w:color="auto"/>
            <w:bottom w:val="none" w:sz="0" w:space="0" w:color="auto"/>
            <w:right w:val="none" w:sz="0" w:space="0" w:color="auto"/>
          </w:divBdr>
        </w:div>
        <w:div w:id="1353873381">
          <w:marLeft w:val="1080"/>
          <w:marRight w:val="0"/>
          <w:marTop w:val="0"/>
          <w:marBottom w:val="80"/>
          <w:divBdr>
            <w:top w:val="none" w:sz="0" w:space="0" w:color="auto"/>
            <w:left w:val="none" w:sz="0" w:space="0" w:color="auto"/>
            <w:bottom w:val="none" w:sz="0" w:space="0" w:color="auto"/>
            <w:right w:val="none" w:sz="0" w:space="0" w:color="auto"/>
          </w:divBdr>
        </w:div>
        <w:div w:id="749346556">
          <w:marLeft w:val="1080"/>
          <w:marRight w:val="0"/>
          <w:marTop w:val="0"/>
          <w:marBottom w:val="80"/>
          <w:divBdr>
            <w:top w:val="none" w:sz="0" w:space="0" w:color="auto"/>
            <w:left w:val="none" w:sz="0" w:space="0" w:color="auto"/>
            <w:bottom w:val="none" w:sz="0" w:space="0" w:color="auto"/>
            <w:right w:val="none" w:sz="0" w:space="0" w:color="auto"/>
          </w:divBdr>
        </w:div>
        <w:div w:id="937565273">
          <w:marLeft w:val="1080"/>
          <w:marRight w:val="0"/>
          <w:marTop w:val="0"/>
          <w:marBottom w:val="80"/>
          <w:divBdr>
            <w:top w:val="none" w:sz="0" w:space="0" w:color="auto"/>
            <w:left w:val="none" w:sz="0" w:space="0" w:color="auto"/>
            <w:bottom w:val="none" w:sz="0" w:space="0" w:color="auto"/>
            <w:right w:val="none" w:sz="0" w:space="0" w:color="auto"/>
          </w:divBdr>
        </w:div>
        <w:div w:id="521431200">
          <w:marLeft w:val="1080"/>
          <w:marRight w:val="0"/>
          <w:marTop w:val="0"/>
          <w:marBottom w:val="80"/>
          <w:divBdr>
            <w:top w:val="none" w:sz="0" w:space="0" w:color="auto"/>
            <w:left w:val="none" w:sz="0" w:space="0" w:color="auto"/>
            <w:bottom w:val="none" w:sz="0" w:space="0" w:color="auto"/>
            <w:right w:val="none" w:sz="0" w:space="0" w:color="auto"/>
          </w:divBdr>
        </w:div>
        <w:div w:id="1496991945">
          <w:marLeft w:val="0"/>
          <w:marRight w:val="0"/>
          <w:marTop w:val="0"/>
          <w:marBottom w:val="80"/>
          <w:divBdr>
            <w:top w:val="none" w:sz="0" w:space="0" w:color="auto"/>
            <w:left w:val="none" w:sz="0" w:space="0" w:color="auto"/>
            <w:bottom w:val="none" w:sz="0" w:space="0" w:color="auto"/>
            <w:right w:val="none" w:sz="0" w:space="0" w:color="auto"/>
          </w:divBdr>
        </w:div>
        <w:div w:id="1924954256">
          <w:marLeft w:val="0"/>
          <w:marRight w:val="0"/>
          <w:marTop w:val="0"/>
          <w:marBottom w:val="80"/>
          <w:divBdr>
            <w:top w:val="none" w:sz="0" w:space="0" w:color="auto"/>
            <w:left w:val="none" w:sz="0" w:space="0" w:color="auto"/>
            <w:bottom w:val="none" w:sz="0" w:space="0" w:color="auto"/>
            <w:right w:val="none" w:sz="0" w:space="0" w:color="auto"/>
          </w:divBdr>
        </w:div>
        <w:div w:id="1639842601">
          <w:marLeft w:val="0"/>
          <w:marRight w:val="0"/>
          <w:marTop w:val="0"/>
          <w:marBottom w:val="80"/>
          <w:divBdr>
            <w:top w:val="none" w:sz="0" w:space="0" w:color="auto"/>
            <w:left w:val="none" w:sz="0" w:space="0" w:color="auto"/>
            <w:bottom w:val="none" w:sz="0" w:space="0" w:color="auto"/>
            <w:right w:val="none" w:sz="0" w:space="0" w:color="auto"/>
          </w:divBdr>
        </w:div>
        <w:div w:id="1274242735">
          <w:marLeft w:val="0"/>
          <w:marRight w:val="0"/>
          <w:marTop w:val="0"/>
          <w:marBottom w:val="80"/>
          <w:divBdr>
            <w:top w:val="none" w:sz="0" w:space="0" w:color="auto"/>
            <w:left w:val="none" w:sz="0" w:space="0" w:color="auto"/>
            <w:bottom w:val="none" w:sz="0" w:space="0" w:color="auto"/>
            <w:right w:val="none" w:sz="0" w:space="0" w:color="auto"/>
          </w:divBdr>
        </w:div>
        <w:div w:id="1570339305">
          <w:marLeft w:val="0"/>
          <w:marRight w:val="0"/>
          <w:marTop w:val="0"/>
          <w:marBottom w:val="80"/>
          <w:divBdr>
            <w:top w:val="none" w:sz="0" w:space="0" w:color="auto"/>
            <w:left w:val="none" w:sz="0" w:space="0" w:color="auto"/>
            <w:bottom w:val="none" w:sz="0" w:space="0" w:color="auto"/>
            <w:right w:val="none" w:sz="0" w:space="0" w:color="auto"/>
          </w:divBdr>
        </w:div>
        <w:div w:id="333578601">
          <w:marLeft w:val="0"/>
          <w:marRight w:val="0"/>
          <w:marTop w:val="0"/>
          <w:marBottom w:val="80"/>
          <w:divBdr>
            <w:top w:val="none" w:sz="0" w:space="0" w:color="auto"/>
            <w:left w:val="none" w:sz="0" w:space="0" w:color="auto"/>
            <w:bottom w:val="none" w:sz="0" w:space="0" w:color="auto"/>
            <w:right w:val="none" w:sz="0" w:space="0" w:color="auto"/>
          </w:divBdr>
        </w:div>
        <w:div w:id="328099012">
          <w:marLeft w:val="0"/>
          <w:marRight w:val="0"/>
          <w:marTop w:val="0"/>
          <w:marBottom w:val="80"/>
          <w:divBdr>
            <w:top w:val="none" w:sz="0" w:space="0" w:color="auto"/>
            <w:left w:val="none" w:sz="0" w:space="0" w:color="auto"/>
            <w:bottom w:val="none" w:sz="0" w:space="0" w:color="auto"/>
            <w:right w:val="none" w:sz="0" w:space="0" w:color="auto"/>
          </w:divBdr>
        </w:div>
        <w:div w:id="1431387715">
          <w:marLeft w:val="0"/>
          <w:marRight w:val="0"/>
          <w:marTop w:val="0"/>
          <w:marBottom w:val="80"/>
          <w:divBdr>
            <w:top w:val="none" w:sz="0" w:space="0" w:color="auto"/>
            <w:left w:val="none" w:sz="0" w:space="0" w:color="auto"/>
            <w:bottom w:val="none" w:sz="0" w:space="0" w:color="auto"/>
            <w:right w:val="none" w:sz="0" w:space="0" w:color="auto"/>
          </w:divBdr>
        </w:div>
        <w:div w:id="770201404">
          <w:marLeft w:val="0"/>
          <w:marRight w:val="0"/>
          <w:marTop w:val="0"/>
          <w:marBottom w:val="80"/>
          <w:divBdr>
            <w:top w:val="none" w:sz="0" w:space="0" w:color="auto"/>
            <w:left w:val="none" w:sz="0" w:space="0" w:color="auto"/>
            <w:bottom w:val="none" w:sz="0" w:space="0" w:color="auto"/>
            <w:right w:val="none" w:sz="0" w:space="0" w:color="auto"/>
          </w:divBdr>
        </w:div>
        <w:div w:id="664935865">
          <w:marLeft w:val="0"/>
          <w:marRight w:val="0"/>
          <w:marTop w:val="0"/>
          <w:marBottom w:val="101"/>
          <w:divBdr>
            <w:top w:val="none" w:sz="0" w:space="0" w:color="auto"/>
            <w:left w:val="none" w:sz="0" w:space="0" w:color="auto"/>
            <w:bottom w:val="none" w:sz="0" w:space="0" w:color="auto"/>
            <w:right w:val="none" w:sz="0" w:space="0" w:color="auto"/>
          </w:divBdr>
        </w:div>
        <w:div w:id="1431660362">
          <w:marLeft w:val="0"/>
          <w:marRight w:val="0"/>
          <w:marTop w:val="0"/>
          <w:marBottom w:val="101"/>
          <w:divBdr>
            <w:top w:val="none" w:sz="0" w:space="0" w:color="auto"/>
            <w:left w:val="none" w:sz="0" w:space="0" w:color="auto"/>
            <w:bottom w:val="none" w:sz="0" w:space="0" w:color="auto"/>
            <w:right w:val="none" w:sz="0" w:space="0" w:color="auto"/>
          </w:divBdr>
        </w:div>
        <w:div w:id="531498116">
          <w:marLeft w:val="1080"/>
          <w:marRight w:val="0"/>
          <w:marTop w:val="0"/>
          <w:marBottom w:val="101"/>
          <w:divBdr>
            <w:top w:val="none" w:sz="0" w:space="0" w:color="auto"/>
            <w:left w:val="none" w:sz="0" w:space="0" w:color="auto"/>
            <w:bottom w:val="none" w:sz="0" w:space="0" w:color="auto"/>
            <w:right w:val="none" w:sz="0" w:space="0" w:color="auto"/>
          </w:divBdr>
        </w:div>
        <w:div w:id="1216351428">
          <w:marLeft w:val="1080"/>
          <w:marRight w:val="0"/>
          <w:marTop w:val="0"/>
          <w:marBottom w:val="101"/>
          <w:divBdr>
            <w:top w:val="none" w:sz="0" w:space="0" w:color="auto"/>
            <w:left w:val="none" w:sz="0" w:space="0" w:color="auto"/>
            <w:bottom w:val="none" w:sz="0" w:space="0" w:color="auto"/>
            <w:right w:val="none" w:sz="0" w:space="0" w:color="auto"/>
          </w:divBdr>
        </w:div>
        <w:div w:id="1452897577">
          <w:marLeft w:val="1080"/>
          <w:marRight w:val="0"/>
          <w:marTop w:val="0"/>
          <w:marBottom w:val="101"/>
          <w:divBdr>
            <w:top w:val="none" w:sz="0" w:space="0" w:color="auto"/>
            <w:left w:val="none" w:sz="0" w:space="0" w:color="auto"/>
            <w:bottom w:val="none" w:sz="0" w:space="0" w:color="auto"/>
            <w:right w:val="none" w:sz="0" w:space="0" w:color="auto"/>
          </w:divBdr>
        </w:div>
        <w:div w:id="1335376787">
          <w:marLeft w:val="1080"/>
          <w:marRight w:val="0"/>
          <w:marTop w:val="0"/>
          <w:marBottom w:val="101"/>
          <w:divBdr>
            <w:top w:val="none" w:sz="0" w:space="0" w:color="auto"/>
            <w:left w:val="none" w:sz="0" w:space="0" w:color="auto"/>
            <w:bottom w:val="none" w:sz="0" w:space="0" w:color="auto"/>
            <w:right w:val="none" w:sz="0" w:space="0" w:color="auto"/>
          </w:divBdr>
        </w:div>
        <w:div w:id="233202950">
          <w:marLeft w:val="1080"/>
          <w:marRight w:val="0"/>
          <w:marTop w:val="0"/>
          <w:marBottom w:val="101"/>
          <w:divBdr>
            <w:top w:val="none" w:sz="0" w:space="0" w:color="auto"/>
            <w:left w:val="none" w:sz="0" w:space="0" w:color="auto"/>
            <w:bottom w:val="none" w:sz="0" w:space="0" w:color="auto"/>
            <w:right w:val="none" w:sz="0" w:space="0" w:color="auto"/>
          </w:divBdr>
        </w:div>
        <w:div w:id="1325354676">
          <w:marLeft w:val="1080"/>
          <w:marRight w:val="0"/>
          <w:marTop w:val="0"/>
          <w:marBottom w:val="101"/>
          <w:divBdr>
            <w:top w:val="none" w:sz="0" w:space="0" w:color="auto"/>
            <w:left w:val="none" w:sz="0" w:space="0" w:color="auto"/>
            <w:bottom w:val="none" w:sz="0" w:space="0" w:color="auto"/>
            <w:right w:val="none" w:sz="0" w:space="0" w:color="auto"/>
          </w:divBdr>
        </w:div>
        <w:div w:id="1787692513">
          <w:marLeft w:val="1080"/>
          <w:marRight w:val="0"/>
          <w:marTop w:val="0"/>
          <w:marBottom w:val="101"/>
          <w:divBdr>
            <w:top w:val="none" w:sz="0" w:space="0" w:color="auto"/>
            <w:left w:val="none" w:sz="0" w:space="0" w:color="auto"/>
            <w:bottom w:val="none" w:sz="0" w:space="0" w:color="auto"/>
            <w:right w:val="none" w:sz="0" w:space="0" w:color="auto"/>
          </w:divBdr>
        </w:div>
        <w:div w:id="78210075">
          <w:marLeft w:val="0"/>
          <w:marRight w:val="0"/>
          <w:marTop w:val="0"/>
          <w:marBottom w:val="101"/>
          <w:divBdr>
            <w:top w:val="none" w:sz="0" w:space="0" w:color="auto"/>
            <w:left w:val="none" w:sz="0" w:space="0" w:color="auto"/>
            <w:bottom w:val="none" w:sz="0" w:space="0" w:color="auto"/>
            <w:right w:val="none" w:sz="0" w:space="0" w:color="auto"/>
          </w:divBdr>
        </w:div>
        <w:div w:id="1977445325">
          <w:marLeft w:val="0"/>
          <w:marRight w:val="0"/>
          <w:marTop w:val="0"/>
          <w:marBottom w:val="101"/>
          <w:divBdr>
            <w:top w:val="none" w:sz="0" w:space="0" w:color="auto"/>
            <w:left w:val="none" w:sz="0" w:space="0" w:color="auto"/>
            <w:bottom w:val="none" w:sz="0" w:space="0" w:color="auto"/>
            <w:right w:val="none" w:sz="0" w:space="0" w:color="auto"/>
          </w:divBdr>
        </w:div>
        <w:div w:id="1208223583">
          <w:marLeft w:val="0"/>
          <w:marRight w:val="0"/>
          <w:marTop w:val="0"/>
          <w:marBottom w:val="101"/>
          <w:divBdr>
            <w:top w:val="none" w:sz="0" w:space="0" w:color="auto"/>
            <w:left w:val="none" w:sz="0" w:space="0" w:color="auto"/>
            <w:bottom w:val="none" w:sz="0" w:space="0" w:color="auto"/>
            <w:right w:val="none" w:sz="0" w:space="0" w:color="auto"/>
          </w:divBdr>
        </w:div>
        <w:div w:id="1337150660">
          <w:marLeft w:val="0"/>
          <w:marRight w:val="0"/>
          <w:marTop w:val="0"/>
          <w:marBottom w:val="101"/>
          <w:divBdr>
            <w:top w:val="none" w:sz="0" w:space="0" w:color="auto"/>
            <w:left w:val="none" w:sz="0" w:space="0" w:color="auto"/>
            <w:bottom w:val="none" w:sz="0" w:space="0" w:color="auto"/>
            <w:right w:val="none" w:sz="0" w:space="0" w:color="auto"/>
          </w:divBdr>
        </w:div>
        <w:div w:id="279191197">
          <w:marLeft w:val="0"/>
          <w:marRight w:val="0"/>
          <w:marTop w:val="0"/>
          <w:marBottom w:val="101"/>
          <w:divBdr>
            <w:top w:val="none" w:sz="0" w:space="0" w:color="auto"/>
            <w:left w:val="none" w:sz="0" w:space="0" w:color="auto"/>
            <w:bottom w:val="none" w:sz="0" w:space="0" w:color="auto"/>
            <w:right w:val="none" w:sz="0" w:space="0" w:color="auto"/>
          </w:divBdr>
        </w:div>
        <w:div w:id="1996178331">
          <w:marLeft w:val="0"/>
          <w:marRight w:val="0"/>
          <w:marTop w:val="0"/>
          <w:marBottom w:val="101"/>
          <w:divBdr>
            <w:top w:val="none" w:sz="0" w:space="0" w:color="auto"/>
            <w:left w:val="none" w:sz="0" w:space="0" w:color="auto"/>
            <w:bottom w:val="none" w:sz="0" w:space="0" w:color="auto"/>
            <w:right w:val="none" w:sz="0" w:space="0" w:color="auto"/>
          </w:divBdr>
        </w:div>
        <w:div w:id="473956586">
          <w:marLeft w:val="1080"/>
          <w:marRight w:val="0"/>
          <w:marTop w:val="0"/>
          <w:marBottom w:val="101"/>
          <w:divBdr>
            <w:top w:val="none" w:sz="0" w:space="0" w:color="auto"/>
            <w:left w:val="none" w:sz="0" w:space="0" w:color="auto"/>
            <w:bottom w:val="none" w:sz="0" w:space="0" w:color="auto"/>
            <w:right w:val="none" w:sz="0" w:space="0" w:color="auto"/>
          </w:divBdr>
        </w:div>
        <w:div w:id="456217395">
          <w:marLeft w:val="1080"/>
          <w:marRight w:val="0"/>
          <w:marTop w:val="0"/>
          <w:marBottom w:val="101"/>
          <w:divBdr>
            <w:top w:val="none" w:sz="0" w:space="0" w:color="auto"/>
            <w:left w:val="none" w:sz="0" w:space="0" w:color="auto"/>
            <w:bottom w:val="none" w:sz="0" w:space="0" w:color="auto"/>
            <w:right w:val="none" w:sz="0" w:space="0" w:color="auto"/>
          </w:divBdr>
        </w:div>
        <w:div w:id="1675959577">
          <w:marLeft w:val="1080"/>
          <w:marRight w:val="0"/>
          <w:marTop w:val="0"/>
          <w:marBottom w:val="101"/>
          <w:divBdr>
            <w:top w:val="none" w:sz="0" w:space="0" w:color="auto"/>
            <w:left w:val="none" w:sz="0" w:space="0" w:color="auto"/>
            <w:bottom w:val="none" w:sz="0" w:space="0" w:color="auto"/>
            <w:right w:val="none" w:sz="0" w:space="0" w:color="auto"/>
          </w:divBdr>
        </w:div>
        <w:div w:id="1715495448">
          <w:marLeft w:val="0"/>
          <w:marRight w:val="0"/>
          <w:marTop w:val="0"/>
          <w:marBottom w:val="101"/>
          <w:divBdr>
            <w:top w:val="none" w:sz="0" w:space="0" w:color="auto"/>
            <w:left w:val="none" w:sz="0" w:space="0" w:color="auto"/>
            <w:bottom w:val="none" w:sz="0" w:space="0" w:color="auto"/>
            <w:right w:val="none" w:sz="0" w:space="0" w:color="auto"/>
          </w:divBdr>
        </w:div>
        <w:div w:id="1303579089">
          <w:marLeft w:val="0"/>
          <w:marRight w:val="0"/>
          <w:marTop w:val="0"/>
          <w:marBottom w:val="101"/>
          <w:divBdr>
            <w:top w:val="none" w:sz="0" w:space="0" w:color="auto"/>
            <w:left w:val="none" w:sz="0" w:space="0" w:color="auto"/>
            <w:bottom w:val="none" w:sz="0" w:space="0" w:color="auto"/>
            <w:right w:val="none" w:sz="0" w:space="0" w:color="auto"/>
          </w:divBdr>
        </w:div>
        <w:div w:id="270820016">
          <w:marLeft w:val="0"/>
          <w:marRight w:val="0"/>
          <w:marTop w:val="0"/>
          <w:marBottom w:val="101"/>
          <w:divBdr>
            <w:top w:val="none" w:sz="0" w:space="0" w:color="auto"/>
            <w:left w:val="none" w:sz="0" w:space="0" w:color="auto"/>
            <w:bottom w:val="none" w:sz="0" w:space="0" w:color="auto"/>
            <w:right w:val="none" w:sz="0" w:space="0" w:color="auto"/>
          </w:divBdr>
        </w:div>
        <w:div w:id="416054442">
          <w:marLeft w:val="0"/>
          <w:marRight w:val="0"/>
          <w:marTop w:val="0"/>
          <w:marBottom w:val="101"/>
          <w:divBdr>
            <w:top w:val="none" w:sz="0" w:space="0" w:color="auto"/>
            <w:left w:val="none" w:sz="0" w:space="0" w:color="auto"/>
            <w:bottom w:val="none" w:sz="0" w:space="0" w:color="auto"/>
            <w:right w:val="none" w:sz="0" w:space="0" w:color="auto"/>
          </w:divBdr>
        </w:div>
        <w:div w:id="685523892">
          <w:marLeft w:val="1080"/>
          <w:marRight w:val="0"/>
          <w:marTop w:val="0"/>
          <w:marBottom w:val="101"/>
          <w:divBdr>
            <w:top w:val="none" w:sz="0" w:space="0" w:color="auto"/>
            <w:left w:val="none" w:sz="0" w:space="0" w:color="auto"/>
            <w:bottom w:val="none" w:sz="0" w:space="0" w:color="auto"/>
            <w:right w:val="none" w:sz="0" w:space="0" w:color="auto"/>
          </w:divBdr>
        </w:div>
        <w:div w:id="1644457596">
          <w:marLeft w:val="1080"/>
          <w:marRight w:val="0"/>
          <w:marTop w:val="0"/>
          <w:marBottom w:val="101"/>
          <w:divBdr>
            <w:top w:val="none" w:sz="0" w:space="0" w:color="auto"/>
            <w:left w:val="none" w:sz="0" w:space="0" w:color="auto"/>
            <w:bottom w:val="none" w:sz="0" w:space="0" w:color="auto"/>
            <w:right w:val="none" w:sz="0" w:space="0" w:color="auto"/>
          </w:divBdr>
        </w:div>
        <w:div w:id="880940723">
          <w:marLeft w:val="0"/>
          <w:marRight w:val="0"/>
          <w:marTop w:val="0"/>
          <w:marBottom w:val="101"/>
          <w:divBdr>
            <w:top w:val="none" w:sz="0" w:space="0" w:color="auto"/>
            <w:left w:val="none" w:sz="0" w:space="0" w:color="auto"/>
            <w:bottom w:val="none" w:sz="0" w:space="0" w:color="auto"/>
            <w:right w:val="none" w:sz="0" w:space="0" w:color="auto"/>
          </w:divBdr>
        </w:div>
        <w:div w:id="1338927122">
          <w:marLeft w:val="0"/>
          <w:marRight w:val="0"/>
          <w:marTop w:val="0"/>
          <w:marBottom w:val="101"/>
          <w:divBdr>
            <w:top w:val="none" w:sz="0" w:space="0" w:color="auto"/>
            <w:left w:val="none" w:sz="0" w:space="0" w:color="auto"/>
            <w:bottom w:val="none" w:sz="0" w:space="0" w:color="auto"/>
            <w:right w:val="none" w:sz="0" w:space="0" w:color="auto"/>
          </w:divBdr>
        </w:div>
        <w:div w:id="574055062">
          <w:marLeft w:val="0"/>
          <w:marRight w:val="0"/>
          <w:marTop w:val="0"/>
          <w:marBottom w:val="101"/>
          <w:divBdr>
            <w:top w:val="none" w:sz="0" w:space="0" w:color="auto"/>
            <w:left w:val="none" w:sz="0" w:space="0" w:color="auto"/>
            <w:bottom w:val="none" w:sz="0" w:space="0" w:color="auto"/>
            <w:right w:val="none" w:sz="0" w:space="0" w:color="auto"/>
          </w:divBdr>
        </w:div>
        <w:div w:id="1075279783">
          <w:marLeft w:val="0"/>
          <w:marRight w:val="0"/>
          <w:marTop w:val="0"/>
          <w:marBottom w:val="101"/>
          <w:divBdr>
            <w:top w:val="none" w:sz="0" w:space="0" w:color="auto"/>
            <w:left w:val="none" w:sz="0" w:space="0" w:color="auto"/>
            <w:bottom w:val="none" w:sz="0" w:space="0" w:color="auto"/>
            <w:right w:val="none" w:sz="0" w:space="0" w:color="auto"/>
          </w:divBdr>
        </w:div>
        <w:div w:id="1890799843">
          <w:marLeft w:val="0"/>
          <w:marRight w:val="0"/>
          <w:marTop w:val="0"/>
          <w:marBottom w:val="101"/>
          <w:divBdr>
            <w:top w:val="none" w:sz="0" w:space="0" w:color="auto"/>
            <w:left w:val="none" w:sz="0" w:space="0" w:color="auto"/>
            <w:bottom w:val="none" w:sz="0" w:space="0" w:color="auto"/>
            <w:right w:val="none" w:sz="0" w:space="0" w:color="auto"/>
          </w:divBdr>
        </w:div>
        <w:div w:id="627205081">
          <w:marLeft w:val="0"/>
          <w:marRight w:val="0"/>
          <w:marTop w:val="0"/>
          <w:marBottom w:val="101"/>
          <w:divBdr>
            <w:top w:val="none" w:sz="0" w:space="0" w:color="auto"/>
            <w:left w:val="none" w:sz="0" w:space="0" w:color="auto"/>
            <w:bottom w:val="none" w:sz="0" w:space="0" w:color="auto"/>
            <w:right w:val="none" w:sz="0" w:space="0" w:color="auto"/>
          </w:divBdr>
        </w:div>
        <w:div w:id="728967293">
          <w:marLeft w:val="0"/>
          <w:marRight w:val="0"/>
          <w:marTop w:val="0"/>
          <w:marBottom w:val="101"/>
          <w:divBdr>
            <w:top w:val="none" w:sz="0" w:space="0" w:color="auto"/>
            <w:left w:val="none" w:sz="0" w:space="0" w:color="auto"/>
            <w:bottom w:val="none" w:sz="0" w:space="0" w:color="auto"/>
            <w:right w:val="none" w:sz="0" w:space="0" w:color="auto"/>
          </w:divBdr>
        </w:div>
        <w:div w:id="1725181552">
          <w:marLeft w:val="0"/>
          <w:marRight w:val="0"/>
          <w:marTop w:val="0"/>
          <w:marBottom w:val="101"/>
          <w:divBdr>
            <w:top w:val="none" w:sz="0" w:space="0" w:color="auto"/>
            <w:left w:val="none" w:sz="0" w:space="0" w:color="auto"/>
            <w:bottom w:val="none" w:sz="0" w:space="0" w:color="auto"/>
            <w:right w:val="none" w:sz="0" w:space="0" w:color="auto"/>
          </w:divBdr>
        </w:div>
        <w:div w:id="196814675">
          <w:marLeft w:val="0"/>
          <w:marRight w:val="0"/>
          <w:marTop w:val="0"/>
          <w:marBottom w:val="101"/>
          <w:divBdr>
            <w:top w:val="none" w:sz="0" w:space="0" w:color="auto"/>
            <w:left w:val="none" w:sz="0" w:space="0" w:color="auto"/>
            <w:bottom w:val="none" w:sz="0" w:space="0" w:color="auto"/>
            <w:right w:val="none" w:sz="0" w:space="0" w:color="auto"/>
          </w:divBdr>
        </w:div>
        <w:div w:id="556627110">
          <w:marLeft w:val="0"/>
          <w:marRight w:val="0"/>
          <w:marTop w:val="0"/>
          <w:marBottom w:val="101"/>
          <w:divBdr>
            <w:top w:val="none" w:sz="0" w:space="0" w:color="auto"/>
            <w:left w:val="none" w:sz="0" w:space="0" w:color="auto"/>
            <w:bottom w:val="none" w:sz="0" w:space="0" w:color="auto"/>
            <w:right w:val="none" w:sz="0" w:space="0" w:color="auto"/>
          </w:divBdr>
        </w:div>
        <w:div w:id="1030959304">
          <w:marLeft w:val="1080"/>
          <w:marRight w:val="0"/>
          <w:marTop w:val="0"/>
          <w:marBottom w:val="101"/>
          <w:divBdr>
            <w:top w:val="none" w:sz="0" w:space="0" w:color="auto"/>
            <w:left w:val="none" w:sz="0" w:space="0" w:color="auto"/>
            <w:bottom w:val="none" w:sz="0" w:space="0" w:color="auto"/>
            <w:right w:val="none" w:sz="0" w:space="0" w:color="auto"/>
          </w:divBdr>
        </w:div>
        <w:div w:id="1947544902">
          <w:marLeft w:val="1080"/>
          <w:marRight w:val="0"/>
          <w:marTop w:val="0"/>
          <w:marBottom w:val="101"/>
          <w:divBdr>
            <w:top w:val="none" w:sz="0" w:space="0" w:color="auto"/>
            <w:left w:val="none" w:sz="0" w:space="0" w:color="auto"/>
            <w:bottom w:val="none" w:sz="0" w:space="0" w:color="auto"/>
            <w:right w:val="none" w:sz="0" w:space="0" w:color="auto"/>
          </w:divBdr>
        </w:div>
        <w:div w:id="1712731995">
          <w:marLeft w:val="1080"/>
          <w:marRight w:val="0"/>
          <w:marTop w:val="0"/>
          <w:marBottom w:val="101"/>
          <w:divBdr>
            <w:top w:val="none" w:sz="0" w:space="0" w:color="auto"/>
            <w:left w:val="none" w:sz="0" w:space="0" w:color="auto"/>
            <w:bottom w:val="none" w:sz="0" w:space="0" w:color="auto"/>
            <w:right w:val="none" w:sz="0" w:space="0" w:color="auto"/>
          </w:divBdr>
        </w:div>
        <w:div w:id="1188329775">
          <w:marLeft w:val="1080"/>
          <w:marRight w:val="0"/>
          <w:marTop w:val="0"/>
          <w:marBottom w:val="101"/>
          <w:divBdr>
            <w:top w:val="none" w:sz="0" w:space="0" w:color="auto"/>
            <w:left w:val="none" w:sz="0" w:space="0" w:color="auto"/>
            <w:bottom w:val="none" w:sz="0" w:space="0" w:color="auto"/>
            <w:right w:val="none" w:sz="0" w:space="0" w:color="auto"/>
          </w:divBdr>
        </w:div>
        <w:div w:id="923150879">
          <w:marLeft w:val="1440"/>
          <w:marRight w:val="0"/>
          <w:marTop w:val="0"/>
          <w:marBottom w:val="101"/>
          <w:divBdr>
            <w:top w:val="none" w:sz="0" w:space="0" w:color="auto"/>
            <w:left w:val="none" w:sz="0" w:space="0" w:color="auto"/>
            <w:bottom w:val="none" w:sz="0" w:space="0" w:color="auto"/>
            <w:right w:val="none" w:sz="0" w:space="0" w:color="auto"/>
          </w:divBdr>
        </w:div>
        <w:div w:id="32314520">
          <w:marLeft w:val="1440"/>
          <w:marRight w:val="0"/>
          <w:marTop w:val="0"/>
          <w:marBottom w:val="101"/>
          <w:divBdr>
            <w:top w:val="none" w:sz="0" w:space="0" w:color="auto"/>
            <w:left w:val="none" w:sz="0" w:space="0" w:color="auto"/>
            <w:bottom w:val="none" w:sz="0" w:space="0" w:color="auto"/>
            <w:right w:val="none" w:sz="0" w:space="0" w:color="auto"/>
          </w:divBdr>
        </w:div>
        <w:div w:id="649484286">
          <w:marLeft w:val="1440"/>
          <w:marRight w:val="0"/>
          <w:marTop w:val="0"/>
          <w:marBottom w:val="101"/>
          <w:divBdr>
            <w:top w:val="none" w:sz="0" w:space="0" w:color="auto"/>
            <w:left w:val="none" w:sz="0" w:space="0" w:color="auto"/>
            <w:bottom w:val="none" w:sz="0" w:space="0" w:color="auto"/>
            <w:right w:val="none" w:sz="0" w:space="0" w:color="auto"/>
          </w:divBdr>
        </w:div>
        <w:div w:id="1310788037">
          <w:marLeft w:val="1440"/>
          <w:marRight w:val="0"/>
          <w:marTop w:val="0"/>
          <w:marBottom w:val="101"/>
          <w:divBdr>
            <w:top w:val="none" w:sz="0" w:space="0" w:color="auto"/>
            <w:left w:val="none" w:sz="0" w:space="0" w:color="auto"/>
            <w:bottom w:val="none" w:sz="0" w:space="0" w:color="auto"/>
            <w:right w:val="none" w:sz="0" w:space="0" w:color="auto"/>
          </w:divBdr>
        </w:div>
        <w:div w:id="1435632168">
          <w:marLeft w:val="1440"/>
          <w:marRight w:val="0"/>
          <w:marTop w:val="0"/>
          <w:marBottom w:val="101"/>
          <w:divBdr>
            <w:top w:val="none" w:sz="0" w:space="0" w:color="auto"/>
            <w:left w:val="none" w:sz="0" w:space="0" w:color="auto"/>
            <w:bottom w:val="none" w:sz="0" w:space="0" w:color="auto"/>
            <w:right w:val="none" w:sz="0" w:space="0" w:color="auto"/>
          </w:divBdr>
        </w:div>
        <w:div w:id="973608536">
          <w:marLeft w:val="1440"/>
          <w:marRight w:val="0"/>
          <w:marTop w:val="0"/>
          <w:marBottom w:val="101"/>
          <w:divBdr>
            <w:top w:val="none" w:sz="0" w:space="0" w:color="auto"/>
            <w:left w:val="none" w:sz="0" w:space="0" w:color="auto"/>
            <w:bottom w:val="none" w:sz="0" w:space="0" w:color="auto"/>
            <w:right w:val="none" w:sz="0" w:space="0" w:color="auto"/>
          </w:divBdr>
        </w:div>
        <w:div w:id="1000692940">
          <w:marLeft w:val="1440"/>
          <w:marRight w:val="0"/>
          <w:marTop w:val="0"/>
          <w:marBottom w:val="101"/>
          <w:divBdr>
            <w:top w:val="none" w:sz="0" w:space="0" w:color="auto"/>
            <w:left w:val="none" w:sz="0" w:space="0" w:color="auto"/>
            <w:bottom w:val="none" w:sz="0" w:space="0" w:color="auto"/>
            <w:right w:val="none" w:sz="0" w:space="0" w:color="auto"/>
          </w:divBdr>
        </w:div>
        <w:div w:id="698704462">
          <w:marLeft w:val="1080"/>
          <w:marRight w:val="0"/>
          <w:marTop w:val="0"/>
          <w:marBottom w:val="101"/>
          <w:divBdr>
            <w:top w:val="none" w:sz="0" w:space="0" w:color="auto"/>
            <w:left w:val="none" w:sz="0" w:space="0" w:color="auto"/>
            <w:bottom w:val="none" w:sz="0" w:space="0" w:color="auto"/>
            <w:right w:val="none" w:sz="0" w:space="0" w:color="auto"/>
          </w:divBdr>
        </w:div>
        <w:div w:id="1684165588">
          <w:marLeft w:val="1080"/>
          <w:marRight w:val="0"/>
          <w:marTop w:val="0"/>
          <w:marBottom w:val="101"/>
          <w:divBdr>
            <w:top w:val="none" w:sz="0" w:space="0" w:color="auto"/>
            <w:left w:val="none" w:sz="0" w:space="0" w:color="auto"/>
            <w:bottom w:val="none" w:sz="0" w:space="0" w:color="auto"/>
            <w:right w:val="none" w:sz="0" w:space="0" w:color="auto"/>
          </w:divBdr>
        </w:div>
        <w:div w:id="392851868">
          <w:marLeft w:val="1080"/>
          <w:marRight w:val="0"/>
          <w:marTop w:val="0"/>
          <w:marBottom w:val="101"/>
          <w:divBdr>
            <w:top w:val="none" w:sz="0" w:space="0" w:color="auto"/>
            <w:left w:val="none" w:sz="0" w:space="0" w:color="auto"/>
            <w:bottom w:val="none" w:sz="0" w:space="0" w:color="auto"/>
            <w:right w:val="none" w:sz="0" w:space="0" w:color="auto"/>
          </w:divBdr>
        </w:div>
        <w:div w:id="513417547">
          <w:marLeft w:val="1080"/>
          <w:marRight w:val="0"/>
          <w:marTop w:val="0"/>
          <w:marBottom w:val="101"/>
          <w:divBdr>
            <w:top w:val="none" w:sz="0" w:space="0" w:color="auto"/>
            <w:left w:val="none" w:sz="0" w:space="0" w:color="auto"/>
            <w:bottom w:val="none" w:sz="0" w:space="0" w:color="auto"/>
            <w:right w:val="none" w:sz="0" w:space="0" w:color="auto"/>
          </w:divBdr>
        </w:div>
        <w:div w:id="1357272945">
          <w:marLeft w:val="1080"/>
          <w:marRight w:val="0"/>
          <w:marTop w:val="0"/>
          <w:marBottom w:val="101"/>
          <w:divBdr>
            <w:top w:val="none" w:sz="0" w:space="0" w:color="auto"/>
            <w:left w:val="none" w:sz="0" w:space="0" w:color="auto"/>
            <w:bottom w:val="none" w:sz="0" w:space="0" w:color="auto"/>
            <w:right w:val="none" w:sz="0" w:space="0" w:color="auto"/>
          </w:divBdr>
        </w:div>
        <w:div w:id="835729700">
          <w:marLeft w:val="1080"/>
          <w:marRight w:val="0"/>
          <w:marTop w:val="0"/>
          <w:marBottom w:val="101"/>
          <w:divBdr>
            <w:top w:val="none" w:sz="0" w:space="0" w:color="auto"/>
            <w:left w:val="none" w:sz="0" w:space="0" w:color="auto"/>
            <w:bottom w:val="none" w:sz="0" w:space="0" w:color="auto"/>
            <w:right w:val="none" w:sz="0" w:space="0" w:color="auto"/>
          </w:divBdr>
        </w:div>
        <w:div w:id="833911195">
          <w:marLeft w:val="0"/>
          <w:marRight w:val="0"/>
          <w:marTop w:val="0"/>
          <w:marBottom w:val="101"/>
          <w:divBdr>
            <w:top w:val="none" w:sz="0" w:space="0" w:color="auto"/>
            <w:left w:val="none" w:sz="0" w:space="0" w:color="auto"/>
            <w:bottom w:val="none" w:sz="0" w:space="0" w:color="auto"/>
            <w:right w:val="none" w:sz="0" w:space="0" w:color="auto"/>
          </w:divBdr>
        </w:div>
        <w:div w:id="1471825341">
          <w:marLeft w:val="1440"/>
          <w:marRight w:val="0"/>
          <w:marTop w:val="0"/>
          <w:marBottom w:val="101"/>
          <w:divBdr>
            <w:top w:val="none" w:sz="0" w:space="0" w:color="auto"/>
            <w:left w:val="none" w:sz="0" w:space="0" w:color="auto"/>
            <w:bottom w:val="none" w:sz="0" w:space="0" w:color="auto"/>
            <w:right w:val="none" w:sz="0" w:space="0" w:color="auto"/>
          </w:divBdr>
        </w:div>
        <w:div w:id="2104572527">
          <w:marLeft w:val="1440"/>
          <w:marRight w:val="0"/>
          <w:marTop w:val="0"/>
          <w:marBottom w:val="101"/>
          <w:divBdr>
            <w:top w:val="none" w:sz="0" w:space="0" w:color="auto"/>
            <w:left w:val="none" w:sz="0" w:space="0" w:color="auto"/>
            <w:bottom w:val="none" w:sz="0" w:space="0" w:color="auto"/>
            <w:right w:val="none" w:sz="0" w:space="0" w:color="auto"/>
          </w:divBdr>
        </w:div>
        <w:div w:id="1316911430">
          <w:marLeft w:val="0"/>
          <w:marRight w:val="0"/>
          <w:marTop w:val="0"/>
          <w:marBottom w:val="101"/>
          <w:divBdr>
            <w:top w:val="none" w:sz="0" w:space="0" w:color="auto"/>
            <w:left w:val="none" w:sz="0" w:space="0" w:color="auto"/>
            <w:bottom w:val="none" w:sz="0" w:space="0" w:color="auto"/>
            <w:right w:val="none" w:sz="0" w:space="0" w:color="auto"/>
          </w:divBdr>
        </w:div>
        <w:div w:id="359942805">
          <w:marLeft w:val="0"/>
          <w:marRight w:val="0"/>
          <w:marTop w:val="0"/>
          <w:marBottom w:val="101"/>
          <w:divBdr>
            <w:top w:val="none" w:sz="0" w:space="0" w:color="auto"/>
            <w:left w:val="none" w:sz="0" w:space="0" w:color="auto"/>
            <w:bottom w:val="none" w:sz="0" w:space="0" w:color="auto"/>
            <w:right w:val="none" w:sz="0" w:space="0" w:color="auto"/>
          </w:divBdr>
        </w:div>
        <w:div w:id="1271548759">
          <w:marLeft w:val="1080"/>
          <w:marRight w:val="0"/>
          <w:marTop w:val="0"/>
          <w:marBottom w:val="101"/>
          <w:divBdr>
            <w:top w:val="none" w:sz="0" w:space="0" w:color="auto"/>
            <w:left w:val="none" w:sz="0" w:space="0" w:color="auto"/>
            <w:bottom w:val="none" w:sz="0" w:space="0" w:color="auto"/>
            <w:right w:val="none" w:sz="0" w:space="0" w:color="auto"/>
          </w:divBdr>
        </w:div>
        <w:div w:id="1437676637">
          <w:marLeft w:val="1080"/>
          <w:marRight w:val="0"/>
          <w:marTop w:val="0"/>
          <w:marBottom w:val="101"/>
          <w:divBdr>
            <w:top w:val="none" w:sz="0" w:space="0" w:color="auto"/>
            <w:left w:val="none" w:sz="0" w:space="0" w:color="auto"/>
            <w:bottom w:val="none" w:sz="0" w:space="0" w:color="auto"/>
            <w:right w:val="none" w:sz="0" w:space="0" w:color="auto"/>
          </w:divBdr>
        </w:div>
        <w:div w:id="1647780727">
          <w:marLeft w:val="1080"/>
          <w:marRight w:val="0"/>
          <w:marTop w:val="0"/>
          <w:marBottom w:val="101"/>
          <w:divBdr>
            <w:top w:val="none" w:sz="0" w:space="0" w:color="auto"/>
            <w:left w:val="none" w:sz="0" w:space="0" w:color="auto"/>
            <w:bottom w:val="none" w:sz="0" w:space="0" w:color="auto"/>
            <w:right w:val="none" w:sz="0" w:space="0" w:color="auto"/>
          </w:divBdr>
        </w:div>
        <w:div w:id="497892896">
          <w:marLeft w:val="1080"/>
          <w:marRight w:val="0"/>
          <w:marTop w:val="0"/>
          <w:marBottom w:val="101"/>
          <w:divBdr>
            <w:top w:val="none" w:sz="0" w:space="0" w:color="auto"/>
            <w:left w:val="none" w:sz="0" w:space="0" w:color="auto"/>
            <w:bottom w:val="none" w:sz="0" w:space="0" w:color="auto"/>
            <w:right w:val="none" w:sz="0" w:space="0" w:color="auto"/>
          </w:divBdr>
        </w:div>
        <w:div w:id="1936205633">
          <w:marLeft w:val="1080"/>
          <w:marRight w:val="0"/>
          <w:marTop w:val="0"/>
          <w:marBottom w:val="101"/>
          <w:divBdr>
            <w:top w:val="none" w:sz="0" w:space="0" w:color="auto"/>
            <w:left w:val="none" w:sz="0" w:space="0" w:color="auto"/>
            <w:bottom w:val="none" w:sz="0" w:space="0" w:color="auto"/>
            <w:right w:val="none" w:sz="0" w:space="0" w:color="auto"/>
          </w:divBdr>
        </w:div>
        <w:div w:id="2025091188">
          <w:marLeft w:val="1080"/>
          <w:marRight w:val="0"/>
          <w:marTop w:val="0"/>
          <w:marBottom w:val="101"/>
          <w:divBdr>
            <w:top w:val="none" w:sz="0" w:space="0" w:color="auto"/>
            <w:left w:val="none" w:sz="0" w:space="0" w:color="auto"/>
            <w:bottom w:val="none" w:sz="0" w:space="0" w:color="auto"/>
            <w:right w:val="none" w:sz="0" w:space="0" w:color="auto"/>
          </w:divBdr>
        </w:div>
        <w:div w:id="1045060352">
          <w:marLeft w:val="1080"/>
          <w:marRight w:val="0"/>
          <w:marTop w:val="0"/>
          <w:marBottom w:val="101"/>
          <w:divBdr>
            <w:top w:val="none" w:sz="0" w:space="0" w:color="auto"/>
            <w:left w:val="none" w:sz="0" w:space="0" w:color="auto"/>
            <w:bottom w:val="none" w:sz="0" w:space="0" w:color="auto"/>
            <w:right w:val="none" w:sz="0" w:space="0" w:color="auto"/>
          </w:divBdr>
        </w:div>
        <w:div w:id="611516937">
          <w:marLeft w:val="1080"/>
          <w:marRight w:val="0"/>
          <w:marTop w:val="0"/>
          <w:marBottom w:val="101"/>
          <w:divBdr>
            <w:top w:val="none" w:sz="0" w:space="0" w:color="auto"/>
            <w:left w:val="none" w:sz="0" w:space="0" w:color="auto"/>
            <w:bottom w:val="none" w:sz="0" w:space="0" w:color="auto"/>
            <w:right w:val="none" w:sz="0" w:space="0" w:color="auto"/>
          </w:divBdr>
        </w:div>
        <w:div w:id="308019453">
          <w:marLeft w:val="1080"/>
          <w:marRight w:val="0"/>
          <w:marTop w:val="0"/>
          <w:marBottom w:val="101"/>
          <w:divBdr>
            <w:top w:val="none" w:sz="0" w:space="0" w:color="auto"/>
            <w:left w:val="none" w:sz="0" w:space="0" w:color="auto"/>
            <w:bottom w:val="none" w:sz="0" w:space="0" w:color="auto"/>
            <w:right w:val="none" w:sz="0" w:space="0" w:color="auto"/>
          </w:divBdr>
        </w:div>
        <w:div w:id="2120830536">
          <w:marLeft w:val="1080"/>
          <w:marRight w:val="0"/>
          <w:marTop w:val="0"/>
          <w:marBottom w:val="80"/>
          <w:divBdr>
            <w:top w:val="none" w:sz="0" w:space="0" w:color="auto"/>
            <w:left w:val="none" w:sz="0" w:space="0" w:color="auto"/>
            <w:bottom w:val="none" w:sz="0" w:space="0" w:color="auto"/>
            <w:right w:val="none" w:sz="0" w:space="0" w:color="auto"/>
          </w:divBdr>
        </w:div>
        <w:div w:id="767193505">
          <w:marLeft w:val="1080"/>
          <w:marRight w:val="0"/>
          <w:marTop w:val="0"/>
          <w:marBottom w:val="80"/>
          <w:divBdr>
            <w:top w:val="none" w:sz="0" w:space="0" w:color="auto"/>
            <w:left w:val="none" w:sz="0" w:space="0" w:color="auto"/>
            <w:bottom w:val="none" w:sz="0" w:space="0" w:color="auto"/>
            <w:right w:val="none" w:sz="0" w:space="0" w:color="auto"/>
          </w:divBdr>
        </w:div>
        <w:div w:id="1167139135">
          <w:marLeft w:val="1080"/>
          <w:marRight w:val="0"/>
          <w:marTop w:val="0"/>
          <w:marBottom w:val="80"/>
          <w:divBdr>
            <w:top w:val="none" w:sz="0" w:space="0" w:color="auto"/>
            <w:left w:val="none" w:sz="0" w:space="0" w:color="auto"/>
            <w:bottom w:val="none" w:sz="0" w:space="0" w:color="auto"/>
            <w:right w:val="none" w:sz="0" w:space="0" w:color="auto"/>
          </w:divBdr>
        </w:div>
        <w:div w:id="1951627328">
          <w:marLeft w:val="1080"/>
          <w:marRight w:val="0"/>
          <w:marTop w:val="0"/>
          <w:marBottom w:val="80"/>
          <w:divBdr>
            <w:top w:val="none" w:sz="0" w:space="0" w:color="auto"/>
            <w:left w:val="none" w:sz="0" w:space="0" w:color="auto"/>
            <w:bottom w:val="none" w:sz="0" w:space="0" w:color="auto"/>
            <w:right w:val="none" w:sz="0" w:space="0" w:color="auto"/>
          </w:divBdr>
        </w:div>
        <w:div w:id="1586761467">
          <w:marLeft w:val="0"/>
          <w:marRight w:val="0"/>
          <w:marTop w:val="0"/>
          <w:marBottom w:val="80"/>
          <w:divBdr>
            <w:top w:val="none" w:sz="0" w:space="0" w:color="auto"/>
            <w:left w:val="none" w:sz="0" w:space="0" w:color="auto"/>
            <w:bottom w:val="none" w:sz="0" w:space="0" w:color="auto"/>
            <w:right w:val="none" w:sz="0" w:space="0" w:color="auto"/>
          </w:divBdr>
        </w:div>
        <w:div w:id="845561552">
          <w:marLeft w:val="1440"/>
          <w:marRight w:val="0"/>
          <w:marTop w:val="0"/>
          <w:marBottom w:val="80"/>
          <w:divBdr>
            <w:top w:val="none" w:sz="0" w:space="0" w:color="auto"/>
            <w:left w:val="none" w:sz="0" w:space="0" w:color="auto"/>
            <w:bottom w:val="none" w:sz="0" w:space="0" w:color="auto"/>
            <w:right w:val="none" w:sz="0" w:space="0" w:color="auto"/>
          </w:divBdr>
        </w:div>
        <w:div w:id="1117480814">
          <w:marLeft w:val="1440"/>
          <w:marRight w:val="0"/>
          <w:marTop w:val="0"/>
          <w:marBottom w:val="80"/>
          <w:divBdr>
            <w:top w:val="none" w:sz="0" w:space="0" w:color="auto"/>
            <w:left w:val="none" w:sz="0" w:space="0" w:color="auto"/>
            <w:bottom w:val="none" w:sz="0" w:space="0" w:color="auto"/>
            <w:right w:val="none" w:sz="0" w:space="0" w:color="auto"/>
          </w:divBdr>
        </w:div>
        <w:div w:id="133450329">
          <w:marLeft w:val="0"/>
          <w:marRight w:val="0"/>
          <w:marTop w:val="0"/>
          <w:marBottom w:val="80"/>
          <w:divBdr>
            <w:top w:val="none" w:sz="0" w:space="0" w:color="auto"/>
            <w:left w:val="none" w:sz="0" w:space="0" w:color="auto"/>
            <w:bottom w:val="none" w:sz="0" w:space="0" w:color="auto"/>
            <w:right w:val="none" w:sz="0" w:space="0" w:color="auto"/>
          </w:divBdr>
        </w:div>
        <w:div w:id="1311788581">
          <w:marLeft w:val="0"/>
          <w:marRight w:val="0"/>
          <w:marTop w:val="0"/>
          <w:marBottom w:val="80"/>
          <w:divBdr>
            <w:top w:val="none" w:sz="0" w:space="0" w:color="auto"/>
            <w:left w:val="none" w:sz="0" w:space="0" w:color="auto"/>
            <w:bottom w:val="none" w:sz="0" w:space="0" w:color="auto"/>
            <w:right w:val="none" w:sz="0" w:space="0" w:color="auto"/>
          </w:divBdr>
        </w:div>
        <w:div w:id="164785417">
          <w:marLeft w:val="1080"/>
          <w:marRight w:val="0"/>
          <w:marTop w:val="0"/>
          <w:marBottom w:val="80"/>
          <w:divBdr>
            <w:top w:val="none" w:sz="0" w:space="0" w:color="auto"/>
            <w:left w:val="none" w:sz="0" w:space="0" w:color="auto"/>
            <w:bottom w:val="none" w:sz="0" w:space="0" w:color="auto"/>
            <w:right w:val="none" w:sz="0" w:space="0" w:color="auto"/>
          </w:divBdr>
        </w:div>
        <w:div w:id="519971916">
          <w:marLeft w:val="1440"/>
          <w:marRight w:val="0"/>
          <w:marTop w:val="0"/>
          <w:marBottom w:val="80"/>
          <w:divBdr>
            <w:top w:val="none" w:sz="0" w:space="0" w:color="auto"/>
            <w:left w:val="none" w:sz="0" w:space="0" w:color="auto"/>
            <w:bottom w:val="none" w:sz="0" w:space="0" w:color="auto"/>
            <w:right w:val="none" w:sz="0" w:space="0" w:color="auto"/>
          </w:divBdr>
        </w:div>
        <w:div w:id="301471723">
          <w:marLeft w:val="1440"/>
          <w:marRight w:val="0"/>
          <w:marTop w:val="0"/>
          <w:marBottom w:val="80"/>
          <w:divBdr>
            <w:top w:val="none" w:sz="0" w:space="0" w:color="auto"/>
            <w:left w:val="none" w:sz="0" w:space="0" w:color="auto"/>
            <w:bottom w:val="none" w:sz="0" w:space="0" w:color="auto"/>
            <w:right w:val="none" w:sz="0" w:space="0" w:color="auto"/>
          </w:divBdr>
        </w:div>
        <w:div w:id="465776060">
          <w:marLeft w:val="1440"/>
          <w:marRight w:val="0"/>
          <w:marTop w:val="0"/>
          <w:marBottom w:val="80"/>
          <w:divBdr>
            <w:top w:val="none" w:sz="0" w:space="0" w:color="auto"/>
            <w:left w:val="none" w:sz="0" w:space="0" w:color="auto"/>
            <w:bottom w:val="none" w:sz="0" w:space="0" w:color="auto"/>
            <w:right w:val="none" w:sz="0" w:space="0" w:color="auto"/>
          </w:divBdr>
        </w:div>
        <w:div w:id="687369781">
          <w:marLeft w:val="1440"/>
          <w:marRight w:val="0"/>
          <w:marTop w:val="0"/>
          <w:marBottom w:val="80"/>
          <w:divBdr>
            <w:top w:val="none" w:sz="0" w:space="0" w:color="auto"/>
            <w:left w:val="none" w:sz="0" w:space="0" w:color="auto"/>
            <w:bottom w:val="none" w:sz="0" w:space="0" w:color="auto"/>
            <w:right w:val="none" w:sz="0" w:space="0" w:color="auto"/>
          </w:divBdr>
        </w:div>
        <w:div w:id="346715171">
          <w:marLeft w:val="1440"/>
          <w:marRight w:val="0"/>
          <w:marTop w:val="0"/>
          <w:marBottom w:val="80"/>
          <w:divBdr>
            <w:top w:val="none" w:sz="0" w:space="0" w:color="auto"/>
            <w:left w:val="none" w:sz="0" w:space="0" w:color="auto"/>
            <w:bottom w:val="none" w:sz="0" w:space="0" w:color="auto"/>
            <w:right w:val="none" w:sz="0" w:space="0" w:color="auto"/>
          </w:divBdr>
        </w:div>
        <w:div w:id="335965552">
          <w:marLeft w:val="1440"/>
          <w:marRight w:val="0"/>
          <w:marTop w:val="0"/>
          <w:marBottom w:val="80"/>
          <w:divBdr>
            <w:top w:val="none" w:sz="0" w:space="0" w:color="auto"/>
            <w:left w:val="none" w:sz="0" w:space="0" w:color="auto"/>
            <w:bottom w:val="none" w:sz="0" w:space="0" w:color="auto"/>
            <w:right w:val="none" w:sz="0" w:space="0" w:color="auto"/>
          </w:divBdr>
        </w:div>
        <w:div w:id="79257255">
          <w:marLeft w:val="1080"/>
          <w:marRight w:val="0"/>
          <w:marTop w:val="0"/>
          <w:marBottom w:val="80"/>
          <w:divBdr>
            <w:top w:val="none" w:sz="0" w:space="0" w:color="auto"/>
            <w:left w:val="none" w:sz="0" w:space="0" w:color="auto"/>
            <w:bottom w:val="none" w:sz="0" w:space="0" w:color="auto"/>
            <w:right w:val="none" w:sz="0" w:space="0" w:color="auto"/>
          </w:divBdr>
        </w:div>
        <w:div w:id="1393968753">
          <w:marLeft w:val="1080"/>
          <w:marRight w:val="0"/>
          <w:marTop w:val="0"/>
          <w:marBottom w:val="80"/>
          <w:divBdr>
            <w:top w:val="none" w:sz="0" w:space="0" w:color="auto"/>
            <w:left w:val="none" w:sz="0" w:space="0" w:color="auto"/>
            <w:bottom w:val="none" w:sz="0" w:space="0" w:color="auto"/>
            <w:right w:val="none" w:sz="0" w:space="0" w:color="auto"/>
          </w:divBdr>
        </w:div>
        <w:div w:id="1727953664">
          <w:marLeft w:val="1080"/>
          <w:marRight w:val="0"/>
          <w:marTop w:val="0"/>
          <w:marBottom w:val="101"/>
          <w:divBdr>
            <w:top w:val="none" w:sz="0" w:space="0" w:color="auto"/>
            <w:left w:val="none" w:sz="0" w:space="0" w:color="auto"/>
            <w:bottom w:val="none" w:sz="0" w:space="0" w:color="auto"/>
            <w:right w:val="none" w:sz="0" w:space="0" w:color="auto"/>
          </w:divBdr>
        </w:div>
        <w:div w:id="1494948259">
          <w:marLeft w:val="1080"/>
          <w:marRight w:val="0"/>
          <w:marTop w:val="0"/>
          <w:marBottom w:val="101"/>
          <w:divBdr>
            <w:top w:val="none" w:sz="0" w:space="0" w:color="auto"/>
            <w:left w:val="none" w:sz="0" w:space="0" w:color="auto"/>
            <w:bottom w:val="none" w:sz="0" w:space="0" w:color="auto"/>
            <w:right w:val="none" w:sz="0" w:space="0" w:color="auto"/>
          </w:divBdr>
        </w:div>
        <w:div w:id="434834900">
          <w:marLeft w:val="1440"/>
          <w:marRight w:val="0"/>
          <w:marTop w:val="0"/>
          <w:marBottom w:val="101"/>
          <w:divBdr>
            <w:top w:val="none" w:sz="0" w:space="0" w:color="auto"/>
            <w:left w:val="none" w:sz="0" w:space="0" w:color="auto"/>
            <w:bottom w:val="none" w:sz="0" w:space="0" w:color="auto"/>
            <w:right w:val="none" w:sz="0" w:space="0" w:color="auto"/>
          </w:divBdr>
        </w:div>
        <w:div w:id="2045399577">
          <w:marLeft w:val="1872"/>
          <w:marRight w:val="0"/>
          <w:marTop w:val="0"/>
          <w:marBottom w:val="101"/>
          <w:divBdr>
            <w:top w:val="none" w:sz="0" w:space="0" w:color="auto"/>
            <w:left w:val="none" w:sz="0" w:space="0" w:color="auto"/>
            <w:bottom w:val="none" w:sz="0" w:space="0" w:color="auto"/>
            <w:right w:val="none" w:sz="0" w:space="0" w:color="auto"/>
          </w:divBdr>
        </w:div>
        <w:div w:id="666792231">
          <w:marLeft w:val="1872"/>
          <w:marRight w:val="0"/>
          <w:marTop w:val="0"/>
          <w:marBottom w:val="101"/>
          <w:divBdr>
            <w:top w:val="none" w:sz="0" w:space="0" w:color="auto"/>
            <w:left w:val="none" w:sz="0" w:space="0" w:color="auto"/>
            <w:bottom w:val="none" w:sz="0" w:space="0" w:color="auto"/>
            <w:right w:val="none" w:sz="0" w:space="0" w:color="auto"/>
          </w:divBdr>
        </w:div>
        <w:div w:id="29497908">
          <w:marLeft w:val="1872"/>
          <w:marRight w:val="0"/>
          <w:marTop w:val="0"/>
          <w:marBottom w:val="101"/>
          <w:divBdr>
            <w:top w:val="none" w:sz="0" w:space="0" w:color="auto"/>
            <w:left w:val="none" w:sz="0" w:space="0" w:color="auto"/>
            <w:bottom w:val="none" w:sz="0" w:space="0" w:color="auto"/>
            <w:right w:val="none" w:sz="0" w:space="0" w:color="auto"/>
          </w:divBdr>
        </w:div>
        <w:div w:id="1549872340">
          <w:marLeft w:val="1872"/>
          <w:marRight w:val="0"/>
          <w:marTop w:val="0"/>
          <w:marBottom w:val="101"/>
          <w:divBdr>
            <w:top w:val="none" w:sz="0" w:space="0" w:color="auto"/>
            <w:left w:val="none" w:sz="0" w:space="0" w:color="auto"/>
            <w:bottom w:val="none" w:sz="0" w:space="0" w:color="auto"/>
            <w:right w:val="none" w:sz="0" w:space="0" w:color="auto"/>
          </w:divBdr>
        </w:div>
        <w:div w:id="1585146254">
          <w:marLeft w:val="1872"/>
          <w:marRight w:val="0"/>
          <w:marTop w:val="0"/>
          <w:marBottom w:val="101"/>
          <w:divBdr>
            <w:top w:val="none" w:sz="0" w:space="0" w:color="auto"/>
            <w:left w:val="none" w:sz="0" w:space="0" w:color="auto"/>
            <w:bottom w:val="none" w:sz="0" w:space="0" w:color="auto"/>
            <w:right w:val="none" w:sz="0" w:space="0" w:color="auto"/>
          </w:divBdr>
        </w:div>
        <w:div w:id="511913275">
          <w:marLeft w:val="1872"/>
          <w:marRight w:val="0"/>
          <w:marTop w:val="0"/>
          <w:marBottom w:val="101"/>
          <w:divBdr>
            <w:top w:val="none" w:sz="0" w:space="0" w:color="auto"/>
            <w:left w:val="none" w:sz="0" w:space="0" w:color="auto"/>
            <w:bottom w:val="none" w:sz="0" w:space="0" w:color="auto"/>
            <w:right w:val="none" w:sz="0" w:space="0" w:color="auto"/>
          </w:divBdr>
        </w:div>
        <w:div w:id="1078400170">
          <w:marLeft w:val="1440"/>
          <w:marRight w:val="0"/>
          <w:marTop w:val="0"/>
          <w:marBottom w:val="101"/>
          <w:divBdr>
            <w:top w:val="none" w:sz="0" w:space="0" w:color="auto"/>
            <w:left w:val="none" w:sz="0" w:space="0" w:color="auto"/>
            <w:bottom w:val="none" w:sz="0" w:space="0" w:color="auto"/>
            <w:right w:val="none" w:sz="0" w:space="0" w:color="auto"/>
          </w:divBdr>
        </w:div>
        <w:div w:id="1014842150">
          <w:marLeft w:val="1440"/>
          <w:marRight w:val="0"/>
          <w:marTop w:val="0"/>
          <w:marBottom w:val="101"/>
          <w:divBdr>
            <w:top w:val="none" w:sz="0" w:space="0" w:color="auto"/>
            <w:left w:val="none" w:sz="0" w:space="0" w:color="auto"/>
            <w:bottom w:val="none" w:sz="0" w:space="0" w:color="auto"/>
            <w:right w:val="none" w:sz="0" w:space="0" w:color="auto"/>
          </w:divBdr>
        </w:div>
        <w:div w:id="671252473">
          <w:marLeft w:val="1800"/>
          <w:marRight w:val="0"/>
          <w:marTop w:val="0"/>
          <w:marBottom w:val="101"/>
          <w:divBdr>
            <w:top w:val="none" w:sz="0" w:space="0" w:color="auto"/>
            <w:left w:val="none" w:sz="0" w:space="0" w:color="auto"/>
            <w:bottom w:val="none" w:sz="0" w:space="0" w:color="auto"/>
            <w:right w:val="none" w:sz="0" w:space="0" w:color="auto"/>
          </w:divBdr>
        </w:div>
        <w:div w:id="501552297">
          <w:marLeft w:val="1800"/>
          <w:marRight w:val="0"/>
          <w:marTop w:val="0"/>
          <w:marBottom w:val="101"/>
          <w:divBdr>
            <w:top w:val="none" w:sz="0" w:space="0" w:color="auto"/>
            <w:left w:val="none" w:sz="0" w:space="0" w:color="auto"/>
            <w:bottom w:val="none" w:sz="0" w:space="0" w:color="auto"/>
            <w:right w:val="none" w:sz="0" w:space="0" w:color="auto"/>
          </w:divBdr>
        </w:div>
        <w:div w:id="527182727">
          <w:marLeft w:val="1800"/>
          <w:marRight w:val="0"/>
          <w:marTop w:val="0"/>
          <w:marBottom w:val="101"/>
          <w:divBdr>
            <w:top w:val="none" w:sz="0" w:space="0" w:color="auto"/>
            <w:left w:val="none" w:sz="0" w:space="0" w:color="auto"/>
            <w:bottom w:val="none" w:sz="0" w:space="0" w:color="auto"/>
            <w:right w:val="none" w:sz="0" w:space="0" w:color="auto"/>
          </w:divBdr>
        </w:div>
        <w:div w:id="1948000570">
          <w:marLeft w:val="1800"/>
          <w:marRight w:val="0"/>
          <w:marTop w:val="0"/>
          <w:marBottom w:val="101"/>
          <w:divBdr>
            <w:top w:val="none" w:sz="0" w:space="0" w:color="auto"/>
            <w:left w:val="none" w:sz="0" w:space="0" w:color="auto"/>
            <w:bottom w:val="none" w:sz="0" w:space="0" w:color="auto"/>
            <w:right w:val="none" w:sz="0" w:space="0" w:color="auto"/>
          </w:divBdr>
        </w:div>
        <w:div w:id="762727720">
          <w:marLeft w:val="1800"/>
          <w:marRight w:val="0"/>
          <w:marTop w:val="0"/>
          <w:marBottom w:val="101"/>
          <w:divBdr>
            <w:top w:val="none" w:sz="0" w:space="0" w:color="auto"/>
            <w:left w:val="none" w:sz="0" w:space="0" w:color="auto"/>
            <w:bottom w:val="none" w:sz="0" w:space="0" w:color="auto"/>
            <w:right w:val="none" w:sz="0" w:space="0" w:color="auto"/>
          </w:divBdr>
        </w:div>
        <w:div w:id="302349044">
          <w:marLeft w:val="1440"/>
          <w:marRight w:val="0"/>
          <w:marTop w:val="0"/>
          <w:marBottom w:val="101"/>
          <w:divBdr>
            <w:top w:val="none" w:sz="0" w:space="0" w:color="auto"/>
            <w:left w:val="none" w:sz="0" w:space="0" w:color="auto"/>
            <w:bottom w:val="none" w:sz="0" w:space="0" w:color="auto"/>
            <w:right w:val="none" w:sz="0" w:space="0" w:color="auto"/>
          </w:divBdr>
        </w:div>
        <w:div w:id="226696178">
          <w:marLeft w:val="1800"/>
          <w:marRight w:val="0"/>
          <w:marTop w:val="0"/>
          <w:marBottom w:val="101"/>
          <w:divBdr>
            <w:top w:val="none" w:sz="0" w:space="0" w:color="auto"/>
            <w:left w:val="none" w:sz="0" w:space="0" w:color="auto"/>
            <w:bottom w:val="none" w:sz="0" w:space="0" w:color="auto"/>
            <w:right w:val="none" w:sz="0" w:space="0" w:color="auto"/>
          </w:divBdr>
        </w:div>
        <w:div w:id="519393808">
          <w:marLeft w:val="1800"/>
          <w:marRight w:val="0"/>
          <w:marTop w:val="0"/>
          <w:marBottom w:val="101"/>
          <w:divBdr>
            <w:top w:val="none" w:sz="0" w:space="0" w:color="auto"/>
            <w:left w:val="none" w:sz="0" w:space="0" w:color="auto"/>
            <w:bottom w:val="none" w:sz="0" w:space="0" w:color="auto"/>
            <w:right w:val="none" w:sz="0" w:space="0" w:color="auto"/>
          </w:divBdr>
        </w:div>
        <w:div w:id="1154108521">
          <w:marLeft w:val="1080"/>
          <w:marRight w:val="0"/>
          <w:marTop w:val="0"/>
          <w:marBottom w:val="101"/>
          <w:divBdr>
            <w:top w:val="none" w:sz="0" w:space="0" w:color="auto"/>
            <w:left w:val="none" w:sz="0" w:space="0" w:color="auto"/>
            <w:bottom w:val="none" w:sz="0" w:space="0" w:color="auto"/>
            <w:right w:val="none" w:sz="0" w:space="0" w:color="auto"/>
          </w:divBdr>
        </w:div>
        <w:div w:id="1863202938">
          <w:marLeft w:val="1080"/>
          <w:marRight w:val="0"/>
          <w:marTop w:val="0"/>
          <w:marBottom w:val="101"/>
          <w:divBdr>
            <w:top w:val="none" w:sz="0" w:space="0" w:color="auto"/>
            <w:left w:val="none" w:sz="0" w:space="0" w:color="auto"/>
            <w:bottom w:val="none" w:sz="0" w:space="0" w:color="auto"/>
            <w:right w:val="none" w:sz="0" w:space="0" w:color="auto"/>
          </w:divBdr>
        </w:div>
        <w:div w:id="721294777">
          <w:marLeft w:val="1080"/>
          <w:marRight w:val="0"/>
          <w:marTop w:val="0"/>
          <w:marBottom w:val="101"/>
          <w:divBdr>
            <w:top w:val="none" w:sz="0" w:space="0" w:color="auto"/>
            <w:left w:val="none" w:sz="0" w:space="0" w:color="auto"/>
            <w:bottom w:val="none" w:sz="0" w:space="0" w:color="auto"/>
            <w:right w:val="none" w:sz="0" w:space="0" w:color="auto"/>
          </w:divBdr>
        </w:div>
        <w:div w:id="2059694714">
          <w:marLeft w:val="1080"/>
          <w:marRight w:val="0"/>
          <w:marTop w:val="0"/>
          <w:marBottom w:val="101"/>
          <w:divBdr>
            <w:top w:val="none" w:sz="0" w:space="0" w:color="auto"/>
            <w:left w:val="none" w:sz="0" w:space="0" w:color="auto"/>
            <w:bottom w:val="none" w:sz="0" w:space="0" w:color="auto"/>
            <w:right w:val="none" w:sz="0" w:space="0" w:color="auto"/>
          </w:divBdr>
        </w:div>
        <w:div w:id="1452357779">
          <w:marLeft w:val="1080"/>
          <w:marRight w:val="0"/>
          <w:marTop w:val="0"/>
          <w:marBottom w:val="101"/>
          <w:divBdr>
            <w:top w:val="none" w:sz="0" w:space="0" w:color="auto"/>
            <w:left w:val="none" w:sz="0" w:space="0" w:color="auto"/>
            <w:bottom w:val="none" w:sz="0" w:space="0" w:color="auto"/>
            <w:right w:val="none" w:sz="0" w:space="0" w:color="auto"/>
          </w:divBdr>
        </w:div>
        <w:div w:id="1708408865">
          <w:marLeft w:val="1080"/>
          <w:marRight w:val="0"/>
          <w:marTop w:val="0"/>
          <w:marBottom w:val="101"/>
          <w:divBdr>
            <w:top w:val="none" w:sz="0" w:space="0" w:color="auto"/>
            <w:left w:val="none" w:sz="0" w:space="0" w:color="auto"/>
            <w:bottom w:val="none" w:sz="0" w:space="0" w:color="auto"/>
            <w:right w:val="none" w:sz="0" w:space="0" w:color="auto"/>
          </w:divBdr>
        </w:div>
        <w:div w:id="1534265660">
          <w:marLeft w:val="1080"/>
          <w:marRight w:val="0"/>
          <w:marTop w:val="0"/>
          <w:marBottom w:val="101"/>
          <w:divBdr>
            <w:top w:val="none" w:sz="0" w:space="0" w:color="auto"/>
            <w:left w:val="none" w:sz="0" w:space="0" w:color="auto"/>
            <w:bottom w:val="none" w:sz="0" w:space="0" w:color="auto"/>
            <w:right w:val="none" w:sz="0" w:space="0" w:color="auto"/>
          </w:divBdr>
        </w:div>
        <w:div w:id="1058478502">
          <w:marLeft w:val="1080"/>
          <w:marRight w:val="0"/>
          <w:marTop w:val="0"/>
          <w:marBottom w:val="101"/>
          <w:divBdr>
            <w:top w:val="none" w:sz="0" w:space="0" w:color="auto"/>
            <w:left w:val="none" w:sz="0" w:space="0" w:color="auto"/>
            <w:bottom w:val="none" w:sz="0" w:space="0" w:color="auto"/>
            <w:right w:val="none" w:sz="0" w:space="0" w:color="auto"/>
          </w:divBdr>
        </w:div>
        <w:div w:id="2016036584">
          <w:marLeft w:val="1080"/>
          <w:marRight w:val="0"/>
          <w:marTop w:val="0"/>
          <w:marBottom w:val="101"/>
          <w:divBdr>
            <w:top w:val="none" w:sz="0" w:space="0" w:color="auto"/>
            <w:left w:val="none" w:sz="0" w:space="0" w:color="auto"/>
            <w:bottom w:val="none" w:sz="0" w:space="0" w:color="auto"/>
            <w:right w:val="none" w:sz="0" w:space="0" w:color="auto"/>
          </w:divBdr>
        </w:div>
        <w:div w:id="1497264732">
          <w:marLeft w:val="1080"/>
          <w:marRight w:val="0"/>
          <w:marTop w:val="0"/>
          <w:marBottom w:val="101"/>
          <w:divBdr>
            <w:top w:val="none" w:sz="0" w:space="0" w:color="auto"/>
            <w:left w:val="none" w:sz="0" w:space="0" w:color="auto"/>
            <w:bottom w:val="none" w:sz="0" w:space="0" w:color="auto"/>
            <w:right w:val="none" w:sz="0" w:space="0" w:color="auto"/>
          </w:divBdr>
        </w:div>
        <w:div w:id="1344429869">
          <w:marLeft w:val="1080"/>
          <w:marRight w:val="0"/>
          <w:marTop w:val="0"/>
          <w:marBottom w:val="101"/>
          <w:divBdr>
            <w:top w:val="none" w:sz="0" w:space="0" w:color="auto"/>
            <w:left w:val="none" w:sz="0" w:space="0" w:color="auto"/>
            <w:bottom w:val="none" w:sz="0" w:space="0" w:color="auto"/>
            <w:right w:val="none" w:sz="0" w:space="0" w:color="auto"/>
          </w:divBdr>
        </w:div>
        <w:div w:id="1592353352">
          <w:marLeft w:val="1080"/>
          <w:marRight w:val="0"/>
          <w:marTop w:val="0"/>
          <w:marBottom w:val="101"/>
          <w:divBdr>
            <w:top w:val="none" w:sz="0" w:space="0" w:color="auto"/>
            <w:left w:val="none" w:sz="0" w:space="0" w:color="auto"/>
            <w:bottom w:val="none" w:sz="0" w:space="0" w:color="auto"/>
            <w:right w:val="none" w:sz="0" w:space="0" w:color="auto"/>
          </w:divBdr>
        </w:div>
        <w:div w:id="448089125">
          <w:marLeft w:val="1080"/>
          <w:marRight w:val="0"/>
          <w:marTop w:val="0"/>
          <w:marBottom w:val="101"/>
          <w:divBdr>
            <w:top w:val="none" w:sz="0" w:space="0" w:color="auto"/>
            <w:left w:val="none" w:sz="0" w:space="0" w:color="auto"/>
            <w:bottom w:val="none" w:sz="0" w:space="0" w:color="auto"/>
            <w:right w:val="none" w:sz="0" w:space="0" w:color="auto"/>
          </w:divBdr>
        </w:div>
        <w:div w:id="1321999373">
          <w:marLeft w:val="1080"/>
          <w:marRight w:val="0"/>
          <w:marTop w:val="0"/>
          <w:marBottom w:val="101"/>
          <w:divBdr>
            <w:top w:val="none" w:sz="0" w:space="0" w:color="auto"/>
            <w:left w:val="none" w:sz="0" w:space="0" w:color="auto"/>
            <w:bottom w:val="none" w:sz="0" w:space="0" w:color="auto"/>
            <w:right w:val="none" w:sz="0" w:space="0" w:color="auto"/>
          </w:divBdr>
        </w:div>
        <w:div w:id="636448421">
          <w:marLeft w:val="1080"/>
          <w:marRight w:val="0"/>
          <w:marTop w:val="0"/>
          <w:marBottom w:val="101"/>
          <w:divBdr>
            <w:top w:val="none" w:sz="0" w:space="0" w:color="auto"/>
            <w:left w:val="none" w:sz="0" w:space="0" w:color="auto"/>
            <w:bottom w:val="none" w:sz="0" w:space="0" w:color="auto"/>
            <w:right w:val="none" w:sz="0" w:space="0" w:color="auto"/>
          </w:divBdr>
        </w:div>
        <w:div w:id="1752700817">
          <w:marLeft w:val="1080"/>
          <w:marRight w:val="0"/>
          <w:marTop w:val="0"/>
          <w:marBottom w:val="101"/>
          <w:divBdr>
            <w:top w:val="none" w:sz="0" w:space="0" w:color="auto"/>
            <w:left w:val="none" w:sz="0" w:space="0" w:color="auto"/>
            <w:bottom w:val="none" w:sz="0" w:space="0" w:color="auto"/>
            <w:right w:val="none" w:sz="0" w:space="0" w:color="auto"/>
          </w:divBdr>
        </w:div>
        <w:div w:id="860123454">
          <w:marLeft w:val="1080"/>
          <w:marRight w:val="0"/>
          <w:marTop w:val="0"/>
          <w:marBottom w:val="101"/>
          <w:divBdr>
            <w:top w:val="none" w:sz="0" w:space="0" w:color="auto"/>
            <w:left w:val="none" w:sz="0" w:space="0" w:color="auto"/>
            <w:bottom w:val="none" w:sz="0" w:space="0" w:color="auto"/>
            <w:right w:val="none" w:sz="0" w:space="0" w:color="auto"/>
          </w:divBdr>
        </w:div>
        <w:div w:id="76679526">
          <w:marLeft w:val="1080"/>
          <w:marRight w:val="0"/>
          <w:marTop w:val="0"/>
          <w:marBottom w:val="101"/>
          <w:divBdr>
            <w:top w:val="none" w:sz="0" w:space="0" w:color="auto"/>
            <w:left w:val="none" w:sz="0" w:space="0" w:color="auto"/>
            <w:bottom w:val="none" w:sz="0" w:space="0" w:color="auto"/>
            <w:right w:val="none" w:sz="0" w:space="0" w:color="auto"/>
          </w:divBdr>
        </w:div>
        <w:div w:id="489367046">
          <w:marLeft w:val="1080"/>
          <w:marRight w:val="0"/>
          <w:marTop w:val="0"/>
          <w:marBottom w:val="101"/>
          <w:divBdr>
            <w:top w:val="none" w:sz="0" w:space="0" w:color="auto"/>
            <w:left w:val="none" w:sz="0" w:space="0" w:color="auto"/>
            <w:bottom w:val="none" w:sz="0" w:space="0" w:color="auto"/>
            <w:right w:val="none" w:sz="0" w:space="0" w:color="auto"/>
          </w:divBdr>
        </w:div>
        <w:div w:id="1421830289">
          <w:marLeft w:val="1080"/>
          <w:marRight w:val="0"/>
          <w:marTop w:val="0"/>
          <w:marBottom w:val="101"/>
          <w:divBdr>
            <w:top w:val="none" w:sz="0" w:space="0" w:color="auto"/>
            <w:left w:val="none" w:sz="0" w:space="0" w:color="auto"/>
            <w:bottom w:val="none" w:sz="0" w:space="0" w:color="auto"/>
            <w:right w:val="none" w:sz="0" w:space="0" w:color="auto"/>
          </w:divBdr>
        </w:div>
        <w:div w:id="490407440">
          <w:marLeft w:val="1080"/>
          <w:marRight w:val="0"/>
          <w:marTop w:val="0"/>
          <w:marBottom w:val="101"/>
          <w:divBdr>
            <w:top w:val="none" w:sz="0" w:space="0" w:color="auto"/>
            <w:left w:val="none" w:sz="0" w:space="0" w:color="auto"/>
            <w:bottom w:val="none" w:sz="0" w:space="0" w:color="auto"/>
            <w:right w:val="none" w:sz="0" w:space="0" w:color="auto"/>
          </w:divBdr>
        </w:div>
        <w:div w:id="440880970">
          <w:marLeft w:val="1080"/>
          <w:marRight w:val="0"/>
          <w:marTop w:val="0"/>
          <w:marBottom w:val="101"/>
          <w:divBdr>
            <w:top w:val="none" w:sz="0" w:space="0" w:color="auto"/>
            <w:left w:val="none" w:sz="0" w:space="0" w:color="auto"/>
            <w:bottom w:val="none" w:sz="0" w:space="0" w:color="auto"/>
            <w:right w:val="none" w:sz="0" w:space="0" w:color="auto"/>
          </w:divBdr>
        </w:div>
        <w:div w:id="1766338801">
          <w:marLeft w:val="1080"/>
          <w:marRight w:val="0"/>
          <w:marTop w:val="0"/>
          <w:marBottom w:val="101"/>
          <w:divBdr>
            <w:top w:val="none" w:sz="0" w:space="0" w:color="auto"/>
            <w:left w:val="none" w:sz="0" w:space="0" w:color="auto"/>
            <w:bottom w:val="none" w:sz="0" w:space="0" w:color="auto"/>
            <w:right w:val="none" w:sz="0" w:space="0" w:color="auto"/>
          </w:divBdr>
        </w:div>
        <w:div w:id="335227789">
          <w:marLeft w:val="1080"/>
          <w:marRight w:val="0"/>
          <w:marTop w:val="0"/>
          <w:marBottom w:val="101"/>
          <w:divBdr>
            <w:top w:val="none" w:sz="0" w:space="0" w:color="auto"/>
            <w:left w:val="none" w:sz="0" w:space="0" w:color="auto"/>
            <w:bottom w:val="none" w:sz="0" w:space="0" w:color="auto"/>
            <w:right w:val="none" w:sz="0" w:space="0" w:color="auto"/>
          </w:divBdr>
        </w:div>
        <w:div w:id="1507476982">
          <w:marLeft w:val="1080"/>
          <w:marRight w:val="0"/>
          <w:marTop w:val="0"/>
          <w:marBottom w:val="101"/>
          <w:divBdr>
            <w:top w:val="none" w:sz="0" w:space="0" w:color="auto"/>
            <w:left w:val="none" w:sz="0" w:space="0" w:color="auto"/>
            <w:bottom w:val="none" w:sz="0" w:space="0" w:color="auto"/>
            <w:right w:val="none" w:sz="0" w:space="0" w:color="auto"/>
          </w:divBdr>
        </w:div>
        <w:div w:id="208423795">
          <w:marLeft w:val="1440"/>
          <w:marRight w:val="0"/>
          <w:marTop w:val="0"/>
          <w:marBottom w:val="101"/>
          <w:divBdr>
            <w:top w:val="none" w:sz="0" w:space="0" w:color="auto"/>
            <w:left w:val="none" w:sz="0" w:space="0" w:color="auto"/>
            <w:bottom w:val="none" w:sz="0" w:space="0" w:color="auto"/>
            <w:right w:val="none" w:sz="0" w:space="0" w:color="auto"/>
          </w:divBdr>
        </w:div>
        <w:div w:id="704328638">
          <w:marLeft w:val="1440"/>
          <w:marRight w:val="0"/>
          <w:marTop w:val="0"/>
          <w:marBottom w:val="101"/>
          <w:divBdr>
            <w:top w:val="none" w:sz="0" w:space="0" w:color="auto"/>
            <w:left w:val="none" w:sz="0" w:space="0" w:color="auto"/>
            <w:bottom w:val="none" w:sz="0" w:space="0" w:color="auto"/>
            <w:right w:val="none" w:sz="0" w:space="0" w:color="auto"/>
          </w:divBdr>
        </w:div>
        <w:div w:id="335422815">
          <w:marLeft w:val="1440"/>
          <w:marRight w:val="0"/>
          <w:marTop w:val="0"/>
          <w:marBottom w:val="101"/>
          <w:divBdr>
            <w:top w:val="none" w:sz="0" w:space="0" w:color="auto"/>
            <w:left w:val="none" w:sz="0" w:space="0" w:color="auto"/>
            <w:bottom w:val="none" w:sz="0" w:space="0" w:color="auto"/>
            <w:right w:val="none" w:sz="0" w:space="0" w:color="auto"/>
          </w:divBdr>
        </w:div>
        <w:div w:id="805783567">
          <w:marLeft w:val="1080"/>
          <w:marRight w:val="0"/>
          <w:marTop w:val="0"/>
          <w:marBottom w:val="101"/>
          <w:divBdr>
            <w:top w:val="none" w:sz="0" w:space="0" w:color="auto"/>
            <w:left w:val="none" w:sz="0" w:space="0" w:color="auto"/>
            <w:bottom w:val="none" w:sz="0" w:space="0" w:color="auto"/>
            <w:right w:val="none" w:sz="0" w:space="0" w:color="auto"/>
          </w:divBdr>
        </w:div>
        <w:div w:id="385567254">
          <w:marLeft w:val="1080"/>
          <w:marRight w:val="0"/>
          <w:marTop w:val="0"/>
          <w:marBottom w:val="101"/>
          <w:divBdr>
            <w:top w:val="none" w:sz="0" w:space="0" w:color="auto"/>
            <w:left w:val="none" w:sz="0" w:space="0" w:color="auto"/>
            <w:bottom w:val="none" w:sz="0" w:space="0" w:color="auto"/>
            <w:right w:val="none" w:sz="0" w:space="0" w:color="auto"/>
          </w:divBdr>
        </w:div>
        <w:div w:id="1354957042">
          <w:marLeft w:val="1080"/>
          <w:marRight w:val="0"/>
          <w:marTop w:val="0"/>
          <w:marBottom w:val="101"/>
          <w:divBdr>
            <w:top w:val="none" w:sz="0" w:space="0" w:color="auto"/>
            <w:left w:val="none" w:sz="0" w:space="0" w:color="auto"/>
            <w:bottom w:val="none" w:sz="0" w:space="0" w:color="auto"/>
            <w:right w:val="none" w:sz="0" w:space="0" w:color="auto"/>
          </w:divBdr>
        </w:div>
        <w:div w:id="1183864624">
          <w:marLeft w:val="1080"/>
          <w:marRight w:val="0"/>
          <w:marTop w:val="0"/>
          <w:marBottom w:val="101"/>
          <w:divBdr>
            <w:top w:val="none" w:sz="0" w:space="0" w:color="auto"/>
            <w:left w:val="none" w:sz="0" w:space="0" w:color="auto"/>
            <w:bottom w:val="none" w:sz="0" w:space="0" w:color="auto"/>
            <w:right w:val="none" w:sz="0" w:space="0" w:color="auto"/>
          </w:divBdr>
        </w:div>
        <w:div w:id="25756360">
          <w:marLeft w:val="1080"/>
          <w:marRight w:val="0"/>
          <w:marTop w:val="0"/>
          <w:marBottom w:val="101"/>
          <w:divBdr>
            <w:top w:val="none" w:sz="0" w:space="0" w:color="auto"/>
            <w:left w:val="none" w:sz="0" w:space="0" w:color="auto"/>
            <w:bottom w:val="none" w:sz="0" w:space="0" w:color="auto"/>
            <w:right w:val="none" w:sz="0" w:space="0" w:color="auto"/>
          </w:divBdr>
        </w:div>
        <w:div w:id="1009523390">
          <w:marLeft w:val="1080"/>
          <w:marRight w:val="0"/>
          <w:marTop w:val="0"/>
          <w:marBottom w:val="101"/>
          <w:divBdr>
            <w:top w:val="none" w:sz="0" w:space="0" w:color="auto"/>
            <w:left w:val="none" w:sz="0" w:space="0" w:color="auto"/>
            <w:bottom w:val="none" w:sz="0" w:space="0" w:color="auto"/>
            <w:right w:val="none" w:sz="0" w:space="0" w:color="auto"/>
          </w:divBdr>
        </w:div>
        <w:div w:id="201135513">
          <w:marLeft w:val="1440"/>
          <w:marRight w:val="0"/>
          <w:marTop w:val="0"/>
          <w:marBottom w:val="101"/>
          <w:divBdr>
            <w:top w:val="none" w:sz="0" w:space="0" w:color="auto"/>
            <w:left w:val="none" w:sz="0" w:space="0" w:color="auto"/>
            <w:bottom w:val="none" w:sz="0" w:space="0" w:color="auto"/>
            <w:right w:val="none" w:sz="0" w:space="0" w:color="auto"/>
          </w:divBdr>
        </w:div>
        <w:div w:id="722563960">
          <w:marLeft w:val="1440"/>
          <w:marRight w:val="0"/>
          <w:marTop w:val="0"/>
          <w:marBottom w:val="101"/>
          <w:divBdr>
            <w:top w:val="none" w:sz="0" w:space="0" w:color="auto"/>
            <w:left w:val="none" w:sz="0" w:space="0" w:color="auto"/>
            <w:bottom w:val="none" w:sz="0" w:space="0" w:color="auto"/>
            <w:right w:val="none" w:sz="0" w:space="0" w:color="auto"/>
          </w:divBdr>
        </w:div>
        <w:div w:id="1739740800">
          <w:marLeft w:val="1440"/>
          <w:marRight w:val="0"/>
          <w:marTop w:val="0"/>
          <w:marBottom w:val="101"/>
          <w:divBdr>
            <w:top w:val="none" w:sz="0" w:space="0" w:color="auto"/>
            <w:left w:val="none" w:sz="0" w:space="0" w:color="auto"/>
            <w:bottom w:val="none" w:sz="0" w:space="0" w:color="auto"/>
            <w:right w:val="none" w:sz="0" w:space="0" w:color="auto"/>
          </w:divBdr>
        </w:div>
        <w:div w:id="57099816">
          <w:marLeft w:val="1440"/>
          <w:marRight w:val="0"/>
          <w:marTop w:val="0"/>
          <w:marBottom w:val="101"/>
          <w:divBdr>
            <w:top w:val="none" w:sz="0" w:space="0" w:color="auto"/>
            <w:left w:val="none" w:sz="0" w:space="0" w:color="auto"/>
            <w:bottom w:val="none" w:sz="0" w:space="0" w:color="auto"/>
            <w:right w:val="none" w:sz="0" w:space="0" w:color="auto"/>
          </w:divBdr>
        </w:div>
        <w:div w:id="2013529760">
          <w:marLeft w:val="1440"/>
          <w:marRight w:val="0"/>
          <w:marTop w:val="0"/>
          <w:marBottom w:val="101"/>
          <w:divBdr>
            <w:top w:val="none" w:sz="0" w:space="0" w:color="auto"/>
            <w:left w:val="none" w:sz="0" w:space="0" w:color="auto"/>
            <w:bottom w:val="none" w:sz="0" w:space="0" w:color="auto"/>
            <w:right w:val="none" w:sz="0" w:space="0" w:color="auto"/>
          </w:divBdr>
        </w:div>
        <w:div w:id="782266303">
          <w:marLeft w:val="1080"/>
          <w:marRight w:val="0"/>
          <w:marTop w:val="0"/>
          <w:marBottom w:val="101"/>
          <w:divBdr>
            <w:top w:val="none" w:sz="0" w:space="0" w:color="auto"/>
            <w:left w:val="none" w:sz="0" w:space="0" w:color="auto"/>
            <w:bottom w:val="none" w:sz="0" w:space="0" w:color="auto"/>
            <w:right w:val="none" w:sz="0" w:space="0" w:color="auto"/>
          </w:divBdr>
        </w:div>
        <w:div w:id="501433473">
          <w:marLeft w:val="1440"/>
          <w:marRight w:val="0"/>
          <w:marTop w:val="0"/>
          <w:marBottom w:val="101"/>
          <w:divBdr>
            <w:top w:val="none" w:sz="0" w:space="0" w:color="auto"/>
            <w:left w:val="none" w:sz="0" w:space="0" w:color="auto"/>
            <w:bottom w:val="none" w:sz="0" w:space="0" w:color="auto"/>
            <w:right w:val="none" w:sz="0" w:space="0" w:color="auto"/>
          </w:divBdr>
        </w:div>
        <w:div w:id="562377969">
          <w:marLeft w:val="1440"/>
          <w:marRight w:val="0"/>
          <w:marTop w:val="0"/>
          <w:marBottom w:val="101"/>
          <w:divBdr>
            <w:top w:val="none" w:sz="0" w:space="0" w:color="auto"/>
            <w:left w:val="none" w:sz="0" w:space="0" w:color="auto"/>
            <w:bottom w:val="none" w:sz="0" w:space="0" w:color="auto"/>
            <w:right w:val="none" w:sz="0" w:space="0" w:color="auto"/>
          </w:divBdr>
        </w:div>
        <w:div w:id="111482987">
          <w:marLeft w:val="1440"/>
          <w:marRight w:val="0"/>
          <w:marTop w:val="0"/>
          <w:marBottom w:val="101"/>
          <w:divBdr>
            <w:top w:val="none" w:sz="0" w:space="0" w:color="auto"/>
            <w:left w:val="none" w:sz="0" w:space="0" w:color="auto"/>
            <w:bottom w:val="none" w:sz="0" w:space="0" w:color="auto"/>
            <w:right w:val="none" w:sz="0" w:space="0" w:color="auto"/>
          </w:divBdr>
        </w:div>
        <w:div w:id="1602372642">
          <w:marLeft w:val="1080"/>
          <w:marRight w:val="0"/>
          <w:marTop w:val="0"/>
          <w:marBottom w:val="101"/>
          <w:divBdr>
            <w:top w:val="none" w:sz="0" w:space="0" w:color="auto"/>
            <w:left w:val="none" w:sz="0" w:space="0" w:color="auto"/>
            <w:bottom w:val="none" w:sz="0" w:space="0" w:color="auto"/>
            <w:right w:val="none" w:sz="0" w:space="0" w:color="auto"/>
          </w:divBdr>
        </w:div>
        <w:div w:id="1474829682">
          <w:marLeft w:val="1080"/>
          <w:marRight w:val="0"/>
          <w:marTop w:val="0"/>
          <w:marBottom w:val="101"/>
          <w:divBdr>
            <w:top w:val="none" w:sz="0" w:space="0" w:color="auto"/>
            <w:left w:val="none" w:sz="0" w:space="0" w:color="auto"/>
            <w:bottom w:val="none" w:sz="0" w:space="0" w:color="auto"/>
            <w:right w:val="none" w:sz="0" w:space="0" w:color="auto"/>
          </w:divBdr>
        </w:div>
        <w:div w:id="1080903376">
          <w:marLeft w:val="1080"/>
          <w:marRight w:val="0"/>
          <w:marTop w:val="0"/>
          <w:marBottom w:val="101"/>
          <w:divBdr>
            <w:top w:val="none" w:sz="0" w:space="0" w:color="auto"/>
            <w:left w:val="none" w:sz="0" w:space="0" w:color="auto"/>
            <w:bottom w:val="none" w:sz="0" w:space="0" w:color="auto"/>
            <w:right w:val="none" w:sz="0" w:space="0" w:color="auto"/>
          </w:divBdr>
        </w:div>
        <w:div w:id="732775020">
          <w:marLeft w:val="1080"/>
          <w:marRight w:val="0"/>
          <w:marTop w:val="0"/>
          <w:marBottom w:val="101"/>
          <w:divBdr>
            <w:top w:val="none" w:sz="0" w:space="0" w:color="auto"/>
            <w:left w:val="none" w:sz="0" w:space="0" w:color="auto"/>
            <w:bottom w:val="none" w:sz="0" w:space="0" w:color="auto"/>
            <w:right w:val="none" w:sz="0" w:space="0" w:color="auto"/>
          </w:divBdr>
        </w:div>
        <w:div w:id="1195073217">
          <w:marLeft w:val="1080"/>
          <w:marRight w:val="0"/>
          <w:marTop w:val="0"/>
          <w:marBottom w:val="101"/>
          <w:divBdr>
            <w:top w:val="none" w:sz="0" w:space="0" w:color="auto"/>
            <w:left w:val="none" w:sz="0" w:space="0" w:color="auto"/>
            <w:bottom w:val="none" w:sz="0" w:space="0" w:color="auto"/>
            <w:right w:val="none" w:sz="0" w:space="0" w:color="auto"/>
          </w:divBdr>
        </w:div>
        <w:div w:id="815993184">
          <w:marLeft w:val="1080"/>
          <w:marRight w:val="0"/>
          <w:marTop w:val="0"/>
          <w:marBottom w:val="101"/>
          <w:divBdr>
            <w:top w:val="none" w:sz="0" w:space="0" w:color="auto"/>
            <w:left w:val="none" w:sz="0" w:space="0" w:color="auto"/>
            <w:bottom w:val="none" w:sz="0" w:space="0" w:color="auto"/>
            <w:right w:val="none" w:sz="0" w:space="0" w:color="auto"/>
          </w:divBdr>
        </w:div>
        <w:div w:id="204294767">
          <w:marLeft w:val="1440"/>
          <w:marRight w:val="0"/>
          <w:marTop w:val="0"/>
          <w:marBottom w:val="101"/>
          <w:divBdr>
            <w:top w:val="none" w:sz="0" w:space="0" w:color="auto"/>
            <w:left w:val="none" w:sz="0" w:space="0" w:color="auto"/>
            <w:bottom w:val="none" w:sz="0" w:space="0" w:color="auto"/>
            <w:right w:val="none" w:sz="0" w:space="0" w:color="auto"/>
          </w:divBdr>
        </w:div>
        <w:div w:id="897401581">
          <w:marLeft w:val="1440"/>
          <w:marRight w:val="0"/>
          <w:marTop w:val="0"/>
          <w:marBottom w:val="101"/>
          <w:divBdr>
            <w:top w:val="none" w:sz="0" w:space="0" w:color="auto"/>
            <w:left w:val="none" w:sz="0" w:space="0" w:color="auto"/>
            <w:bottom w:val="none" w:sz="0" w:space="0" w:color="auto"/>
            <w:right w:val="none" w:sz="0" w:space="0" w:color="auto"/>
          </w:divBdr>
        </w:div>
        <w:div w:id="694036669">
          <w:marLeft w:val="0"/>
          <w:marRight w:val="0"/>
          <w:marTop w:val="0"/>
          <w:marBottom w:val="101"/>
          <w:divBdr>
            <w:top w:val="none" w:sz="0" w:space="0" w:color="auto"/>
            <w:left w:val="none" w:sz="0" w:space="0" w:color="auto"/>
            <w:bottom w:val="none" w:sz="0" w:space="0" w:color="auto"/>
            <w:right w:val="none" w:sz="0" w:space="0" w:color="auto"/>
          </w:divBdr>
        </w:div>
        <w:div w:id="1859738819">
          <w:marLeft w:val="0"/>
          <w:marRight w:val="0"/>
          <w:marTop w:val="0"/>
          <w:marBottom w:val="101"/>
          <w:divBdr>
            <w:top w:val="none" w:sz="0" w:space="0" w:color="auto"/>
            <w:left w:val="none" w:sz="0" w:space="0" w:color="auto"/>
            <w:bottom w:val="none" w:sz="0" w:space="0" w:color="auto"/>
            <w:right w:val="none" w:sz="0" w:space="0" w:color="auto"/>
          </w:divBdr>
        </w:div>
        <w:div w:id="1150832262">
          <w:marLeft w:val="0"/>
          <w:marRight w:val="0"/>
          <w:marTop w:val="0"/>
          <w:marBottom w:val="101"/>
          <w:divBdr>
            <w:top w:val="none" w:sz="0" w:space="0" w:color="auto"/>
            <w:left w:val="none" w:sz="0" w:space="0" w:color="auto"/>
            <w:bottom w:val="none" w:sz="0" w:space="0" w:color="auto"/>
            <w:right w:val="none" w:sz="0" w:space="0" w:color="auto"/>
          </w:divBdr>
        </w:div>
        <w:div w:id="2072148624">
          <w:marLeft w:val="0"/>
          <w:marRight w:val="0"/>
          <w:marTop w:val="0"/>
          <w:marBottom w:val="101"/>
          <w:divBdr>
            <w:top w:val="none" w:sz="0" w:space="0" w:color="auto"/>
            <w:left w:val="none" w:sz="0" w:space="0" w:color="auto"/>
            <w:bottom w:val="none" w:sz="0" w:space="0" w:color="auto"/>
            <w:right w:val="none" w:sz="0" w:space="0" w:color="auto"/>
          </w:divBdr>
        </w:div>
        <w:div w:id="438137336">
          <w:marLeft w:val="1440"/>
          <w:marRight w:val="0"/>
          <w:marTop w:val="0"/>
          <w:marBottom w:val="101"/>
          <w:divBdr>
            <w:top w:val="none" w:sz="0" w:space="0" w:color="auto"/>
            <w:left w:val="none" w:sz="0" w:space="0" w:color="auto"/>
            <w:bottom w:val="none" w:sz="0" w:space="0" w:color="auto"/>
            <w:right w:val="none" w:sz="0" w:space="0" w:color="auto"/>
          </w:divBdr>
        </w:div>
        <w:div w:id="1474448321">
          <w:marLeft w:val="1440"/>
          <w:marRight w:val="0"/>
          <w:marTop w:val="0"/>
          <w:marBottom w:val="101"/>
          <w:divBdr>
            <w:top w:val="none" w:sz="0" w:space="0" w:color="auto"/>
            <w:left w:val="none" w:sz="0" w:space="0" w:color="auto"/>
            <w:bottom w:val="none" w:sz="0" w:space="0" w:color="auto"/>
            <w:right w:val="none" w:sz="0" w:space="0" w:color="auto"/>
          </w:divBdr>
        </w:div>
        <w:div w:id="1016081011">
          <w:marLeft w:val="0"/>
          <w:marRight w:val="0"/>
          <w:marTop w:val="0"/>
          <w:marBottom w:val="101"/>
          <w:divBdr>
            <w:top w:val="none" w:sz="0" w:space="0" w:color="auto"/>
            <w:left w:val="none" w:sz="0" w:space="0" w:color="auto"/>
            <w:bottom w:val="none" w:sz="0" w:space="0" w:color="auto"/>
            <w:right w:val="none" w:sz="0" w:space="0" w:color="auto"/>
          </w:divBdr>
        </w:div>
        <w:div w:id="169375604">
          <w:marLeft w:val="1080"/>
          <w:marRight w:val="0"/>
          <w:marTop w:val="0"/>
          <w:marBottom w:val="101"/>
          <w:divBdr>
            <w:top w:val="none" w:sz="0" w:space="0" w:color="auto"/>
            <w:left w:val="none" w:sz="0" w:space="0" w:color="auto"/>
            <w:bottom w:val="none" w:sz="0" w:space="0" w:color="auto"/>
            <w:right w:val="none" w:sz="0" w:space="0" w:color="auto"/>
          </w:divBdr>
        </w:div>
        <w:div w:id="1539049096">
          <w:marLeft w:val="1080"/>
          <w:marRight w:val="0"/>
          <w:marTop w:val="0"/>
          <w:marBottom w:val="101"/>
          <w:divBdr>
            <w:top w:val="none" w:sz="0" w:space="0" w:color="auto"/>
            <w:left w:val="none" w:sz="0" w:space="0" w:color="auto"/>
            <w:bottom w:val="none" w:sz="0" w:space="0" w:color="auto"/>
            <w:right w:val="none" w:sz="0" w:space="0" w:color="auto"/>
          </w:divBdr>
        </w:div>
        <w:div w:id="544489504">
          <w:marLeft w:val="1080"/>
          <w:marRight w:val="0"/>
          <w:marTop w:val="0"/>
          <w:marBottom w:val="101"/>
          <w:divBdr>
            <w:top w:val="none" w:sz="0" w:space="0" w:color="auto"/>
            <w:left w:val="none" w:sz="0" w:space="0" w:color="auto"/>
            <w:bottom w:val="none" w:sz="0" w:space="0" w:color="auto"/>
            <w:right w:val="none" w:sz="0" w:space="0" w:color="auto"/>
          </w:divBdr>
        </w:div>
        <w:div w:id="610359918">
          <w:marLeft w:val="1080"/>
          <w:marRight w:val="0"/>
          <w:marTop w:val="0"/>
          <w:marBottom w:val="101"/>
          <w:divBdr>
            <w:top w:val="none" w:sz="0" w:space="0" w:color="auto"/>
            <w:left w:val="none" w:sz="0" w:space="0" w:color="auto"/>
            <w:bottom w:val="none" w:sz="0" w:space="0" w:color="auto"/>
            <w:right w:val="none" w:sz="0" w:space="0" w:color="auto"/>
          </w:divBdr>
        </w:div>
        <w:div w:id="1441801815">
          <w:marLeft w:val="1080"/>
          <w:marRight w:val="0"/>
          <w:marTop w:val="0"/>
          <w:marBottom w:val="101"/>
          <w:divBdr>
            <w:top w:val="none" w:sz="0" w:space="0" w:color="auto"/>
            <w:left w:val="none" w:sz="0" w:space="0" w:color="auto"/>
            <w:bottom w:val="none" w:sz="0" w:space="0" w:color="auto"/>
            <w:right w:val="none" w:sz="0" w:space="0" w:color="auto"/>
          </w:divBdr>
        </w:div>
        <w:div w:id="2000958515">
          <w:marLeft w:val="1080"/>
          <w:marRight w:val="0"/>
          <w:marTop w:val="0"/>
          <w:marBottom w:val="101"/>
          <w:divBdr>
            <w:top w:val="none" w:sz="0" w:space="0" w:color="auto"/>
            <w:left w:val="none" w:sz="0" w:space="0" w:color="auto"/>
            <w:bottom w:val="none" w:sz="0" w:space="0" w:color="auto"/>
            <w:right w:val="none" w:sz="0" w:space="0" w:color="auto"/>
          </w:divBdr>
        </w:div>
        <w:div w:id="448088788">
          <w:marLeft w:val="1440"/>
          <w:marRight w:val="0"/>
          <w:marTop w:val="0"/>
          <w:marBottom w:val="101"/>
          <w:divBdr>
            <w:top w:val="none" w:sz="0" w:space="0" w:color="auto"/>
            <w:left w:val="none" w:sz="0" w:space="0" w:color="auto"/>
            <w:bottom w:val="none" w:sz="0" w:space="0" w:color="auto"/>
            <w:right w:val="none" w:sz="0" w:space="0" w:color="auto"/>
          </w:divBdr>
        </w:div>
        <w:div w:id="1428498747">
          <w:marLeft w:val="1440"/>
          <w:marRight w:val="0"/>
          <w:marTop w:val="0"/>
          <w:marBottom w:val="101"/>
          <w:divBdr>
            <w:top w:val="none" w:sz="0" w:space="0" w:color="auto"/>
            <w:left w:val="none" w:sz="0" w:space="0" w:color="auto"/>
            <w:bottom w:val="none" w:sz="0" w:space="0" w:color="auto"/>
            <w:right w:val="none" w:sz="0" w:space="0" w:color="auto"/>
          </w:divBdr>
        </w:div>
        <w:div w:id="1199927926">
          <w:marLeft w:val="1440"/>
          <w:marRight w:val="0"/>
          <w:marTop w:val="0"/>
          <w:marBottom w:val="101"/>
          <w:divBdr>
            <w:top w:val="none" w:sz="0" w:space="0" w:color="auto"/>
            <w:left w:val="none" w:sz="0" w:space="0" w:color="auto"/>
            <w:bottom w:val="none" w:sz="0" w:space="0" w:color="auto"/>
            <w:right w:val="none" w:sz="0" w:space="0" w:color="auto"/>
          </w:divBdr>
        </w:div>
        <w:div w:id="1129519834">
          <w:marLeft w:val="1440"/>
          <w:marRight w:val="0"/>
          <w:marTop w:val="0"/>
          <w:marBottom w:val="101"/>
          <w:divBdr>
            <w:top w:val="none" w:sz="0" w:space="0" w:color="auto"/>
            <w:left w:val="none" w:sz="0" w:space="0" w:color="auto"/>
            <w:bottom w:val="none" w:sz="0" w:space="0" w:color="auto"/>
            <w:right w:val="none" w:sz="0" w:space="0" w:color="auto"/>
          </w:divBdr>
        </w:div>
        <w:div w:id="614823635">
          <w:marLeft w:val="1080"/>
          <w:marRight w:val="0"/>
          <w:marTop w:val="0"/>
          <w:marBottom w:val="101"/>
          <w:divBdr>
            <w:top w:val="none" w:sz="0" w:space="0" w:color="auto"/>
            <w:left w:val="none" w:sz="0" w:space="0" w:color="auto"/>
            <w:bottom w:val="none" w:sz="0" w:space="0" w:color="auto"/>
            <w:right w:val="none" w:sz="0" w:space="0" w:color="auto"/>
          </w:divBdr>
        </w:div>
        <w:div w:id="983242999">
          <w:marLeft w:val="1080"/>
          <w:marRight w:val="0"/>
          <w:marTop w:val="0"/>
          <w:marBottom w:val="101"/>
          <w:divBdr>
            <w:top w:val="none" w:sz="0" w:space="0" w:color="auto"/>
            <w:left w:val="none" w:sz="0" w:space="0" w:color="auto"/>
            <w:bottom w:val="none" w:sz="0" w:space="0" w:color="auto"/>
            <w:right w:val="none" w:sz="0" w:space="0" w:color="auto"/>
          </w:divBdr>
        </w:div>
        <w:div w:id="965892078">
          <w:marLeft w:val="1080"/>
          <w:marRight w:val="0"/>
          <w:marTop w:val="0"/>
          <w:marBottom w:val="101"/>
          <w:divBdr>
            <w:top w:val="none" w:sz="0" w:space="0" w:color="auto"/>
            <w:left w:val="none" w:sz="0" w:space="0" w:color="auto"/>
            <w:bottom w:val="none" w:sz="0" w:space="0" w:color="auto"/>
            <w:right w:val="none" w:sz="0" w:space="0" w:color="auto"/>
          </w:divBdr>
        </w:div>
        <w:div w:id="1608465332">
          <w:marLeft w:val="1080"/>
          <w:marRight w:val="0"/>
          <w:marTop w:val="0"/>
          <w:marBottom w:val="101"/>
          <w:divBdr>
            <w:top w:val="none" w:sz="0" w:space="0" w:color="auto"/>
            <w:left w:val="none" w:sz="0" w:space="0" w:color="auto"/>
            <w:bottom w:val="none" w:sz="0" w:space="0" w:color="auto"/>
            <w:right w:val="none" w:sz="0" w:space="0" w:color="auto"/>
          </w:divBdr>
        </w:div>
        <w:div w:id="233275128">
          <w:marLeft w:val="1440"/>
          <w:marRight w:val="0"/>
          <w:marTop w:val="0"/>
          <w:marBottom w:val="101"/>
          <w:divBdr>
            <w:top w:val="none" w:sz="0" w:space="0" w:color="auto"/>
            <w:left w:val="none" w:sz="0" w:space="0" w:color="auto"/>
            <w:bottom w:val="none" w:sz="0" w:space="0" w:color="auto"/>
            <w:right w:val="none" w:sz="0" w:space="0" w:color="auto"/>
          </w:divBdr>
        </w:div>
        <w:div w:id="468517160">
          <w:marLeft w:val="1440"/>
          <w:marRight w:val="0"/>
          <w:marTop w:val="0"/>
          <w:marBottom w:val="101"/>
          <w:divBdr>
            <w:top w:val="none" w:sz="0" w:space="0" w:color="auto"/>
            <w:left w:val="none" w:sz="0" w:space="0" w:color="auto"/>
            <w:bottom w:val="none" w:sz="0" w:space="0" w:color="auto"/>
            <w:right w:val="none" w:sz="0" w:space="0" w:color="auto"/>
          </w:divBdr>
        </w:div>
        <w:div w:id="1511145700">
          <w:marLeft w:val="1080"/>
          <w:marRight w:val="0"/>
          <w:marTop w:val="0"/>
          <w:marBottom w:val="101"/>
          <w:divBdr>
            <w:top w:val="none" w:sz="0" w:space="0" w:color="auto"/>
            <w:left w:val="none" w:sz="0" w:space="0" w:color="auto"/>
            <w:bottom w:val="none" w:sz="0" w:space="0" w:color="auto"/>
            <w:right w:val="none" w:sz="0" w:space="0" w:color="auto"/>
          </w:divBdr>
        </w:div>
        <w:div w:id="2142920608">
          <w:marLeft w:val="1080"/>
          <w:marRight w:val="0"/>
          <w:marTop w:val="0"/>
          <w:marBottom w:val="101"/>
          <w:divBdr>
            <w:top w:val="none" w:sz="0" w:space="0" w:color="auto"/>
            <w:left w:val="none" w:sz="0" w:space="0" w:color="auto"/>
            <w:bottom w:val="none" w:sz="0" w:space="0" w:color="auto"/>
            <w:right w:val="none" w:sz="0" w:space="0" w:color="auto"/>
          </w:divBdr>
        </w:div>
        <w:div w:id="299969298">
          <w:marLeft w:val="0"/>
          <w:marRight w:val="0"/>
          <w:marTop w:val="0"/>
          <w:marBottom w:val="101"/>
          <w:divBdr>
            <w:top w:val="none" w:sz="0" w:space="0" w:color="auto"/>
            <w:left w:val="none" w:sz="0" w:space="0" w:color="auto"/>
            <w:bottom w:val="none" w:sz="0" w:space="0" w:color="auto"/>
            <w:right w:val="none" w:sz="0" w:space="0" w:color="auto"/>
          </w:divBdr>
        </w:div>
        <w:div w:id="1480734039">
          <w:marLeft w:val="0"/>
          <w:marRight w:val="0"/>
          <w:marTop w:val="0"/>
          <w:marBottom w:val="101"/>
          <w:divBdr>
            <w:top w:val="none" w:sz="0" w:space="0" w:color="auto"/>
            <w:left w:val="none" w:sz="0" w:space="0" w:color="auto"/>
            <w:bottom w:val="none" w:sz="0" w:space="0" w:color="auto"/>
            <w:right w:val="none" w:sz="0" w:space="0" w:color="auto"/>
          </w:divBdr>
        </w:div>
        <w:div w:id="1618566159">
          <w:marLeft w:val="1440"/>
          <w:marRight w:val="0"/>
          <w:marTop w:val="0"/>
          <w:marBottom w:val="101"/>
          <w:divBdr>
            <w:top w:val="none" w:sz="0" w:space="0" w:color="auto"/>
            <w:left w:val="none" w:sz="0" w:space="0" w:color="auto"/>
            <w:bottom w:val="none" w:sz="0" w:space="0" w:color="auto"/>
            <w:right w:val="none" w:sz="0" w:space="0" w:color="auto"/>
          </w:divBdr>
        </w:div>
        <w:div w:id="1293436348">
          <w:marLeft w:val="1440"/>
          <w:marRight w:val="0"/>
          <w:marTop w:val="0"/>
          <w:marBottom w:val="101"/>
          <w:divBdr>
            <w:top w:val="none" w:sz="0" w:space="0" w:color="auto"/>
            <w:left w:val="none" w:sz="0" w:space="0" w:color="auto"/>
            <w:bottom w:val="none" w:sz="0" w:space="0" w:color="auto"/>
            <w:right w:val="none" w:sz="0" w:space="0" w:color="auto"/>
          </w:divBdr>
        </w:div>
        <w:div w:id="1327443818">
          <w:marLeft w:val="0"/>
          <w:marRight w:val="0"/>
          <w:marTop w:val="0"/>
          <w:marBottom w:val="101"/>
          <w:divBdr>
            <w:top w:val="none" w:sz="0" w:space="0" w:color="auto"/>
            <w:left w:val="none" w:sz="0" w:space="0" w:color="auto"/>
            <w:bottom w:val="none" w:sz="0" w:space="0" w:color="auto"/>
            <w:right w:val="none" w:sz="0" w:space="0" w:color="auto"/>
          </w:divBdr>
        </w:div>
        <w:div w:id="412816765">
          <w:marLeft w:val="0"/>
          <w:marRight w:val="0"/>
          <w:marTop w:val="0"/>
          <w:marBottom w:val="101"/>
          <w:divBdr>
            <w:top w:val="none" w:sz="0" w:space="0" w:color="auto"/>
            <w:left w:val="none" w:sz="0" w:space="0" w:color="auto"/>
            <w:bottom w:val="none" w:sz="0" w:space="0" w:color="auto"/>
            <w:right w:val="none" w:sz="0" w:space="0" w:color="auto"/>
          </w:divBdr>
        </w:div>
        <w:div w:id="1969898234">
          <w:marLeft w:val="0"/>
          <w:marRight w:val="0"/>
          <w:marTop w:val="0"/>
          <w:marBottom w:val="101"/>
          <w:divBdr>
            <w:top w:val="none" w:sz="0" w:space="0" w:color="auto"/>
            <w:left w:val="none" w:sz="0" w:space="0" w:color="auto"/>
            <w:bottom w:val="none" w:sz="0" w:space="0" w:color="auto"/>
            <w:right w:val="none" w:sz="0" w:space="0" w:color="auto"/>
          </w:divBdr>
        </w:div>
        <w:div w:id="170993732">
          <w:marLeft w:val="1080"/>
          <w:marRight w:val="0"/>
          <w:marTop w:val="0"/>
          <w:marBottom w:val="101"/>
          <w:divBdr>
            <w:top w:val="none" w:sz="0" w:space="0" w:color="auto"/>
            <w:left w:val="none" w:sz="0" w:space="0" w:color="auto"/>
            <w:bottom w:val="none" w:sz="0" w:space="0" w:color="auto"/>
            <w:right w:val="none" w:sz="0" w:space="0" w:color="auto"/>
          </w:divBdr>
        </w:div>
        <w:div w:id="1030254284">
          <w:marLeft w:val="1080"/>
          <w:marRight w:val="0"/>
          <w:marTop w:val="0"/>
          <w:marBottom w:val="101"/>
          <w:divBdr>
            <w:top w:val="none" w:sz="0" w:space="0" w:color="auto"/>
            <w:left w:val="none" w:sz="0" w:space="0" w:color="auto"/>
            <w:bottom w:val="none" w:sz="0" w:space="0" w:color="auto"/>
            <w:right w:val="none" w:sz="0" w:space="0" w:color="auto"/>
          </w:divBdr>
        </w:div>
        <w:div w:id="807935037">
          <w:marLeft w:val="1080"/>
          <w:marRight w:val="0"/>
          <w:marTop w:val="0"/>
          <w:marBottom w:val="101"/>
          <w:divBdr>
            <w:top w:val="none" w:sz="0" w:space="0" w:color="auto"/>
            <w:left w:val="none" w:sz="0" w:space="0" w:color="auto"/>
            <w:bottom w:val="none" w:sz="0" w:space="0" w:color="auto"/>
            <w:right w:val="none" w:sz="0" w:space="0" w:color="auto"/>
          </w:divBdr>
        </w:div>
        <w:div w:id="1404446589">
          <w:marLeft w:val="0"/>
          <w:marRight w:val="0"/>
          <w:marTop w:val="0"/>
          <w:marBottom w:val="101"/>
          <w:divBdr>
            <w:top w:val="none" w:sz="0" w:space="0" w:color="auto"/>
            <w:left w:val="none" w:sz="0" w:space="0" w:color="auto"/>
            <w:bottom w:val="none" w:sz="0" w:space="0" w:color="auto"/>
            <w:right w:val="none" w:sz="0" w:space="0" w:color="auto"/>
          </w:divBdr>
        </w:div>
        <w:div w:id="2118216316">
          <w:marLeft w:val="1440"/>
          <w:marRight w:val="0"/>
          <w:marTop w:val="0"/>
          <w:marBottom w:val="101"/>
          <w:divBdr>
            <w:top w:val="none" w:sz="0" w:space="0" w:color="auto"/>
            <w:left w:val="none" w:sz="0" w:space="0" w:color="auto"/>
            <w:bottom w:val="none" w:sz="0" w:space="0" w:color="auto"/>
            <w:right w:val="none" w:sz="0" w:space="0" w:color="auto"/>
          </w:divBdr>
        </w:div>
        <w:div w:id="916938728">
          <w:marLeft w:val="1440"/>
          <w:marRight w:val="0"/>
          <w:marTop w:val="0"/>
          <w:marBottom w:val="101"/>
          <w:divBdr>
            <w:top w:val="none" w:sz="0" w:space="0" w:color="auto"/>
            <w:left w:val="none" w:sz="0" w:space="0" w:color="auto"/>
            <w:bottom w:val="none" w:sz="0" w:space="0" w:color="auto"/>
            <w:right w:val="none" w:sz="0" w:space="0" w:color="auto"/>
          </w:divBdr>
        </w:div>
        <w:div w:id="1748917839">
          <w:marLeft w:val="0"/>
          <w:marRight w:val="0"/>
          <w:marTop w:val="0"/>
          <w:marBottom w:val="101"/>
          <w:divBdr>
            <w:top w:val="none" w:sz="0" w:space="0" w:color="auto"/>
            <w:left w:val="none" w:sz="0" w:space="0" w:color="auto"/>
            <w:bottom w:val="none" w:sz="0" w:space="0" w:color="auto"/>
            <w:right w:val="none" w:sz="0" w:space="0" w:color="auto"/>
          </w:divBdr>
        </w:div>
        <w:div w:id="552499939">
          <w:marLeft w:val="0"/>
          <w:marRight w:val="0"/>
          <w:marTop w:val="0"/>
          <w:marBottom w:val="101"/>
          <w:divBdr>
            <w:top w:val="none" w:sz="0" w:space="0" w:color="auto"/>
            <w:left w:val="none" w:sz="0" w:space="0" w:color="auto"/>
            <w:bottom w:val="none" w:sz="0" w:space="0" w:color="auto"/>
            <w:right w:val="none" w:sz="0" w:space="0" w:color="auto"/>
          </w:divBdr>
        </w:div>
        <w:div w:id="118766887">
          <w:marLeft w:val="1080"/>
          <w:marRight w:val="0"/>
          <w:marTop w:val="0"/>
          <w:marBottom w:val="101"/>
          <w:divBdr>
            <w:top w:val="none" w:sz="0" w:space="0" w:color="auto"/>
            <w:left w:val="none" w:sz="0" w:space="0" w:color="auto"/>
            <w:bottom w:val="none" w:sz="0" w:space="0" w:color="auto"/>
            <w:right w:val="none" w:sz="0" w:space="0" w:color="auto"/>
          </w:divBdr>
        </w:div>
        <w:div w:id="342585146">
          <w:marLeft w:val="1080"/>
          <w:marRight w:val="0"/>
          <w:marTop w:val="0"/>
          <w:marBottom w:val="101"/>
          <w:divBdr>
            <w:top w:val="none" w:sz="0" w:space="0" w:color="auto"/>
            <w:left w:val="none" w:sz="0" w:space="0" w:color="auto"/>
            <w:bottom w:val="none" w:sz="0" w:space="0" w:color="auto"/>
            <w:right w:val="none" w:sz="0" w:space="0" w:color="auto"/>
          </w:divBdr>
        </w:div>
        <w:div w:id="503982329">
          <w:marLeft w:val="0"/>
          <w:marRight w:val="0"/>
          <w:marTop w:val="0"/>
          <w:marBottom w:val="101"/>
          <w:divBdr>
            <w:top w:val="none" w:sz="0" w:space="0" w:color="auto"/>
            <w:left w:val="none" w:sz="0" w:space="0" w:color="auto"/>
            <w:bottom w:val="none" w:sz="0" w:space="0" w:color="auto"/>
            <w:right w:val="none" w:sz="0" w:space="0" w:color="auto"/>
          </w:divBdr>
        </w:div>
        <w:div w:id="1633169134">
          <w:marLeft w:val="1080"/>
          <w:marRight w:val="0"/>
          <w:marTop w:val="0"/>
          <w:marBottom w:val="101"/>
          <w:divBdr>
            <w:top w:val="none" w:sz="0" w:space="0" w:color="auto"/>
            <w:left w:val="none" w:sz="0" w:space="0" w:color="auto"/>
            <w:bottom w:val="none" w:sz="0" w:space="0" w:color="auto"/>
            <w:right w:val="none" w:sz="0" w:space="0" w:color="auto"/>
          </w:divBdr>
        </w:div>
        <w:div w:id="1985546042">
          <w:marLeft w:val="1080"/>
          <w:marRight w:val="0"/>
          <w:marTop w:val="0"/>
          <w:marBottom w:val="101"/>
          <w:divBdr>
            <w:top w:val="none" w:sz="0" w:space="0" w:color="auto"/>
            <w:left w:val="none" w:sz="0" w:space="0" w:color="auto"/>
            <w:bottom w:val="none" w:sz="0" w:space="0" w:color="auto"/>
            <w:right w:val="none" w:sz="0" w:space="0" w:color="auto"/>
          </w:divBdr>
        </w:div>
        <w:div w:id="1295063825">
          <w:marLeft w:val="1080"/>
          <w:marRight w:val="0"/>
          <w:marTop w:val="0"/>
          <w:marBottom w:val="101"/>
          <w:divBdr>
            <w:top w:val="none" w:sz="0" w:space="0" w:color="auto"/>
            <w:left w:val="none" w:sz="0" w:space="0" w:color="auto"/>
            <w:bottom w:val="none" w:sz="0" w:space="0" w:color="auto"/>
            <w:right w:val="none" w:sz="0" w:space="0" w:color="auto"/>
          </w:divBdr>
        </w:div>
        <w:div w:id="1641574900">
          <w:marLeft w:val="1080"/>
          <w:marRight w:val="0"/>
          <w:marTop w:val="0"/>
          <w:marBottom w:val="101"/>
          <w:divBdr>
            <w:top w:val="none" w:sz="0" w:space="0" w:color="auto"/>
            <w:left w:val="none" w:sz="0" w:space="0" w:color="auto"/>
            <w:bottom w:val="none" w:sz="0" w:space="0" w:color="auto"/>
            <w:right w:val="none" w:sz="0" w:space="0" w:color="auto"/>
          </w:divBdr>
        </w:div>
        <w:div w:id="1229414291">
          <w:marLeft w:val="1080"/>
          <w:marRight w:val="0"/>
          <w:marTop w:val="0"/>
          <w:marBottom w:val="101"/>
          <w:divBdr>
            <w:top w:val="none" w:sz="0" w:space="0" w:color="auto"/>
            <w:left w:val="none" w:sz="0" w:space="0" w:color="auto"/>
            <w:bottom w:val="none" w:sz="0" w:space="0" w:color="auto"/>
            <w:right w:val="none" w:sz="0" w:space="0" w:color="auto"/>
          </w:divBdr>
        </w:div>
        <w:div w:id="492838734">
          <w:marLeft w:val="1080"/>
          <w:marRight w:val="0"/>
          <w:marTop w:val="0"/>
          <w:marBottom w:val="101"/>
          <w:divBdr>
            <w:top w:val="none" w:sz="0" w:space="0" w:color="auto"/>
            <w:left w:val="none" w:sz="0" w:space="0" w:color="auto"/>
            <w:bottom w:val="none" w:sz="0" w:space="0" w:color="auto"/>
            <w:right w:val="none" w:sz="0" w:space="0" w:color="auto"/>
          </w:divBdr>
        </w:div>
        <w:div w:id="240918027">
          <w:marLeft w:val="1080"/>
          <w:marRight w:val="0"/>
          <w:marTop w:val="0"/>
          <w:marBottom w:val="101"/>
          <w:divBdr>
            <w:top w:val="none" w:sz="0" w:space="0" w:color="auto"/>
            <w:left w:val="none" w:sz="0" w:space="0" w:color="auto"/>
            <w:bottom w:val="none" w:sz="0" w:space="0" w:color="auto"/>
            <w:right w:val="none" w:sz="0" w:space="0" w:color="auto"/>
          </w:divBdr>
        </w:div>
        <w:div w:id="635451976">
          <w:marLeft w:val="0"/>
          <w:marRight w:val="0"/>
          <w:marTop w:val="0"/>
          <w:marBottom w:val="101"/>
          <w:divBdr>
            <w:top w:val="none" w:sz="0" w:space="0" w:color="auto"/>
            <w:left w:val="none" w:sz="0" w:space="0" w:color="auto"/>
            <w:bottom w:val="none" w:sz="0" w:space="0" w:color="auto"/>
            <w:right w:val="none" w:sz="0" w:space="0" w:color="auto"/>
          </w:divBdr>
        </w:div>
        <w:div w:id="1831477592">
          <w:marLeft w:val="1440"/>
          <w:marRight w:val="0"/>
          <w:marTop w:val="0"/>
          <w:marBottom w:val="101"/>
          <w:divBdr>
            <w:top w:val="none" w:sz="0" w:space="0" w:color="auto"/>
            <w:left w:val="none" w:sz="0" w:space="0" w:color="auto"/>
            <w:bottom w:val="none" w:sz="0" w:space="0" w:color="auto"/>
            <w:right w:val="none" w:sz="0" w:space="0" w:color="auto"/>
          </w:divBdr>
        </w:div>
        <w:div w:id="1202136960">
          <w:marLeft w:val="1440"/>
          <w:marRight w:val="0"/>
          <w:marTop w:val="0"/>
          <w:marBottom w:val="101"/>
          <w:divBdr>
            <w:top w:val="none" w:sz="0" w:space="0" w:color="auto"/>
            <w:left w:val="none" w:sz="0" w:space="0" w:color="auto"/>
            <w:bottom w:val="none" w:sz="0" w:space="0" w:color="auto"/>
            <w:right w:val="none" w:sz="0" w:space="0" w:color="auto"/>
          </w:divBdr>
        </w:div>
        <w:div w:id="2091653001">
          <w:marLeft w:val="1440"/>
          <w:marRight w:val="0"/>
          <w:marTop w:val="0"/>
          <w:marBottom w:val="101"/>
          <w:divBdr>
            <w:top w:val="none" w:sz="0" w:space="0" w:color="auto"/>
            <w:left w:val="none" w:sz="0" w:space="0" w:color="auto"/>
            <w:bottom w:val="none" w:sz="0" w:space="0" w:color="auto"/>
            <w:right w:val="none" w:sz="0" w:space="0" w:color="auto"/>
          </w:divBdr>
        </w:div>
        <w:div w:id="46421346">
          <w:marLeft w:val="0"/>
          <w:marRight w:val="0"/>
          <w:marTop w:val="0"/>
          <w:marBottom w:val="101"/>
          <w:divBdr>
            <w:top w:val="none" w:sz="0" w:space="0" w:color="auto"/>
            <w:left w:val="none" w:sz="0" w:space="0" w:color="auto"/>
            <w:bottom w:val="none" w:sz="0" w:space="0" w:color="auto"/>
            <w:right w:val="none" w:sz="0" w:space="0" w:color="auto"/>
          </w:divBdr>
        </w:div>
        <w:div w:id="1062019686">
          <w:marLeft w:val="0"/>
          <w:marRight w:val="0"/>
          <w:marTop w:val="0"/>
          <w:marBottom w:val="101"/>
          <w:divBdr>
            <w:top w:val="none" w:sz="0" w:space="0" w:color="auto"/>
            <w:left w:val="none" w:sz="0" w:space="0" w:color="auto"/>
            <w:bottom w:val="none" w:sz="0" w:space="0" w:color="auto"/>
            <w:right w:val="none" w:sz="0" w:space="0" w:color="auto"/>
          </w:divBdr>
        </w:div>
        <w:div w:id="1048145949">
          <w:marLeft w:val="1440"/>
          <w:marRight w:val="0"/>
          <w:marTop w:val="0"/>
          <w:marBottom w:val="101"/>
          <w:divBdr>
            <w:top w:val="none" w:sz="0" w:space="0" w:color="auto"/>
            <w:left w:val="none" w:sz="0" w:space="0" w:color="auto"/>
            <w:bottom w:val="none" w:sz="0" w:space="0" w:color="auto"/>
            <w:right w:val="none" w:sz="0" w:space="0" w:color="auto"/>
          </w:divBdr>
        </w:div>
        <w:div w:id="896207616">
          <w:marLeft w:val="1440"/>
          <w:marRight w:val="0"/>
          <w:marTop w:val="0"/>
          <w:marBottom w:val="101"/>
          <w:divBdr>
            <w:top w:val="none" w:sz="0" w:space="0" w:color="auto"/>
            <w:left w:val="none" w:sz="0" w:space="0" w:color="auto"/>
            <w:bottom w:val="none" w:sz="0" w:space="0" w:color="auto"/>
            <w:right w:val="none" w:sz="0" w:space="0" w:color="auto"/>
          </w:divBdr>
        </w:div>
        <w:div w:id="183592381">
          <w:marLeft w:val="1440"/>
          <w:marRight w:val="0"/>
          <w:marTop w:val="0"/>
          <w:marBottom w:val="101"/>
          <w:divBdr>
            <w:top w:val="none" w:sz="0" w:space="0" w:color="auto"/>
            <w:left w:val="none" w:sz="0" w:space="0" w:color="auto"/>
            <w:bottom w:val="none" w:sz="0" w:space="0" w:color="auto"/>
            <w:right w:val="none" w:sz="0" w:space="0" w:color="auto"/>
          </w:divBdr>
        </w:div>
        <w:div w:id="442308978">
          <w:marLeft w:val="1440"/>
          <w:marRight w:val="0"/>
          <w:marTop w:val="0"/>
          <w:marBottom w:val="101"/>
          <w:divBdr>
            <w:top w:val="none" w:sz="0" w:space="0" w:color="auto"/>
            <w:left w:val="none" w:sz="0" w:space="0" w:color="auto"/>
            <w:bottom w:val="none" w:sz="0" w:space="0" w:color="auto"/>
            <w:right w:val="none" w:sz="0" w:space="0" w:color="auto"/>
          </w:divBdr>
        </w:div>
        <w:div w:id="993878853">
          <w:marLeft w:val="1440"/>
          <w:marRight w:val="0"/>
          <w:marTop w:val="0"/>
          <w:marBottom w:val="101"/>
          <w:divBdr>
            <w:top w:val="none" w:sz="0" w:space="0" w:color="auto"/>
            <w:left w:val="none" w:sz="0" w:space="0" w:color="auto"/>
            <w:bottom w:val="none" w:sz="0" w:space="0" w:color="auto"/>
            <w:right w:val="none" w:sz="0" w:space="0" w:color="auto"/>
          </w:divBdr>
        </w:div>
        <w:div w:id="1767655694">
          <w:marLeft w:val="0"/>
          <w:marRight w:val="0"/>
          <w:marTop w:val="0"/>
          <w:marBottom w:val="101"/>
          <w:divBdr>
            <w:top w:val="none" w:sz="0" w:space="0" w:color="auto"/>
            <w:left w:val="none" w:sz="0" w:space="0" w:color="auto"/>
            <w:bottom w:val="none" w:sz="0" w:space="0" w:color="auto"/>
            <w:right w:val="none" w:sz="0" w:space="0" w:color="auto"/>
          </w:divBdr>
        </w:div>
        <w:div w:id="711156477">
          <w:marLeft w:val="0"/>
          <w:marRight w:val="0"/>
          <w:marTop w:val="0"/>
          <w:marBottom w:val="101"/>
          <w:divBdr>
            <w:top w:val="none" w:sz="0" w:space="0" w:color="auto"/>
            <w:left w:val="none" w:sz="0" w:space="0" w:color="auto"/>
            <w:bottom w:val="none" w:sz="0" w:space="0" w:color="auto"/>
            <w:right w:val="none" w:sz="0" w:space="0" w:color="auto"/>
          </w:divBdr>
        </w:div>
        <w:div w:id="801190768">
          <w:marLeft w:val="1080"/>
          <w:marRight w:val="0"/>
          <w:marTop w:val="0"/>
          <w:marBottom w:val="101"/>
          <w:divBdr>
            <w:top w:val="none" w:sz="0" w:space="0" w:color="auto"/>
            <w:left w:val="none" w:sz="0" w:space="0" w:color="auto"/>
            <w:bottom w:val="none" w:sz="0" w:space="0" w:color="auto"/>
            <w:right w:val="none" w:sz="0" w:space="0" w:color="auto"/>
          </w:divBdr>
        </w:div>
        <w:div w:id="1660037587">
          <w:marLeft w:val="1080"/>
          <w:marRight w:val="0"/>
          <w:marTop w:val="0"/>
          <w:marBottom w:val="101"/>
          <w:divBdr>
            <w:top w:val="none" w:sz="0" w:space="0" w:color="auto"/>
            <w:left w:val="none" w:sz="0" w:space="0" w:color="auto"/>
            <w:bottom w:val="none" w:sz="0" w:space="0" w:color="auto"/>
            <w:right w:val="none" w:sz="0" w:space="0" w:color="auto"/>
          </w:divBdr>
        </w:div>
        <w:div w:id="450973630">
          <w:marLeft w:val="1080"/>
          <w:marRight w:val="0"/>
          <w:marTop w:val="0"/>
          <w:marBottom w:val="101"/>
          <w:divBdr>
            <w:top w:val="none" w:sz="0" w:space="0" w:color="auto"/>
            <w:left w:val="none" w:sz="0" w:space="0" w:color="auto"/>
            <w:bottom w:val="none" w:sz="0" w:space="0" w:color="auto"/>
            <w:right w:val="none" w:sz="0" w:space="0" w:color="auto"/>
          </w:divBdr>
        </w:div>
        <w:div w:id="1027952487">
          <w:marLeft w:val="1080"/>
          <w:marRight w:val="0"/>
          <w:marTop w:val="0"/>
          <w:marBottom w:val="101"/>
          <w:divBdr>
            <w:top w:val="none" w:sz="0" w:space="0" w:color="auto"/>
            <w:left w:val="none" w:sz="0" w:space="0" w:color="auto"/>
            <w:bottom w:val="none" w:sz="0" w:space="0" w:color="auto"/>
            <w:right w:val="none" w:sz="0" w:space="0" w:color="auto"/>
          </w:divBdr>
        </w:div>
        <w:div w:id="1117330663">
          <w:marLeft w:val="1080"/>
          <w:marRight w:val="0"/>
          <w:marTop w:val="0"/>
          <w:marBottom w:val="101"/>
          <w:divBdr>
            <w:top w:val="none" w:sz="0" w:space="0" w:color="auto"/>
            <w:left w:val="none" w:sz="0" w:space="0" w:color="auto"/>
            <w:bottom w:val="none" w:sz="0" w:space="0" w:color="auto"/>
            <w:right w:val="none" w:sz="0" w:space="0" w:color="auto"/>
          </w:divBdr>
        </w:div>
        <w:div w:id="1419868724">
          <w:marLeft w:val="1080"/>
          <w:marRight w:val="0"/>
          <w:marTop w:val="0"/>
          <w:marBottom w:val="101"/>
          <w:divBdr>
            <w:top w:val="none" w:sz="0" w:space="0" w:color="auto"/>
            <w:left w:val="none" w:sz="0" w:space="0" w:color="auto"/>
            <w:bottom w:val="none" w:sz="0" w:space="0" w:color="auto"/>
            <w:right w:val="none" w:sz="0" w:space="0" w:color="auto"/>
          </w:divBdr>
        </w:div>
        <w:div w:id="1541434193">
          <w:marLeft w:val="1080"/>
          <w:marRight w:val="0"/>
          <w:marTop w:val="0"/>
          <w:marBottom w:val="101"/>
          <w:divBdr>
            <w:top w:val="none" w:sz="0" w:space="0" w:color="auto"/>
            <w:left w:val="none" w:sz="0" w:space="0" w:color="auto"/>
            <w:bottom w:val="none" w:sz="0" w:space="0" w:color="auto"/>
            <w:right w:val="none" w:sz="0" w:space="0" w:color="auto"/>
          </w:divBdr>
        </w:div>
        <w:div w:id="431634690">
          <w:marLeft w:val="1080"/>
          <w:marRight w:val="0"/>
          <w:marTop w:val="0"/>
          <w:marBottom w:val="101"/>
          <w:divBdr>
            <w:top w:val="none" w:sz="0" w:space="0" w:color="auto"/>
            <w:left w:val="none" w:sz="0" w:space="0" w:color="auto"/>
            <w:bottom w:val="none" w:sz="0" w:space="0" w:color="auto"/>
            <w:right w:val="none" w:sz="0" w:space="0" w:color="auto"/>
          </w:divBdr>
        </w:div>
        <w:div w:id="696390413">
          <w:marLeft w:val="1080"/>
          <w:marRight w:val="0"/>
          <w:marTop w:val="0"/>
          <w:marBottom w:val="101"/>
          <w:divBdr>
            <w:top w:val="none" w:sz="0" w:space="0" w:color="auto"/>
            <w:left w:val="none" w:sz="0" w:space="0" w:color="auto"/>
            <w:bottom w:val="none" w:sz="0" w:space="0" w:color="auto"/>
            <w:right w:val="none" w:sz="0" w:space="0" w:color="auto"/>
          </w:divBdr>
        </w:div>
        <w:div w:id="1733575996">
          <w:marLeft w:val="1080"/>
          <w:marRight w:val="0"/>
          <w:marTop w:val="0"/>
          <w:marBottom w:val="101"/>
          <w:divBdr>
            <w:top w:val="none" w:sz="0" w:space="0" w:color="auto"/>
            <w:left w:val="none" w:sz="0" w:space="0" w:color="auto"/>
            <w:bottom w:val="none" w:sz="0" w:space="0" w:color="auto"/>
            <w:right w:val="none" w:sz="0" w:space="0" w:color="auto"/>
          </w:divBdr>
        </w:div>
        <w:div w:id="1045719938">
          <w:marLeft w:val="1080"/>
          <w:marRight w:val="0"/>
          <w:marTop w:val="0"/>
          <w:marBottom w:val="101"/>
          <w:divBdr>
            <w:top w:val="none" w:sz="0" w:space="0" w:color="auto"/>
            <w:left w:val="none" w:sz="0" w:space="0" w:color="auto"/>
            <w:bottom w:val="none" w:sz="0" w:space="0" w:color="auto"/>
            <w:right w:val="none" w:sz="0" w:space="0" w:color="auto"/>
          </w:divBdr>
        </w:div>
        <w:div w:id="146677670">
          <w:marLeft w:val="1440"/>
          <w:marRight w:val="0"/>
          <w:marTop w:val="0"/>
          <w:marBottom w:val="101"/>
          <w:divBdr>
            <w:top w:val="none" w:sz="0" w:space="0" w:color="auto"/>
            <w:left w:val="none" w:sz="0" w:space="0" w:color="auto"/>
            <w:bottom w:val="none" w:sz="0" w:space="0" w:color="auto"/>
            <w:right w:val="none" w:sz="0" w:space="0" w:color="auto"/>
          </w:divBdr>
        </w:div>
        <w:div w:id="886990396">
          <w:marLeft w:val="1440"/>
          <w:marRight w:val="0"/>
          <w:marTop w:val="0"/>
          <w:marBottom w:val="101"/>
          <w:divBdr>
            <w:top w:val="none" w:sz="0" w:space="0" w:color="auto"/>
            <w:left w:val="none" w:sz="0" w:space="0" w:color="auto"/>
            <w:bottom w:val="none" w:sz="0" w:space="0" w:color="auto"/>
            <w:right w:val="none" w:sz="0" w:space="0" w:color="auto"/>
          </w:divBdr>
        </w:div>
        <w:div w:id="1055010653">
          <w:marLeft w:val="1080"/>
          <w:marRight w:val="0"/>
          <w:marTop w:val="0"/>
          <w:marBottom w:val="101"/>
          <w:divBdr>
            <w:top w:val="none" w:sz="0" w:space="0" w:color="auto"/>
            <w:left w:val="none" w:sz="0" w:space="0" w:color="auto"/>
            <w:bottom w:val="none" w:sz="0" w:space="0" w:color="auto"/>
            <w:right w:val="none" w:sz="0" w:space="0" w:color="auto"/>
          </w:divBdr>
        </w:div>
        <w:div w:id="674038896">
          <w:marLeft w:val="0"/>
          <w:marRight w:val="0"/>
          <w:marTop w:val="0"/>
          <w:marBottom w:val="101"/>
          <w:divBdr>
            <w:top w:val="none" w:sz="0" w:space="0" w:color="auto"/>
            <w:left w:val="none" w:sz="0" w:space="0" w:color="auto"/>
            <w:bottom w:val="none" w:sz="0" w:space="0" w:color="auto"/>
            <w:right w:val="none" w:sz="0" w:space="0" w:color="auto"/>
          </w:divBdr>
        </w:div>
        <w:div w:id="1440952617">
          <w:marLeft w:val="1440"/>
          <w:marRight w:val="0"/>
          <w:marTop w:val="0"/>
          <w:marBottom w:val="101"/>
          <w:divBdr>
            <w:top w:val="none" w:sz="0" w:space="0" w:color="auto"/>
            <w:left w:val="none" w:sz="0" w:space="0" w:color="auto"/>
            <w:bottom w:val="none" w:sz="0" w:space="0" w:color="auto"/>
            <w:right w:val="none" w:sz="0" w:space="0" w:color="auto"/>
          </w:divBdr>
        </w:div>
        <w:div w:id="166406117">
          <w:marLeft w:val="1440"/>
          <w:marRight w:val="0"/>
          <w:marTop w:val="0"/>
          <w:marBottom w:val="101"/>
          <w:divBdr>
            <w:top w:val="none" w:sz="0" w:space="0" w:color="auto"/>
            <w:left w:val="none" w:sz="0" w:space="0" w:color="auto"/>
            <w:bottom w:val="none" w:sz="0" w:space="0" w:color="auto"/>
            <w:right w:val="none" w:sz="0" w:space="0" w:color="auto"/>
          </w:divBdr>
        </w:div>
        <w:div w:id="160245240">
          <w:marLeft w:val="0"/>
          <w:marRight w:val="0"/>
          <w:marTop w:val="0"/>
          <w:marBottom w:val="101"/>
          <w:divBdr>
            <w:top w:val="none" w:sz="0" w:space="0" w:color="auto"/>
            <w:left w:val="none" w:sz="0" w:space="0" w:color="auto"/>
            <w:bottom w:val="none" w:sz="0" w:space="0" w:color="auto"/>
            <w:right w:val="none" w:sz="0" w:space="0" w:color="auto"/>
          </w:divBdr>
        </w:div>
        <w:div w:id="554777025">
          <w:marLeft w:val="0"/>
          <w:marRight w:val="0"/>
          <w:marTop w:val="0"/>
          <w:marBottom w:val="101"/>
          <w:divBdr>
            <w:top w:val="none" w:sz="0" w:space="0" w:color="auto"/>
            <w:left w:val="none" w:sz="0" w:space="0" w:color="auto"/>
            <w:bottom w:val="none" w:sz="0" w:space="0" w:color="auto"/>
            <w:right w:val="none" w:sz="0" w:space="0" w:color="auto"/>
          </w:divBdr>
        </w:div>
        <w:div w:id="842087810">
          <w:marLeft w:val="1080"/>
          <w:marRight w:val="0"/>
          <w:marTop w:val="0"/>
          <w:marBottom w:val="101"/>
          <w:divBdr>
            <w:top w:val="none" w:sz="0" w:space="0" w:color="auto"/>
            <w:left w:val="none" w:sz="0" w:space="0" w:color="auto"/>
            <w:bottom w:val="none" w:sz="0" w:space="0" w:color="auto"/>
            <w:right w:val="none" w:sz="0" w:space="0" w:color="auto"/>
          </w:divBdr>
        </w:div>
        <w:div w:id="1051730019">
          <w:marLeft w:val="1080"/>
          <w:marRight w:val="0"/>
          <w:marTop w:val="0"/>
          <w:marBottom w:val="101"/>
          <w:divBdr>
            <w:top w:val="none" w:sz="0" w:space="0" w:color="auto"/>
            <w:left w:val="none" w:sz="0" w:space="0" w:color="auto"/>
            <w:bottom w:val="none" w:sz="0" w:space="0" w:color="auto"/>
            <w:right w:val="none" w:sz="0" w:space="0" w:color="auto"/>
          </w:divBdr>
        </w:div>
        <w:div w:id="253631543">
          <w:marLeft w:val="1080"/>
          <w:marRight w:val="0"/>
          <w:marTop w:val="0"/>
          <w:marBottom w:val="101"/>
          <w:divBdr>
            <w:top w:val="none" w:sz="0" w:space="0" w:color="auto"/>
            <w:left w:val="none" w:sz="0" w:space="0" w:color="auto"/>
            <w:bottom w:val="none" w:sz="0" w:space="0" w:color="auto"/>
            <w:right w:val="none" w:sz="0" w:space="0" w:color="auto"/>
          </w:divBdr>
        </w:div>
        <w:div w:id="1996832328">
          <w:marLeft w:val="1080"/>
          <w:marRight w:val="0"/>
          <w:marTop w:val="0"/>
          <w:marBottom w:val="101"/>
          <w:divBdr>
            <w:top w:val="none" w:sz="0" w:space="0" w:color="auto"/>
            <w:left w:val="none" w:sz="0" w:space="0" w:color="auto"/>
            <w:bottom w:val="none" w:sz="0" w:space="0" w:color="auto"/>
            <w:right w:val="none" w:sz="0" w:space="0" w:color="auto"/>
          </w:divBdr>
        </w:div>
        <w:div w:id="1518539705">
          <w:marLeft w:val="1080"/>
          <w:marRight w:val="0"/>
          <w:marTop w:val="0"/>
          <w:marBottom w:val="101"/>
          <w:divBdr>
            <w:top w:val="none" w:sz="0" w:space="0" w:color="auto"/>
            <w:left w:val="none" w:sz="0" w:space="0" w:color="auto"/>
            <w:bottom w:val="none" w:sz="0" w:space="0" w:color="auto"/>
            <w:right w:val="none" w:sz="0" w:space="0" w:color="auto"/>
          </w:divBdr>
        </w:div>
        <w:div w:id="1057515613">
          <w:marLeft w:val="1080"/>
          <w:marRight w:val="0"/>
          <w:marTop w:val="0"/>
          <w:marBottom w:val="101"/>
          <w:divBdr>
            <w:top w:val="none" w:sz="0" w:space="0" w:color="auto"/>
            <w:left w:val="none" w:sz="0" w:space="0" w:color="auto"/>
            <w:bottom w:val="none" w:sz="0" w:space="0" w:color="auto"/>
            <w:right w:val="none" w:sz="0" w:space="0" w:color="auto"/>
          </w:divBdr>
        </w:div>
        <w:div w:id="1910071221">
          <w:marLeft w:val="1080"/>
          <w:marRight w:val="0"/>
          <w:marTop w:val="0"/>
          <w:marBottom w:val="101"/>
          <w:divBdr>
            <w:top w:val="none" w:sz="0" w:space="0" w:color="auto"/>
            <w:left w:val="none" w:sz="0" w:space="0" w:color="auto"/>
            <w:bottom w:val="none" w:sz="0" w:space="0" w:color="auto"/>
            <w:right w:val="none" w:sz="0" w:space="0" w:color="auto"/>
          </w:divBdr>
        </w:div>
        <w:div w:id="1293905409">
          <w:marLeft w:val="1080"/>
          <w:marRight w:val="0"/>
          <w:marTop w:val="0"/>
          <w:marBottom w:val="101"/>
          <w:divBdr>
            <w:top w:val="none" w:sz="0" w:space="0" w:color="auto"/>
            <w:left w:val="none" w:sz="0" w:space="0" w:color="auto"/>
            <w:bottom w:val="none" w:sz="0" w:space="0" w:color="auto"/>
            <w:right w:val="none" w:sz="0" w:space="0" w:color="auto"/>
          </w:divBdr>
        </w:div>
        <w:div w:id="1003431387">
          <w:marLeft w:val="1080"/>
          <w:marRight w:val="0"/>
          <w:marTop w:val="0"/>
          <w:marBottom w:val="101"/>
          <w:divBdr>
            <w:top w:val="none" w:sz="0" w:space="0" w:color="auto"/>
            <w:left w:val="none" w:sz="0" w:space="0" w:color="auto"/>
            <w:bottom w:val="none" w:sz="0" w:space="0" w:color="auto"/>
            <w:right w:val="none" w:sz="0" w:space="0" w:color="auto"/>
          </w:divBdr>
        </w:div>
        <w:div w:id="1635713258">
          <w:marLeft w:val="0"/>
          <w:marRight w:val="0"/>
          <w:marTop w:val="0"/>
          <w:marBottom w:val="101"/>
          <w:divBdr>
            <w:top w:val="none" w:sz="0" w:space="0" w:color="auto"/>
            <w:left w:val="none" w:sz="0" w:space="0" w:color="auto"/>
            <w:bottom w:val="none" w:sz="0" w:space="0" w:color="auto"/>
            <w:right w:val="none" w:sz="0" w:space="0" w:color="auto"/>
          </w:divBdr>
        </w:div>
        <w:div w:id="192303164">
          <w:marLeft w:val="1440"/>
          <w:marRight w:val="0"/>
          <w:marTop w:val="0"/>
          <w:marBottom w:val="101"/>
          <w:divBdr>
            <w:top w:val="none" w:sz="0" w:space="0" w:color="auto"/>
            <w:left w:val="none" w:sz="0" w:space="0" w:color="auto"/>
            <w:bottom w:val="none" w:sz="0" w:space="0" w:color="auto"/>
            <w:right w:val="none" w:sz="0" w:space="0" w:color="auto"/>
          </w:divBdr>
        </w:div>
        <w:div w:id="582103266">
          <w:marLeft w:val="1440"/>
          <w:marRight w:val="0"/>
          <w:marTop w:val="0"/>
          <w:marBottom w:val="101"/>
          <w:divBdr>
            <w:top w:val="none" w:sz="0" w:space="0" w:color="auto"/>
            <w:left w:val="none" w:sz="0" w:space="0" w:color="auto"/>
            <w:bottom w:val="none" w:sz="0" w:space="0" w:color="auto"/>
            <w:right w:val="none" w:sz="0" w:space="0" w:color="auto"/>
          </w:divBdr>
        </w:div>
        <w:div w:id="1481264802">
          <w:marLeft w:val="0"/>
          <w:marRight w:val="0"/>
          <w:marTop w:val="0"/>
          <w:marBottom w:val="101"/>
          <w:divBdr>
            <w:top w:val="none" w:sz="0" w:space="0" w:color="auto"/>
            <w:left w:val="none" w:sz="0" w:space="0" w:color="auto"/>
            <w:bottom w:val="none" w:sz="0" w:space="0" w:color="auto"/>
            <w:right w:val="none" w:sz="0" w:space="0" w:color="auto"/>
          </w:divBdr>
        </w:div>
        <w:div w:id="830752018">
          <w:marLeft w:val="0"/>
          <w:marRight w:val="0"/>
          <w:marTop w:val="0"/>
          <w:marBottom w:val="101"/>
          <w:divBdr>
            <w:top w:val="none" w:sz="0" w:space="0" w:color="auto"/>
            <w:left w:val="none" w:sz="0" w:space="0" w:color="auto"/>
            <w:bottom w:val="none" w:sz="0" w:space="0" w:color="auto"/>
            <w:right w:val="none" w:sz="0" w:space="0" w:color="auto"/>
          </w:divBdr>
        </w:div>
        <w:div w:id="1694647586">
          <w:marLeft w:val="0"/>
          <w:marRight w:val="0"/>
          <w:marTop w:val="0"/>
          <w:marBottom w:val="101"/>
          <w:divBdr>
            <w:top w:val="none" w:sz="0" w:space="0" w:color="auto"/>
            <w:left w:val="none" w:sz="0" w:space="0" w:color="auto"/>
            <w:bottom w:val="none" w:sz="0" w:space="0" w:color="auto"/>
            <w:right w:val="none" w:sz="0" w:space="0" w:color="auto"/>
          </w:divBdr>
        </w:div>
        <w:div w:id="1184243427">
          <w:marLeft w:val="1080"/>
          <w:marRight w:val="0"/>
          <w:marTop w:val="0"/>
          <w:marBottom w:val="101"/>
          <w:divBdr>
            <w:top w:val="none" w:sz="0" w:space="0" w:color="auto"/>
            <w:left w:val="none" w:sz="0" w:space="0" w:color="auto"/>
            <w:bottom w:val="none" w:sz="0" w:space="0" w:color="auto"/>
            <w:right w:val="none" w:sz="0" w:space="0" w:color="auto"/>
          </w:divBdr>
        </w:div>
        <w:div w:id="1951232285">
          <w:marLeft w:val="1440"/>
          <w:marRight w:val="0"/>
          <w:marTop w:val="0"/>
          <w:marBottom w:val="101"/>
          <w:divBdr>
            <w:top w:val="none" w:sz="0" w:space="0" w:color="auto"/>
            <w:left w:val="none" w:sz="0" w:space="0" w:color="auto"/>
            <w:bottom w:val="none" w:sz="0" w:space="0" w:color="auto"/>
            <w:right w:val="none" w:sz="0" w:space="0" w:color="auto"/>
          </w:divBdr>
        </w:div>
        <w:div w:id="23092562">
          <w:marLeft w:val="1440"/>
          <w:marRight w:val="0"/>
          <w:marTop w:val="0"/>
          <w:marBottom w:val="101"/>
          <w:divBdr>
            <w:top w:val="none" w:sz="0" w:space="0" w:color="auto"/>
            <w:left w:val="none" w:sz="0" w:space="0" w:color="auto"/>
            <w:bottom w:val="none" w:sz="0" w:space="0" w:color="auto"/>
            <w:right w:val="none" w:sz="0" w:space="0" w:color="auto"/>
          </w:divBdr>
        </w:div>
        <w:div w:id="997075732">
          <w:marLeft w:val="1800"/>
          <w:marRight w:val="0"/>
          <w:marTop w:val="0"/>
          <w:marBottom w:val="101"/>
          <w:divBdr>
            <w:top w:val="none" w:sz="0" w:space="0" w:color="auto"/>
            <w:left w:val="none" w:sz="0" w:space="0" w:color="auto"/>
            <w:bottom w:val="none" w:sz="0" w:space="0" w:color="auto"/>
            <w:right w:val="none" w:sz="0" w:space="0" w:color="auto"/>
          </w:divBdr>
        </w:div>
        <w:div w:id="882668067">
          <w:marLeft w:val="1800"/>
          <w:marRight w:val="0"/>
          <w:marTop w:val="0"/>
          <w:marBottom w:val="101"/>
          <w:divBdr>
            <w:top w:val="none" w:sz="0" w:space="0" w:color="auto"/>
            <w:left w:val="none" w:sz="0" w:space="0" w:color="auto"/>
            <w:bottom w:val="none" w:sz="0" w:space="0" w:color="auto"/>
            <w:right w:val="none" w:sz="0" w:space="0" w:color="auto"/>
          </w:divBdr>
        </w:div>
        <w:div w:id="1367753759">
          <w:marLeft w:val="1800"/>
          <w:marRight w:val="0"/>
          <w:marTop w:val="0"/>
          <w:marBottom w:val="101"/>
          <w:divBdr>
            <w:top w:val="none" w:sz="0" w:space="0" w:color="auto"/>
            <w:left w:val="none" w:sz="0" w:space="0" w:color="auto"/>
            <w:bottom w:val="none" w:sz="0" w:space="0" w:color="auto"/>
            <w:right w:val="none" w:sz="0" w:space="0" w:color="auto"/>
          </w:divBdr>
        </w:div>
        <w:div w:id="51933581">
          <w:marLeft w:val="1800"/>
          <w:marRight w:val="0"/>
          <w:marTop w:val="0"/>
          <w:marBottom w:val="101"/>
          <w:divBdr>
            <w:top w:val="none" w:sz="0" w:space="0" w:color="auto"/>
            <w:left w:val="none" w:sz="0" w:space="0" w:color="auto"/>
            <w:bottom w:val="none" w:sz="0" w:space="0" w:color="auto"/>
            <w:right w:val="none" w:sz="0" w:space="0" w:color="auto"/>
          </w:divBdr>
        </w:div>
        <w:div w:id="1439565250">
          <w:marLeft w:val="1440"/>
          <w:marRight w:val="0"/>
          <w:marTop w:val="0"/>
          <w:marBottom w:val="101"/>
          <w:divBdr>
            <w:top w:val="none" w:sz="0" w:space="0" w:color="auto"/>
            <w:left w:val="none" w:sz="0" w:space="0" w:color="auto"/>
            <w:bottom w:val="none" w:sz="0" w:space="0" w:color="auto"/>
            <w:right w:val="none" w:sz="0" w:space="0" w:color="auto"/>
          </w:divBdr>
        </w:div>
        <w:div w:id="1579751086">
          <w:marLeft w:val="1440"/>
          <w:marRight w:val="0"/>
          <w:marTop w:val="0"/>
          <w:marBottom w:val="101"/>
          <w:divBdr>
            <w:top w:val="none" w:sz="0" w:space="0" w:color="auto"/>
            <w:left w:val="none" w:sz="0" w:space="0" w:color="auto"/>
            <w:bottom w:val="none" w:sz="0" w:space="0" w:color="auto"/>
            <w:right w:val="none" w:sz="0" w:space="0" w:color="auto"/>
          </w:divBdr>
        </w:div>
        <w:div w:id="512495014">
          <w:marLeft w:val="1440"/>
          <w:marRight w:val="0"/>
          <w:marTop w:val="0"/>
          <w:marBottom w:val="101"/>
          <w:divBdr>
            <w:top w:val="none" w:sz="0" w:space="0" w:color="auto"/>
            <w:left w:val="none" w:sz="0" w:space="0" w:color="auto"/>
            <w:bottom w:val="none" w:sz="0" w:space="0" w:color="auto"/>
            <w:right w:val="none" w:sz="0" w:space="0" w:color="auto"/>
          </w:divBdr>
        </w:div>
        <w:div w:id="337391779">
          <w:marLeft w:val="1440"/>
          <w:marRight w:val="0"/>
          <w:marTop w:val="0"/>
          <w:marBottom w:val="101"/>
          <w:divBdr>
            <w:top w:val="none" w:sz="0" w:space="0" w:color="auto"/>
            <w:left w:val="none" w:sz="0" w:space="0" w:color="auto"/>
            <w:bottom w:val="none" w:sz="0" w:space="0" w:color="auto"/>
            <w:right w:val="none" w:sz="0" w:space="0" w:color="auto"/>
          </w:divBdr>
        </w:div>
        <w:div w:id="1641766900">
          <w:marLeft w:val="1440"/>
          <w:marRight w:val="0"/>
          <w:marTop w:val="0"/>
          <w:marBottom w:val="101"/>
          <w:divBdr>
            <w:top w:val="none" w:sz="0" w:space="0" w:color="auto"/>
            <w:left w:val="none" w:sz="0" w:space="0" w:color="auto"/>
            <w:bottom w:val="none" w:sz="0" w:space="0" w:color="auto"/>
            <w:right w:val="none" w:sz="0" w:space="0" w:color="auto"/>
          </w:divBdr>
        </w:div>
        <w:div w:id="833565228">
          <w:marLeft w:val="1440"/>
          <w:marRight w:val="0"/>
          <w:marTop w:val="0"/>
          <w:marBottom w:val="101"/>
          <w:divBdr>
            <w:top w:val="none" w:sz="0" w:space="0" w:color="auto"/>
            <w:left w:val="none" w:sz="0" w:space="0" w:color="auto"/>
            <w:bottom w:val="none" w:sz="0" w:space="0" w:color="auto"/>
            <w:right w:val="none" w:sz="0" w:space="0" w:color="auto"/>
          </w:divBdr>
        </w:div>
        <w:div w:id="1806002505">
          <w:marLeft w:val="1440"/>
          <w:marRight w:val="0"/>
          <w:marTop w:val="0"/>
          <w:marBottom w:val="101"/>
          <w:divBdr>
            <w:top w:val="none" w:sz="0" w:space="0" w:color="auto"/>
            <w:left w:val="none" w:sz="0" w:space="0" w:color="auto"/>
            <w:bottom w:val="none" w:sz="0" w:space="0" w:color="auto"/>
            <w:right w:val="none" w:sz="0" w:space="0" w:color="auto"/>
          </w:divBdr>
        </w:div>
        <w:div w:id="1051460437">
          <w:marLeft w:val="1080"/>
          <w:marRight w:val="0"/>
          <w:marTop w:val="0"/>
          <w:marBottom w:val="101"/>
          <w:divBdr>
            <w:top w:val="none" w:sz="0" w:space="0" w:color="auto"/>
            <w:left w:val="none" w:sz="0" w:space="0" w:color="auto"/>
            <w:bottom w:val="none" w:sz="0" w:space="0" w:color="auto"/>
            <w:right w:val="none" w:sz="0" w:space="0" w:color="auto"/>
          </w:divBdr>
        </w:div>
        <w:div w:id="1551646220">
          <w:marLeft w:val="1440"/>
          <w:marRight w:val="0"/>
          <w:marTop w:val="0"/>
          <w:marBottom w:val="101"/>
          <w:divBdr>
            <w:top w:val="none" w:sz="0" w:space="0" w:color="auto"/>
            <w:left w:val="none" w:sz="0" w:space="0" w:color="auto"/>
            <w:bottom w:val="none" w:sz="0" w:space="0" w:color="auto"/>
            <w:right w:val="none" w:sz="0" w:space="0" w:color="auto"/>
          </w:divBdr>
        </w:div>
        <w:div w:id="1826123317">
          <w:marLeft w:val="1440"/>
          <w:marRight w:val="0"/>
          <w:marTop w:val="0"/>
          <w:marBottom w:val="101"/>
          <w:divBdr>
            <w:top w:val="none" w:sz="0" w:space="0" w:color="auto"/>
            <w:left w:val="none" w:sz="0" w:space="0" w:color="auto"/>
            <w:bottom w:val="none" w:sz="0" w:space="0" w:color="auto"/>
            <w:right w:val="none" w:sz="0" w:space="0" w:color="auto"/>
          </w:divBdr>
        </w:div>
        <w:div w:id="332607804">
          <w:marLeft w:val="1440"/>
          <w:marRight w:val="0"/>
          <w:marTop w:val="0"/>
          <w:marBottom w:val="101"/>
          <w:divBdr>
            <w:top w:val="none" w:sz="0" w:space="0" w:color="auto"/>
            <w:left w:val="none" w:sz="0" w:space="0" w:color="auto"/>
            <w:bottom w:val="none" w:sz="0" w:space="0" w:color="auto"/>
            <w:right w:val="none" w:sz="0" w:space="0" w:color="auto"/>
          </w:divBdr>
        </w:div>
        <w:div w:id="1406492110">
          <w:marLeft w:val="1440"/>
          <w:marRight w:val="0"/>
          <w:marTop w:val="0"/>
          <w:marBottom w:val="101"/>
          <w:divBdr>
            <w:top w:val="none" w:sz="0" w:space="0" w:color="auto"/>
            <w:left w:val="none" w:sz="0" w:space="0" w:color="auto"/>
            <w:bottom w:val="none" w:sz="0" w:space="0" w:color="auto"/>
            <w:right w:val="none" w:sz="0" w:space="0" w:color="auto"/>
          </w:divBdr>
        </w:div>
        <w:div w:id="1509440176">
          <w:marLeft w:val="1800"/>
          <w:marRight w:val="0"/>
          <w:marTop w:val="0"/>
          <w:marBottom w:val="101"/>
          <w:divBdr>
            <w:top w:val="none" w:sz="0" w:space="0" w:color="auto"/>
            <w:left w:val="none" w:sz="0" w:space="0" w:color="auto"/>
            <w:bottom w:val="none" w:sz="0" w:space="0" w:color="auto"/>
            <w:right w:val="none" w:sz="0" w:space="0" w:color="auto"/>
          </w:divBdr>
        </w:div>
        <w:div w:id="132599917">
          <w:marLeft w:val="1800"/>
          <w:marRight w:val="0"/>
          <w:marTop w:val="0"/>
          <w:marBottom w:val="101"/>
          <w:divBdr>
            <w:top w:val="none" w:sz="0" w:space="0" w:color="auto"/>
            <w:left w:val="none" w:sz="0" w:space="0" w:color="auto"/>
            <w:bottom w:val="none" w:sz="0" w:space="0" w:color="auto"/>
            <w:right w:val="none" w:sz="0" w:space="0" w:color="auto"/>
          </w:divBdr>
        </w:div>
        <w:div w:id="1948078149">
          <w:marLeft w:val="1800"/>
          <w:marRight w:val="0"/>
          <w:marTop w:val="0"/>
          <w:marBottom w:val="101"/>
          <w:divBdr>
            <w:top w:val="none" w:sz="0" w:space="0" w:color="auto"/>
            <w:left w:val="none" w:sz="0" w:space="0" w:color="auto"/>
            <w:bottom w:val="none" w:sz="0" w:space="0" w:color="auto"/>
            <w:right w:val="none" w:sz="0" w:space="0" w:color="auto"/>
          </w:divBdr>
        </w:div>
        <w:div w:id="2122869990">
          <w:marLeft w:val="1440"/>
          <w:marRight w:val="0"/>
          <w:marTop w:val="0"/>
          <w:marBottom w:val="101"/>
          <w:divBdr>
            <w:top w:val="none" w:sz="0" w:space="0" w:color="auto"/>
            <w:left w:val="none" w:sz="0" w:space="0" w:color="auto"/>
            <w:bottom w:val="none" w:sz="0" w:space="0" w:color="auto"/>
            <w:right w:val="none" w:sz="0" w:space="0" w:color="auto"/>
          </w:divBdr>
        </w:div>
        <w:div w:id="1265383170">
          <w:marLeft w:val="1440"/>
          <w:marRight w:val="0"/>
          <w:marTop w:val="0"/>
          <w:marBottom w:val="101"/>
          <w:divBdr>
            <w:top w:val="none" w:sz="0" w:space="0" w:color="auto"/>
            <w:left w:val="none" w:sz="0" w:space="0" w:color="auto"/>
            <w:bottom w:val="none" w:sz="0" w:space="0" w:color="auto"/>
            <w:right w:val="none" w:sz="0" w:space="0" w:color="auto"/>
          </w:divBdr>
        </w:div>
        <w:div w:id="1491290295">
          <w:marLeft w:val="1440"/>
          <w:marRight w:val="0"/>
          <w:marTop w:val="0"/>
          <w:marBottom w:val="101"/>
          <w:divBdr>
            <w:top w:val="none" w:sz="0" w:space="0" w:color="auto"/>
            <w:left w:val="none" w:sz="0" w:space="0" w:color="auto"/>
            <w:bottom w:val="none" w:sz="0" w:space="0" w:color="auto"/>
            <w:right w:val="none" w:sz="0" w:space="0" w:color="auto"/>
          </w:divBdr>
        </w:div>
        <w:div w:id="954752728">
          <w:marLeft w:val="1080"/>
          <w:marRight w:val="0"/>
          <w:marTop w:val="0"/>
          <w:marBottom w:val="101"/>
          <w:divBdr>
            <w:top w:val="none" w:sz="0" w:space="0" w:color="auto"/>
            <w:left w:val="none" w:sz="0" w:space="0" w:color="auto"/>
            <w:bottom w:val="none" w:sz="0" w:space="0" w:color="auto"/>
            <w:right w:val="none" w:sz="0" w:space="0" w:color="auto"/>
          </w:divBdr>
        </w:div>
        <w:div w:id="413866165">
          <w:marLeft w:val="1440"/>
          <w:marRight w:val="0"/>
          <w:marTop w:val="0"/>
          <w:marBottom w:val="101"/>
          <w:divBdr>
            <w:top w:val="none" w:sz="0" w:space="0" w:color="auto"/>
            <w:left w:val="none" w:sz="0" w:space="0" w:color="auto"/>
            <w:bottom w:val="none" w:sz="0" w:space="0" w:color="auto"/>
            <w:right w:val="none" w:sz="0" w:space="0" w:color="auto"/>
          </w:divBdr>
        </w:div>
        <w:div w:id="1568874935">
          <w:marLeft w:val="1800"/>
          <w:marRight w:val="0"/>
          <w:marTop w:val="0"/>
          <w:marBottom w:val="101"/>
          <w:divBdr>
            <w:top w:val="none" w:sz="0" w:space="0" w:color="auto"/>
            <w:left w:val="none" w:sz="0" w:space="0" w:color="auto"/>
            <w:bottom w:val="none" w:sz="0" w:space="0" w:color="auto"/>
            <w:right w:val="none" w:sz="0" w:space="0" w:color="auto"/>
          </w:divBdr>
        </w:div>
        <w:div w:id="1982270454">
          <w:marLeft w:val="1800"/>
          <w:marRight w:val="0"/>
          <w:marTop w:val="0"/>
          <w:marBottom w:val="101"/>
          <w:divBdr>
            <w:top w:val="none" w:sz="0" w:space="0" w:color="auto"/>
            <w:left w:val="none" w:sz="0" w:space="0" w:color="auto"/>
            <w:bottom w:val="none" w:sz="0" w:space="0" w:color="auto"/>
            <w:right w:val="none" w:sz="0" w:space="0" w:color="auto"/>
          </w:divBdr>
        </w:div>
        <w:div w:id="1992951376">
          <w:marLeft w:val="1440"/>
          <w:marRight w:val="0"/>
          <w:marTop w:val="0"/>
          <w:marBottom w:val="101"/>
          <w:divBdr>
            <w:top w:val="none" w:sz="0" w:space="0" w:color="auto"/>
            <w:left w:val="none" w:sz="0" w:space="0" w:color="auto"/>
            <w:bottom w:val="none" w:sz="0" w:space="0" w:color="auto"/>
            <w:right w:val="none" w:sz="0" w:space="0" w:color="auto"/>
          </w:divBdr>
        </w:div>
        <w:div w:id="863640504">
          <w:marLeft w:val="1440"/>
          <w:marRight w:val="0"/>
          <w:marTop w:val="0"/>
          <w:marBottom w:val="101"/>
          <w:divBdr>
            <w:top w:val="none" w:sz="0" w:space="0" w:color="auto"/>
            <w:left w:val="none" w:sz="0" w:space="0" w:color="auto"/>
            <w:bottom w:val="none" w:sz="0" w:space="0" w:color="auto"/>
            <w:right w:val="none" w:sz="0" w:space="0" w:color="auto"/>
          </w:divBdr>
        </w:div>
        <w:div w:id="22753218">
          <w:marLeft w:val="1440"/>
          <w:marRight w:val="0"/>
          <w:marTop w:val="0"/>
          <w:marBottom w:val="101"/>
          <w:divBdr>
            <w:top w:val="none" w:sz="0" w:space="0" w:color="auto"/>
            <w:left w:val="none" w:sz="0" w:space="0" w:color="auto"/>
            <w:bottom w:val="none" w:sz="0" w:space="0" w:color="auto"/>
            <w:right w:val="none" w:sz="0" w:space="0" w:color="auto"/>
          </w:divBdr>
        </w:div>
        <w:div w:id="1306005592">
          <w:marLeft w:val="1440"/>
          <w:marRight w:val="0"/>
          <w:marTop w:val="0"/>
          <w:marBottom w:val="101"/>
          <w:divBdr>
            <w:top w:val="none" w:sz="0" w:space="0" w:color="auto"/>
            <w:left w:val="none" w:sz="0" w:space="0" w:color="auto"/>
            <w:bottom w:val="none" w:sz="0" w:space="0" w:color="auto"/>
            <w:right w:val="none" w:sz="0" w:space="0" w:color="auto"/>
          </w:divBdr>
        </w:div>
        <w:div w:id="387648392">
          <w:marLeft w:val="1080"/>
          <w:marRight w:val="0"/>
          <w:marTop w:val="0"/>
          <w:marBottom w:val="101"/>
          <w:divBdr>
            <w:top w:val="none" w:sz="0" w:space="0" w:color="auto"/>
            <w:left w:val="none" w:sz="0" w:space="0" w:color="auto"/>
            <w:bottom w:val="none" w:sz="0" w:space="0" w:color="auto"/>
            <w:right w:val="none" w:sz="0" w:space="0" w:color="auto"/>
          </w:divBdr>
        </w:div>
        <w:div w:id="1749494221">
          <w:marLeft w:val="1440"/>
          <w:marRight w:val="0"/>
          <w:marTop w:val="0"/>
          <w:marBottom w:val="101"/>
          <w:divBdr>
            <w:top w:val="none" w:sz="0" w:space="0" w:color="auto"/>
            <w:left w:val="none" w:sz="0" w:space="0" w:color="auto"/>
            <w:bottom w:val="none" w:sz="0" w:space="0" w:color="auto"/>
            <w:right w:val="none" w:sz="0" w:space="0" w:color="auto"/>
          </w:divBdr>
        </w:div>
        <w:div w:id="1142694940">
          <w:marLeft w:val="1440"/>
          <w:marRight w:val="0"/>
          <w:marTop w:val="0"/>
          <w:marBottom w:val="101"/>
          <w:divBdr>
            <w:top w:val="none" w:sz="0" w:space="0" w:color="auto"/>
            <w:left w:val="none" w:sz="0" w:space="0" w:color="auto"/>
            <w:bottom w:val="none" w:sz="0" w:space="0" w:color="auto"/>
            <w:right w:val="none" w:sz="0" w:space="0" w:color="auto"/>
          </w:divBdr>
        </w:div>
        <w:div w:id="1705861404">
          <w:marLeft w:val="1440"/>
          <w:marRight w:val="0"/>
          <w:marTop w:val="0"/>
          <w:marBottom w:val="101"/>
          <w:divBdr>
            <w:top w:val="none" w:sz="0" w:space="0" w:color="auto"/>
            <w:left w:val="none" w:sz="0" w:space="0" w:color="auto"/>
            <w:bottom w:val="none" w:sz="0" w:space="0" w:color="auto"/>
            <w:right w:val="none" w:sz="0" w:space="0" w:color="auto"/>
          </w:divBdr>
        </w:div>
        <w:div w:id="360714077">
          <w:marLeft w:val="0"/>
          <w:marRight w:val="0"/>
          <w:marTop w:val="0"/>
          <w:marBottom w:val="101"/>
          <w:divBdr>
            <w:top w:val="none" w:sz="0" w:space="0" w:color="auto"/>
            <w:left w:val="none" w:sz="0" w:space="0" w:color="auto"/>
            <w:bottom w:val="none" w:sz="0" w:space="0" w:color="auto"/>
            <w:right w:val="none" w:sz="0" w:space="0" w:color="auto"/>
          </w:divBdr>
        </w:div>
        <w:div w:id="2035954800">
          <w:marLeft w:val="1800"/>
          <w:marRight w:val="0"/>
          <w:marTop w:val="0"/>
          <w:marBottom w:val="101"/>
          <w:divBdr>
            <w:top w:val="none" w:sz="0" w:space="0" w:color="auto"/>
            <w:left w:val="none" w:sz="0" w:space="0" w:color="auto"/>
            <w:bottom w:val="none" w:sz="0" w:space="0" w:color="auto"/>
            <w:right w:val="none" w:sz="0" w:space="0" w:color="auto"/>
          </w:divBdr>
        </w:div>
        <w:div w:id="1135829037">
          <w:marLeft w:val="1800"/>
          <w:marRight w:val="0"/>
          <w:marTop w:val="0"/>
          <w:marBottom w:val="101"/>
          <w:divBdr>
            <w:top w:val="none" w:sz="0" w:space="0" w:color="auto"/>
            <w:left w:val="none" w:sz="0" w:space="0" w:color="auto"/>
            <w:bottom w:val="none" w:sz="0" w:space="0" w:color="auto"/>
            <w:right w:val="none" w:sz="0" w:space="0" w:color="auto"/>
          </w:divBdr>
        </w:div>
        <w:div w:id="1170751387">
          <w:marLeft w:val="1800"/>
          <w:marRight w:val="0"/>
          <w:marTop w:val="0"/>
          <w:marBottom w:val="101"/>
          <w:divBdr>
            <w:top w:val="none" w:sz="0" w:space="0" w:color="auto"/>
            <w:left w:val="none" w:sz="0" w:space="0" w:color="auto"/>
            <w:bottom w:val="none" w:sz="0" w:space="0" w:color="auto"/>
            <w:right w:val="none" w:sz="0" w:space="0" w:color="auto"/>
          </w:divBdr>
        </w:div>
        <w:div w:id="943924538">
          <w:marLeft w:val="0"/>
          <w:marRight w:val="0"/>
          <w:marTop w:val="0"/>
          <w:marBottom w:val="101"/>
          <w:divBdr>
            <w:top w:val="none" w:sz="0" w:space="0" w:color="auto"/>
            <w:left w:val="none" w:sz="0" w:space="0" w:color="auto"/>
            <w:bottom w:val="none" w:sz="0" w:space="0" w:color="auto"/>
            <w:right w:val="none" w:sz="0" w:space="0" w:color="auto"/>
          </w:divBdr>
        </w:div>
        <w:div w:id="845556645">
          <w:marLeft w:val="0"/>
          <w:marRight w:val="0"/>
          <w:marTop w:val="0"/>
          <w:marBottom w:val="101"/>
          <w:divBdr>
            <w:top w:val="none" w:sz="0" w:space="0" w:color="auto"/>
            <w:left w:val="none" w:sz="0" w:space="0" w:color="auto"/>
            <w:bottom w:val="none" w:sz="0" w:space="0" w:color="auto"/>
            <w:right w:val="none" w:sz="0" w:space="0" w:color="auto"/>
          </w:divBdr>
        </w:div>
        <w:div w:id="1714963037">
          <w:marLeft w:val="0"/>
          <w:marRight w:val="0"/>
          <w:marTop w:val="0"/>
          <w:marBottom w:val="101"/>
          <w:divBdr>
            <w:top w:val="none" w:sz="0" w:space="0" w:color="auto"/>
            <w:left w:val="none" w:sz="0" w:space="0" w:color="auto"/>
            <w:bottom w:val="none" w:sz="0" w:space="0" w:color="auto"/>
            <w:right w:val="none" w:sz="0" w:space="0" w:color="auto"/>
          </w:divBdr>
        </w:div>
        <w:div w:id="299457652">
          <w:marLeft w:val="0"/>
          <w:marRight w:val="0"/>
          <w:marTop w:val="0"/>
          <w:marBottom w:val="101"/>
          <w:divBdr>
            <w:top w:val="none" w:sz="0" w:space="0" w:color="auto"/>
            <w:left w:val="none" w:sz="0" w:space="0" w:color="auto"/>
            <w:bottom w:val="none" w:sz="0" w:space="0" w:color="auto"/>
            <w:right w:val="none" w:sz="0" w:space="0" w:color="auto"/>
          </w:divBdr>
        </w:div>
        <w:div w:id="17584571">
          <w:marLeft w:val="0"/>
          <w:marRight w:val="0"/>
          <w:marTop w:val="0"/>
          <w:marBottom w:val="101"/>
          <w:divBdr>
            <w:top w:val="none" w:sz="0" w:space="0" w:color="auto"/>
            <w:left w:val="none" w:sz="0" w:space="0" w:color="auto"/>
            <w:bottom w:val="none" w:sz="0" w:space="0" w:color="auto"/>
            <w:right w:val="none" w:sz="0" w:space="0" w:color="auto"/>
          </w:divBdr>
        </w:div>
        <w:div w:id="305545872">
          <w:marLeft w:val="0"/>
          <w:marRight w:val="0"/>
          <w:marTop w:val="0"/>
          <w:marBottom w:val="101"/>
          <w:divBdr>
            <w:top w:val="none" w:sz="0" w:space="0" w:color="auto"/>
            <w:left w:val="none" w:sz="0" w:space="0" w:color="auto"/>
            <w:bottom w:val="none" w:sz="0" w:space="0" w:color="auto"/>
            <w:right w:val="none" w:sz="0" w:space="0" w:color="auto"/>
          </w:divBdr>
        </w:div>
        <w:div w:id="929191709">
          <w:marLeft w:val="0"/>
          <w:marRight w:val="0"/>
          <w:marTop w:val="0"/>
          <w:marBottom w:val="101"/>
          <w:divBdr>
            <w:top w:val="none" w:sz="0" w:space="0" w:color="auto"/>
            <w:left w:val="none" w:sz="0" w:space="0" w:color="auto"/>
            <w:bottom w:val="none" w:sz="0" w:space="0" w:color="auto"/>
            <w:right w:val="none" w:sz="0" w:space="0" w:color="auto"/>
          </w:divBdr>
        </w:div>
        <w:div w:id="151485560">
          <w:marLeft w:val="0"/>
          <w:marRight w:val="0"/>
          <w:marTop w:val="0"/>
          <w:marBottom w:val="101"/>
          <w:divBdr>
            <w:top w:val="none" w:sz="0" w:space="0" w:color="auto"/>
            <w:left w:val="none" w:sz="0" w:space="0" w:color="auto"/>
            <w:bottom w:val="none" w:sz="0" w:space="0" w:color="auto"/>
            <w:right w:val="none" w:sz="0" w:space="0" w:color="auto"/>
          </w:divBdr>
        </w:div>
        <w:div w:id="816072308">
          <w:marLeft w:val="0"/>
          <w:marRight w:val="0"/>
          <w:marTop w:val="0"/>
          <w:marBottom w:val="101"/>
          <w:divBdr>
            <w:top w:val="none" w:sz="0" w:space="0" w:color="auto"/>
            <w:left w:val="none" w:sz="0" w:space="0" w:color="auto"/>
            <w:bottom w:val="none" w:sz="0" w:space="0" w:color="auto"/>
            <w:right w:val="none" w:sz="0" w:space="0" w:color="auto"/>
          </w:divBdr>
        </w:div>
        <w:div w:id="1608779319">
          <w:marLeft w:val="0"/>
          <w:marRight w:val="0"/>
          <w:marTop w:val="0"/>
          <w:marBottom w:val="101"/>
          <w:divBdr>
            <w:top w:val="none" w:sz="0" w:space="0" w:color="auto"/>
            <w:left w:val="none" w:sz="0" w:space="0" w:color="auto"/>
            <w:bottom w:val="none" w:sz="0" w:space="0" w:color="auto"/>
            <w:right w:val="none" w:sz="0" w:space="0" w:color="auto"/>
          </w:divBdr>
        </w:div>
        <w:div w:id="2125609520">
          <w:marLeft w:val="0"/>
          <w:marRight w:val="0"/>
          <w:marTop w:val="0"/>
          <w:marBottom w:val="101"/>
          <w:divBdr>
            <w:top w:val="none" w:sz="0" w:space="0" w:color="auto"/>
            <w:left w:val="none" w:sz="0" w:space="0" w:color="auto"/>
            <w:bottom w:val="none" w:sz="0" w:space="0" w:color="auto"/>
            <w:right w:val="none" w:sz="0" w:space="0" w:color="auto"/>
          </w:divBdr>
        </w:div>
        <w:div w:id="1753160053">
          <w:marLeft w:val="0"/>
          <w:marRight w:val="0"/>
          <w:marTop w:val="0"/>
          <w:marBottom w:val="101"/>
          <w:divBdr>
            <w:top w:val="none" w:sz="0" w:space="0" w:color="auto"/>
            <w:left w:val="none" w:sz="0" w:space="0" w:color="auto"/>
            <w:bottom w:val="none" w:sz="0" w:space="0" w:color="auto"/>
            <w:right w:val="none" w:sz="0" w:space="0" w:color="auto"/>
          </w:divBdr>
        </w:div>
        <w:div w:id="647127641">
          <w:marLeft w:val="0"/>
          <w:marRight w:val="0"/>
          <w:marTop w:val="0"/>
          <w:marBottom w:val="101"/>
          <w:divBdr>
            <w:top w:val="none" w:sz="0" w:space="0" w:color="auto"/>
            <w:left w:val="none" w:sz="0" w:space="0" w:color="auto"/>
            <w:bottom w:val="none" w:sz="0" w:space="0" w:color="auto"/>
            <w:right w:val="none" w:sz="0" w:space="0" w:color="auto"/>
          </w:divBdr>
        </w:div>
        <w:div w:id="676083415">
          <w:marLeft w:val="0"/>
          <w:marRight w:val="0"/>
          <w:marTop w:val="0"/>
          <w:marBottom w:val="101"/>
          <w:divBdr>
            <w:top w:val="none" w:sz="0" w:space="0" w:color="auto"/>
            <w:left w:val="none" w:sz="0" w:space="0" w:color="auto"/>
            <w:bottom w:val="none" w:sz="0" w:space="0" w:color="auto"/>
            <w:right w:val="none" w:sz="0" w:space="0" w:color="auto"/>
          </w:divBdr>
        </w:div>
        <w:div w:id="1980719706">
          <w:marLeft w:val="0"/>
          <w:marRight w:val="0"/>
          <w:marTop w:val="0"/>
          <w:marBottom w:val="101"/>
          <w:divBdr>
            <w:top w:val="none" w:sz="0" w:space="0" w:color="auto"/>
            <w:left w:val="none" w:sz="0" w:space="0" w:color="auto"/>
            <w:bottom w:val="none" w:sz="0" w:space="0" w:color="auto"/>
            <w:right w:val="none" w:sz="0" w:space="0" w:color="auto"/>
          </w:divBdr>
        </w:div>
        <w:div w:id="741827905">
          <w:marLeft w:val="0"/>
          <w:marRight w:val="0"/>
          <w:marTop w:val="0"/>
          <w:marBottom w:val="101"/>
          <w:divBdr>
            <w:top w:val="none" w:sz="0" w:space="0" w:color="auto"/>
            <w:left w:val="none" w:sz="0" w:space="0" w:color="auto"/>
            <w:bottom w:val="none" w:sz="0" w:space="0" w:color="auto"/>
            <w:right w:val="none" w:sz="0" w:space="0" w:color="auto"/>
          </w:divBdr>
        </w:div>
        <w:div w:id="92864980">
          <w:marLeft w:val="0"/>
          <w:marRight w:val="0"/>
          <w:marTop w:val="0"/>
          <w:marBottom w:val="101"/>
          <w:divBdr>
            <w:top w:val="none" w:sz="0" w:space="0" w:color="auto"/>
            <w:left w:val="none" w:sz="0" w:space="0" w:color="auto"/>
            <w:bottom w:val="none" w:sz="0" w:space="0" w:color="auto"/>
            <w:right w:val="none" w:sz="0" w:space="0" w:color="auto"/>
          </w:divBdr>
        </w:div>
        <w:div w:id="451561588">
          <w:marLeft w:val="0"/>
          <w:marRight w:val="0"/>
          <w:marTop w:val="0"/>
          <w:marBottom w:val="101"/>
          <w:divBdr>
            <w:top w:val="none" w:sz="0" w:space="0" w:color="auto"/>
            <w:left w:val="none" w:sz="0" w:space="0" w:color="auto"/>
            <w:bottom w:val="none" w:sz="0" w:space="0" w:color="auto"/>
            <w:right w:val="none" w:sz="0" w:space="0" w:color="auto"/>
          </w:divBdr>
        </w:div>
        <w:div w:id="355347731">
          <w:marLeft w:val="0"/>
          <w:marRight w:val="0"/>
          <w:marTop w:val="0"/>
          <w:marBottom w:val="101"/>
          <w:divBdr>
            <w:top w:val="none" w:sz="0" w:space="0" w:color="auto"/>
            <w:left w:val="none" w:sz="0" w:space="0" w:color="auto"/>
            <w:bottom w:val="none" w:sz="0" w:space="0" w:color="auto"/>
            <w:right w:val="none" w:sz="0" w:space="0" w:color="auto"/>
          </w:divBdr>
        </w:div>
        <w:div w:id="1155099761">
          <w:marLeft w:val="0"/>
          <w:marRight w:val="0"/>
          <w:marTop w:val="0"/>
          <w:marBottom w:val="101"/>
          <w:divBdr>
            <w:top w:val="none" w:sz="0" w:space="0" w:color="auto"/>
            <w:left w:val="none" w:sz="0" w:space="0" w:color="auto"/>
            <w:bottom w:val="none" w:sz="0" w:space="0" w:color="auto"/>
            <w:right w:val="none" w:sz="0" w:space="0" w:color="auto"/>
          </w:divBdr>
        </w:div>
        <w:div w:id="1544977147">
          <w:marLeft w:val="0"/>
          <w:marRight w:val="0"/>
          <w:marTop w:val="0"/>
          <w:marBottom w:val="101"/>
          <w:divBdr>
            <w:top w:val="none" w:sz="0" w:space="0" w:color="auto"/>
            <w:left w:val="none" w:sz="0" w:space="0" w:color="auto"/>
            <w:bottom w:val="none" w:sz="0" w:space="0" w:color="auto"/>
            <w:right w:val="none" w:sz="0" w:space="0" w:color="auto"/>
          </w:divBdr>
        </w:div>
        <w:div w:id="357900474">
          <w:marLeft w:val="0"/>
          <w:marRight w:val="0"/>
          <w:marTop w:val="0"/>
          <w:marBottom w:val="101"/>
          <w:divBdr>
            <w:top w:val="none" w:sz="0" w:space="0" w:color="auto"/>
            <w:left w:val="none" w:sz="0" w:space="0" w:color="auto"/>
            <w:bottom w:val="none" w:sz="0" w:space="0" w:color="auto"/>
            <w:right w:val="none" w:sz="0" w:space="0" w:color="auto"/>
          </w:divBdr>
        </w:div>
        <w:div w:id="57479153">
          <w:marLeft w:val="0"/>
          <w:marRight w:val="0"/>
          <w:marTop w:val="0"/>
          <w:marBottom w:val="101"/>
          <w:divBdr>
            <w:top w:val="none" w:sz="0" w:space="0" w:color="auto"/>
            <w:left w:val="none" w:sz="0" w:space="0" w:color="auto"/>
            <w:bottom w:val="none" w:sz="0" w:space="0" w:color="auto"/>
            <w:right w:val="none" w:sz="0" w:space="0" w:color="auto"/>
          </w:divBdr>
        </w:div>
        <w:div w:id="618873337">
          <w:marLeft w:val="0"/>
          <w:marRight w:val="0"/>
          <w:marTop w:val="0"/>
          <w:marBottom w:val="101"/>
          <w:divBdr>
            <w:top w:val="none" w:sz="0" w:space="0" w:color="auto"/>
            <w:left w:val="none" w:sz="0" w:space="0" w:color="auto"/>
            <w:bottom w:val="none" w:sz="0" w:space="0" w:color="auto"/>
            <w:right w:val="none" w:sz="0" w:space="0" w:color="auto"/>
          </w:divBdr>
        </w:div>
        <w:div w:id="350839419">
          <w:marLeft w:val="0"/>
          <w:marRight w:val="0"/>
          <w:marTop w:val="0"/>
          <w:marBottom w:val="101"/>
          <w:divBdr>
            <w:top w:val="none" w:sz="0" w:space="0" w:color="auto"/>
            <w:left w:val="none" w:sz="0" w:space="0" w:color="auto"/>
            <w:bottom w:val="none" w:sz="0" w:space="0" w:color="auto"/>
            <w:right w:val="none" w:sz="0" w:space="0" w:color="auto"/>
          </w:divBdr>
        </w:div>
        <w:div w:id="977615399">
          <w:marLeft w:val="1080"/>
          <w:marRight w:val="0"/>
          <w:marTop w:val="0"/>
          <w:marBottom w:val="101"/>
          <w:divBdr>
            <w:top w:val="none" w:sz="0" w:space="0" w:color="auto"/>
            <w:left w:val="none" w:sz="0" w:space="0" w:color="auto"/>
            <w:bottom w:val="none" w:sz="0" w:space="0" w:color="auto"/>
            <w:right w:val="none" w:sz="0" w:space="0" w:color="auto"/>
          </w:divBdr>
        </w:div>
        <w:div w:id="2099711339">
          <w:marLeft w:val="1080"/>
          <w:marRight w:val="0"/>
          <w:marTop w:val="0"/>
          <w:marBottom w:val="101"/>
          <w:divBdr>
            <w:top w:val="none" w:sz="0" w:space="0" w:color="auto"/>
            <w:left w:val="none" w:sz="0" w:space="0" w:color="auto"/>
            <w:bottom w:val="none" w:sz="0" w:space="0" w:color="auto"/>
            <w:right w:val="none" w:sz="0" w:space="0" w:color="auto"/>
          </w:divBdr>
        </w:div>
        <w:div w:id="1047143218">
          <w:marLeft w:val="1080"/>
          <w:marRight w:val="0"/>
          <w:marTop w:val="0"/>
          <w:marBottom w:val="101"/>
          <w:divBdr>
            <w:top w:val="none" w:sz="0" w:space="0" w:color="auto"/>
            <w:left w:val="none" w:sz="0" w:space="0" w:color="auto"/>
            <w:bottom w:val="none" w:sz="0" w:space="0" w:color="auto"/>
            <w:right w:val="none" w:sz="0" w:space="0" w:color="auto"/>
          </w:divBdr>
        </w:div>
        <w:div w:id="1000154953">
          <w:marLeft w:val="0"/>
          <w:marRight w:val="0"/>
          <w:marTop w:val="0"/>
          <w:marBottom w:val="101"/>
          <w:divBdr>
            <w:top w:val="none" w:sz="0" w:space="0" w:color="auto"/>
            <w:left w:val="none" w:sz="0" w:space="0" w:color="auto"/>
            <w:bottom w:val="none" w:sz="0" w:space="0" w:color="auto"/>
            <w:right w:val="none" w:sz="0" w:space="0" w:color="auto"/>
          </w:divBdr>
        </w:div>
        <w:div w:id="602349511">
          <w:marLeft w:val="0"/>
          <w:marRight w:val="0"/>
          <w:marTop w:val="0"/>
          <w:marBottom w:val="101"/>
          <w:divBdr>
            <w:top w:val="none" w:sz="0" w:space="0" w:color="auto"/>
            <w:left w:val="none" w:sz="0" w:space="0" w:color="auto"/>
            <w:bottom w:val="none" w:sz="0" w:space="0" w:color="auto"/>
            <w:right w:val="none" w:sz="0" w:space="0" w:color="auto"/>
          </w:divBdr>
        </w:div>
        <w:div w:id="646013765">
          <w:marLeft w:val="0"/>
          <w:marRight w:val="0"/>
          <w:marTop w:val="0"/>
          <w:marBottom w:val="101"/>
          <w:divBdr>
            <w:top w:val="none" w:sz="0" w:space="0" w:color="auto"/>
            <w:left w:val="none" w:sz="0" w:space="0" w:color="auto"/>
            <w:bottom w:val="none" w:sz="0" w:space="0" w:color="auto"/>
            <w:right w:val="none" w:sz="0" w:space="0" w:color="auto"/>
          </w:divBdr>
        </w:div>
        <w:div w:id="1901480841">
          <w:marLeft w:val="0"/>
          <w:marRight w:val="0"/>
          <w:marTop w:val="0"/>
          <w:marBottom w:val="101"/>
          <w:divBdr>
            <w:top w:val="none" w:sz="0" w:space="0" w:color="auto"/>
            <w:left w:val="none" w:sz="0" w:space="0" w:color="auto"/>
            <w:bottom w:val="none" w:sz="0" w:space="0" w:color="auto"/>
            <w:right w:val="none" w:sz="0" w:space="0" w:color="auto"/>
          </w:divBdr>
        </w:div>
        <w:div w:id="1948996828">
          <w:marLeft w:val="0"/>
          <w:marRight w:val="0"/>
          <w:marTop w:val="0"/>
          <w:marBottom w:val="101"/>
          <w:divBdr>
            <w:top w:val="none" w:sz="0" w:space="0" w:color="auto"/>
            <w:left w:val="none" w:sz="0" w:space="0" w:color="auto"/>
            <w:bottom w:val="none" w:sz="0" w:space="0" w:color="auto"/>
            <w:right w:val="none" w:sz="0" w:space="0" w:color="auto"/>
          </w:divBdr>
        </w:div>
        <w:div w:id="375588794">
          <w:marLeft w:val="0"/>
          <w:marRight w:val="0"/>
          <w:marTop w:val="0"/>
          <w:marBottom w:val="101"/>
          <w:divBdr>
            <w:top w:val="none" w:sz="0" w:space="0" w:color="auto"/>
            <w:left w:val="none" w:sz="0" w:space="0" w:color="auto"/>
            <w:bottom w:val="none" w:sz="0" w:space="0" w:color="auto"/>
            <w:right w:val="none" w:sz="0" w:space="0" w:color="auto"/>
          </w:divBdr>
        </w:div>
        <w:div w:id="30227104">
          <w:marLeft w:val="0"/>
          <w:marRight w:val="0"/>
          <w:marTop w:val="0"/>
          <w:marBottom w:val="101"/>
          <w:divBdr>
            <w:top w:val="none" w:sz="0" w:space="0" w:color="auto"/>
            <w:left w:val="none" w:sz="0" w:space="0" w:color="auto"/>
            <w:bottom w:val="none" w:sz="0" w:space="0" w:color="auto"/>
            <w:right w:val="none" w:sz="0" w:space="0" w:color="auto"/>
          </w:divBdr>
        </w:div>
        <w:div w:id="935097585">
          <w:marLeft w:val="0"/>
          <w:marRight w:val="0"/>
          <w:marTop w:val="0"/>
          <w:marBottom w:val="101"/>
          <w:divBdr>
            <w:top w:val="none" w:sz="0" w:space="0" w:color="auto"/>
            <w:left w:val="none" w:sz="0" w:space="0" w:color="auto"/>
            <w:bottom w:val="none" w:sz="0" w:space="0" w:color="auto"/>
            <w:right w:val="none" w:sz="0" w:space="0" w:color="auto"/>
          </w:divBdr>
        </w:div>
        <w:div w:id="1510020478">
          <w:marLeft w:val="0"/>
          <w:marRight w:val="0"/>
          <w:marTop w:val="0"/>
          <w:marBottom w:val="101"/>
          <w:divBdr>
            <w:top w:val="none" w:sz="0" w:space="0" w:color="auto"/>
            <w:left w:val="none" w:sz="0" w:space="0" w:color="auto"/>
            <w:bottom w:val="none" w:sz="0" w:space="0" w:color="auto"/>
            <w:right w:val="none" w:sz="0" w:space="0" w:color="auto"/>
          </w:divBdr>
        </w:div>
        <w:div w:id="334069490">
          <w:marLeft w:val="0"/>
          <w:marRight w:val="0"/>
          <w:marTop w:val="0"/>
          <w:marBottom w:val="101"/>
          <w:divBdr>
            <w:top w:val="none" w:sz="0" w:space="0" w:color="auto"/>
            <w:left w:val="none" w:sz="0" w:space="0" w:color="auto"/>
            <w:bottom w:val="none" w:sz="0" w:space="0" w:color="auto"/>
            <w:right w:val="none" w:sz="0" w:space="0" w:color="auto"/>
          </w:divBdr>
        </w:div>
        <w:div w:id="615598462">
          <w:marLeft w:val="1080"/>
          <w:marRight w:val="0"/>
          <w:marTop w:val="0"/>
          <w:marBottom w:val="101"/>
          <w:divBdr>
            <w:top w:val="none" w:sz="0" w:space="0" w:color="auto"/>
            <w:left w:val="none" w:sz="0" w:space="0" w:color="auto"/>
            <w:bottom w:val="none" w:sz="0" w:space="0" w:color="auto"/>
            <w:right w:val="none" w:sz="0" w:space="0" w:color="auto"/>
          </w:divBdr>
        </w:div>
        <w:div w:id="2114586883">
          <w:marLeft w:val="1440"/>
          <w:marRight w:val="0"/>
          <w:marTop w:val="0"/>
          <w:marBottom w:val="101"/>
          <w:divBdr>
            <w:top w:val="none" w:sz="0" w:space="0" w:color="auto"/>
            <w:left w:val="none" w:sz="0" w:space="0" w:color="auto"/>
            <w:bottom w:val="none" w:sz="0" w:space="0" w:color="auto"/>
            <w:right w:val="none" w:sz="0" w:space="0" w:color="auto"/>
          </w:divBdr>
        </w:div>
        <w:div w:id="1017075120">
          <w:marLeft w:val="1800"/>
          <w:marRight w:val="0"/>
          <w:marTop w:val="0"/>
          <w:marBottom w:val="101"/>
          <w:divBdr>
            <w:top w:val="none" w:sz="0" w:space="0" w:color="auto"/>
            <w:left w:val="none" w:sz="0" w:space="0" w:color="auto"/>
            <w:bottom w:val="none" w:sz="0" w:space="0" w:color="auto"/>
            <w:right w:val="none" w:sz="0" w:space="0" w:color="auto"/>
          </w:divBdr>
        </w:div>
        <w:div w:id="1875803335">
          <w:marLeft w:val="1800"/>
          <w:marRight w:val="0"/>
          <w:marTop w:val="0"/>
          <w:marBottom w:val="101"/>
          <w:divBdr>
            <w:top w:val="none" w:sz="0" w:space="0" w:color="auto"/>
            <w:left w:val="none" w:sz="0" w:space="0" w:color="auto"/>
            <w:bottom w:val="none" w:sz="0" w:space="0" w:color="auto"/>
            <w:right w:val="none" w:sz="0" w:space="0" w:color="auto"/>
          </w:divBdr>
        </w:div>
        <w:div w:id="2025470828">
          <w:marLeft w:val="1800"/>
          <w:marRight w:val="0"/>
          <w:marTop w:val="0"/>
          <w:marBottom w:val="101"/>
          <w:divBdr>
            <w:top w:val="none" w:sz="0" w:space="0" w:color="auto"/>
            <w:left w:val="none" w:sz="0" w:space="0" w:color="auto"/>
            <w:bottom w:val="none" w:sz="0" w:space="0" w:color="auto"/>
            <w:right w:val="none" w:sz="0" w:space="0" w:color="auto"/>
          </w:divBdr>
        </w:div>
        <w:div w:id="629481475">
          <w:marLeft w:val="1440"/>
          <w:marRight w:val="0"/>
          <w:marTop w:val="0"/>
          <w:marBottom w:val="101"/>
          <w:divBdr>
            <w:top w:val="none" w:sz="0" w:space="0" w:color="auto"/>
            <w:left w:val="none" w:sz="0" w:space="0" w:color="auto"/>
            <w:bottom w:val="none" w:sz="0" w:space="0" w:color="auto"/>
            <w:right w:val="none" w:sz="0" w:space="0" w:color="auto"/>
          </w:divBdr>
        </w:div>
        <w:div w:id="423693016">
          <w:marLeft w:val="1440"/>
          <w:marRight w:val="0"/>
          <w:marTop w:val="0"/>
          <w:marBottom w:val="101"/>
          <w:divBdr>
            <w:top w:val="none" w:sz="0" w:space="0" w:color="auto"/>
            <w:left w:val="none" w:sz="0" w:space="0" w:color="auto"/>
            <w:bottom w:val="none" w:sz="0" w:space="0" w:color="auto"/>
            <w:right w:val="none" w:sz="0" w:space="0" w:color="auto"/>
          </w:divBdr>
        </w:div>
        <w:div w:id="427583336">
          <w:marLeft w:val="1080"/>
          <w:marRight w:val="0"/>
          <w:marTop w:val="0"/>
          <w:marBottom w:val="101"/>
          <w:divBdr>
            <w:top w:val="none" w:sz="0" w:space="0" w:color="auto"/>
            <w:left w:val="none" w:sz="0" w:space="0" w:color="auto"/>
            <w:bottom w:val="none" w:sz="0" w:space="0" w:color="auto"/>
            <w:right w:val="none" w:sz="0" w:space="0" w:color="auto"/>
          </w:divBdr>
        </w:div>
        <w:div w:id="346521196">
          <w:marLeft w:val="0"/>
          <w:marRight w:val="0"/>
          <w:marTop w:val="0"/>
          <w:marBottom w:val="101"/>
          <w:divBdr>
            <w:top w:val="none" w:sz="0" w:space="0" w:color="auto"/>
            <w:left w:val="none" w:sz="0" w:space="0" w:color="auto"/>
            <w:bottom w:val="none" w:sz="0" w:space="0" w:color="auto"/>
            <w:right w:val="none" w:sz="0" w:space="0" w:color="auto"/>
          </w:divBdr>
        </w:div>
        <w:div w:id="357396219">
          <w:marLeft w:val="1080"/>
          <w:marRight w:val="0"/>
          <w:marTop w:val="0"/>
          <w:marBottom w:val="101"/>
          <w:divBdr>
            <w:top w:val="none" w:sz="0" w:space="0" w:color="auto"/>
            <w:left w:val="none" w:sz="0" w:space="0" w:color="auto"/>
            <w:bottom w:val="none" w:sz="0" w:space="0" w:color="auto"/>
            <w:right w:val="none" w:sz="0" w:space="0" w:color="auto"/>
          </w:divBdr>
        </w:div>
        <w:div w:id="1156918669">
          <w:marLeft w:val="1080"/>
          <w:marRight w:val="0"/>
          <w:marTop w:val="0"/>
          <w:marBottom w:val="101"/>
          <w:divBdr>
            <w:top w:val="none" w:sz="0" w:space="0" w:color="auto"/>
            <w:left w:val="none" w:sz="0" w:space="0" w:color="auto"/>
            <w:bottom w:val="none" w:sz="0" w:space="0" w:color="auto"/>
            <w:right w:val="none" w:sz="0" w:space="0" w:color="auto"/>
          </w:divBdr>
        </w:div>
        <w:div w:id="258293180">
          <w:marLeft w:val="1080"/>
          <w:marRight w:val="0"/>
          <w:marTop w:val="0"/>
          <w:marBottom w:val="101"/>
          <w:divBdr>
            <w:top w:val="none" w:sz="0" w:space="0" w:color="auto"/>
            <w:left w:val="none" w:sz="0" w:space="0" w:color="auto"/>
            <w:bottom w:val="none" w:sz="0" w:space="0" w:color="auto"/>
            <w:right w:val="none" w:sz="0" w:space="0" w:color="auto"/>
          </w:divBdr>
        </w:div>
        <w:div w:id="2062629279">
          <w:marLeft w:val="0"/>
          <w:marRight w:val="0"/>
          <w:marTop w:val="0"/>
          <w:marBottom w:val="101"/>
          <w:divBdr>
            <w:top w:val="none" w:sz="0" w:space="0" w:color="auto"/>
            <w:left w:val="none" w:sz="0" w:space="0" w:color="auto"/>
            <w:bottom w:val="none" w:sz="0" w:space="0" w:color="auto"/>
            <w:right w:val="none" w:sz="0" w:space="0" w:color="auto"/>
          </w:divBdr>
        </w:div>
        <w:div w:id="583564104">
          <w:marLeft w:val="0"/>
          <w:marRight w:val="0"/>
          <w:marTop w:val="0"/>
          <w:marBottom w:val="101"/>
          <w:divBdr>
            <w:top w:val="none" w:sz="0" w:space="0" w:color="auto"/>
            <w:left w:val="none" w:sz="0" w:space="0" w:color="auto"/>
            <w:bottom w:val="none" w:sz="0" w:space="0" w:color="auto"/>
            <w:right w:val="none" w:sz="0" w:space="0" w:color="auto"/>
          </w:divBdr>
        </w:div>
        <w:div w:id="766854148">
          <w:marLeft w:val="0"/>
          <w:marRight w:val="0"/>
          <w:marTop w:val="0"/>
          <w:marBottom w:val="101"/>
          <w:divBdr>
            <w:top w:val="none" w:sz="0" w:space="0" w:color="auto"/>
            <w:left w:val="none" w:sz="0" w:space="0" w:color="auto"/>
            <w:bottom w:val="none" w:sz="0" w:space="0" w:color="auto"/>
            <w:right w:val="none" w:sz="0" w:space="0" w:color="auto"/>
          </w:divBdr>
        </w:div>
        <w:div w:id="1686780964">
          <w:marLeft w:val="0"/>
          <w:marRight w:val="0"/>
          <w:marTop w:val="0"/>
          <w:marBottom w:val="101"/>
          <w:divBdr>
            <w:top w:val="none" w:sz="0" w:space="0" w:color="auto"/>
            <w:left w:val="none" w:sz="0" w:space="0" w:color="auto"/>
            <w:bottom w:val="none" w:sz="0" w:space="0" w:color="auto"/>
            <w:right w:val="none" w:sz="0" w:space="0" w:color="auto"/>
          </w:divBdr>
        </w:div>
        <w:div w:id="1264534032">
          <w:marLeft w:val="1440"/>
          <w:marRight w:val="0"/>
          <w:marTop w:val="0"/>
          <w:marBottom w:val="101"/>
          <w:divBdr>
            <w:top w:val="none" w:sz="0" w:space="0" w:color="auto"/>
            <w:left w:val="none" w:sz="0" w:space="0" w:color="auto"/>
            <w:bottom w:val="none" w:sz="0" w:space="0" w:color="auto"/>
            <w:right w:val="none" w:sz="0" w:space="0" w:color="auto"/>
          </w:divBdr>
        </w:div>
        <w:div w:id="2140952303">
          <w:marLeft w:val="1440"/>
          <w:marRight w:val="0"/>
          <w:marTop w:val="0"/>
          <w:marBottom w:val="101"/>
          <w:divBdr>
            <w:top w:val="none" w:sz="0" w:space="0" w:color="auto"/>
            <w:left w:val="none" w:sz="0" w:space="0" w:color="auto"/>
            <w:bottom w:val="none" w:sz="0" w:space="0" w:color="auto"/>
            <w:right w:val="none" w:sz="0" w:space="0" w:color="auto"/>
          </w:divBdr>
        </w:div>
        <w:div w:id="943541426">
          <w:marLeft w:val="0"/>
          <w:marRight w:val="0"/>
          <w:marTop w:val="0"/>
          <w:marBottom w:val="101"/>
          <w:divBdr>
            <w:top w:val="none" w:sz="0" w:space="0" w:color="auto"/>
            <w:left w:val="none" w:sz="0" w:space="0" w:color="auto"/>
            <w:bottom w:val="none" w:sz="0" w:space="0" w:color="auto"/>
            <w:right w:val="none" w:sz="0" w:space="0" w:color="auto"/>
          </w:divBdr>
        </w:div>
        <w:div w:id="1493837059">
          <w:marLeft w:val="0"/>
          <w:marRight w:val="0"/>
          <w:marTop w:val="0"/>
          <w:marBottom w:val="101"/>
          <w:divBdr>
            <w:top w:val="none" w:sz="0" w:space="0" w:color="auto"/>
            <w:left w:val="none" w:sz="0" w:space="0" w:color="auto"/>
            <w:bottom w:val="none" w:sz="0" w:space="0" w:color="auto"/>
            <w:right w:val="none" w:sz="0" w:space="0" w:color="auto"/>
          </w:divBdr>
        </w:div>
        <w:div w:id="55591618">
          <w:marLeft w:val="0"/>
          <w:marRight w:val="0"/>
          <w:marTop w:val="0"/>
          <w:marBottom w:val="101"/>
          <w:divBdr>
            <w:top w:val="none" w:sz="0" w:space="0" w:color="auto"/>
            <w:left w:val="none" w:sz="0" w:space="0" w:color="auto"/>
            <w:bottom w:val="none" w:sz="0" w:space="0" w:color="auto"/>
            <w:right w:val="none" w:sz="0" w:space="0" w:color="auto"/>
          </w:divBdr>
        </w:div>
        <w:div w:id="576941829">
          <w:marLeft w:val="0"/>
          <w:marRight w:val="0"/>
          <w:marTop w:val="0"/>
          <w:marBottom w:val="101"/>
          <w:divBdr>
            <w:top w:val="none" w:sz="0" w:space="0" w:color="auto"/>
            <w:left w:val="none" w:sz="0" w:space="0" w:color="auto"/>
            <w:bottom w:val="none" w:sz="0" w:space="0" w:color="auto"/>
            <w:right w:val="none" w:sz="0" w:space="0" w:color="auto"/>
          </w:divBdr>
        </w:div>
        <w:div w:id="1247423708">
          <w:marLeft w:val="1080"/>
          <w:marRight w:val="0"/>
          <w:marTop w:val="0"/>
          <w:marBottom w:val="101"/>
          <w:divBdr>
            <w:top w:val="none" w:sz="0" w:space="0" w:color="auto"/>
            <w:left w:val="none" w:sz="0" w:space="0" w:color="auto"/>
            <w:bottom w:val="none" w:sz="0" w:space="0" w:color="auto"/>
            <w:right w:val="none" w:sz="0" w:space="0" w:color="auto"/>
          </w:divBdr>
        </w:div>
        <w:div w:id="2064601305">
          <w:marLeft w:val="1080"/>
          <w:marRight w:val="0"/>
          <w:marTop w:val="0"/>
          <w:marBottom w:val="101"/>
          <w:divBdr>
            <w:top w:val="none" w:sz="0" w:space="0" w:color="auto"/>
            <w:left w:val="none" w:sz="0" w:space="0" w:color="auto"/>
            <w:bottom w:val="none" w:sz="0" w:space="0" w:color="auto"/>
            <w:right w:val="none" w:sz="0" w:space="0" w:color="auto"/>
          </w:divBdr>
        </w:div>
        <w:div w:id="901136568">
          <w:marLeft w:val="1080"/>
          <w:marRight w:val="0"/>
          <w:marTop w:val="0"/>
          <w:marBottom w:val="101"/>
          <w:divBdr>
            <w:top w:val="none" w:sz="0" w:space="0" w:color="auto"/>
            <w:left w:val="none" w:sz="0" w:space="0" w:color="auto"/>
            <w:bottom w:val="none" w:sz="0" w:space="0" w:color="auto"/>
            <w:right w:val="none" w:sz="0" w:space="0" w:color="auto"/>
          </w:divBdr>
        </w:div>
        <w:div w:id="2038919099">
          <w:marLeft w:val="1080"/>
          <w:marRight w:val="0"/>
          <w:marTop w:val="0"/>
          <w:marBottom w:val="101"/>
          <w:divBdr>
            <w:top w:val="none" w:sz="0" w:space="0" w:color="auto"/>
            <w:left w:val="none" w:sz="0" w:space="0" w:color="auto"/>
            <w:bottom w:val="none" w:sz="0" w:space="0" w:color="auto"/>
            <w:right w:val="none" w:sz="0" w:space="0" w:color="auto"/>
          </w:divBdr>
        </w:div>
        <w:div w:id="1914001726">
          <w:marLeft w:val="1080"/>
          <w:marRight w:val="0"/>
          <w:marTop w:val="0"/>
          <w:marBottom w:val="101"/>
          <w:divBdr>
            <w:top w:val="none" w:sz="0" w:space="0" w:color="auto"/>
            <w:left w:val="none" w:sz="0" w:space="0" w:color="auto"/>
            <w:bottom w:val="none" w:sz="0" w:space="0" w:color="auto"/>
            <w:right w:val="none" w:sz="0" w:space="0" w:color="auto"/>
          </w:divBdr>
        </w:div>
        <w:div w:id="1354645736">
          <w:marLeft w:val="1080"/>
          <w:marRight w:val="0"/>
          <w:marTop w:val="0"/>
          <w:marBottom w:val="101"/>
          <w:divBdr>
            <w:top w:val="none" w:sz="0" w:space="0" w:color="auto"/>
            <w:left w:val="none" w:sz="0" w:space="0" w:color="auto"/>
            <w:bottom w:val="none" w:sz="0" w:space="0" w:color="auto"/>
            <w:right w:val="none" w:sz="0" w:space="0" w:color="auto"/>
          </w:divBdr>
        </w:div>
        <w:div w:id="392002041">
          <w:marLeft w:val="1080"/>
          <w:marRight w:val="0"/>
          <w:marTop w:val="0"/>
          <w:marBottom w:val="101"/>
          <w:divBdr>
            <w:top w:val="none" w:sz="0" w:space="0" w:color="auto"/>
            <w:left w:val="none" w:sz="0" w:space="0" w:color="auto"/>
            <w:bottom w:val="none" w:sz="0" w:space="0" w:color="auto"/>
            <w:right w:val="none" w:sz="0" w:space="0" w:color="auto"/>
          </w:divBdr>
        </w:div>
        <w:div w:id="1610965344">
          <w:marLeft w:val="1080"/>
          <w:marRight w:val="0"/>
          <w:marTop w:val="0"/>
          <w:marBottom w:val="101"/>
          <w:divBdr>
            <w:top w:val="none" w:sz="0" w:space="0" w:color="auto"/>
            <w:left w:val="none" w:sz="0" w:space="0" w:color="auto"/>
            <w:bottom w:val="none" w:sz="0" w:space="0" w:color="auto"/>
            <w:right w:val="none" w:sz="0" w:space="0" w:color="auto"/>
          </w:divBdr>
        </w:div>
        <w:div w:id="1394041100">
          <w:marLeft w:val="1080"/>
          <w:marRight w:val="0"/>
          <w:marTop w:val="0"/>
          <w:marBottom w:val="101"/>
          <w:divBdr>
            <w:top w:val="none" w:sz="0" w:space="0" w:color="auto"/>
            <w:left w:val="none" w:sz="0" w:space="0" w:color="auto"/>
            <w:bottom w:val="none" w:sz="0" w:space="0" w:color="auto"/>
            <w:right w:val="none" w:sz="0" w:space="0" w:color="auto"/>
          </w:divBdr>
        </w:div>
        <w:div w:id="1075740179">
          <w:marLeft w:val="1080"/>
          <w:marRight w:val="0"/>
          <w:marTop w:val="0"/>
          <w:marBottom w:val="101"/>
          <w:divBdr>
            <w:top w:val="none" w:sz="0" w:space="0" w:color="auto"/>
            <w:left w:val="none" w:sz="0" w:space="0" w:color="auto"/>
            <w:bottom w:val="none" w:sz="0" w:space="0" w:color="auto"/>
            <w:right w:val="none" w:sz="0" w:space="0" w:color="auto"/>
          </w:divBdr>
        </w:div>
        <w:div w:id="1215387337">
          <w:marLeft w:val="1080"/>
          <w:marRight w:val="0"/>
          <w:marTop w:val="0"/>
          <w:marBottom w:val="101"/>
          <w:divBdr>
            <w:top w:val="none" w:sz="0" w:space="0" w:color="auto"/>
            <w:left w:val="none" w:sz="0" w:space="0" w:color="auto"/>
            <w:bottom w:val="none" w:sz="0" w:space="0" w:color="auto"/>
            <w:right w:val="none" w:sz="0" w:space="0" w:color="auto"/>
          </w:divBdr>
        </w:div>
        <w:div w:id="1931621488">
          <w:marLeft w:val="1080"/>
          <w:marRight w:val="0"/>
          <w:marTop w:val="0"/>
          <w:marBottom w:val="101"/>
          <w:divBdr>
            <w:top w:val="none" w:sz="0" w:space="0" w:color="auto"/>
            <w:left w:val="none" w:sz="0" w:space="0" w:color="auto"/>
            <w:bottom w:val="none" w:sz="0" w:space="0" w:color="auto"/>
            <w:right w:val="none" w:sz="0" w:space="0" w:color="auto"/>
          </w:divBdr>
        </w:div>
        <w:div w:id="1065106979">
          <w:marLeft w:val="1440"/>
          <w:marRight w:val="0"/>
          <w:marTop w:val="0"/>
          <w:marBottom w:val="101"/>
          <w:divBdr>
            <w:top w:val="none" w:sz="0" w:space="0" w:color="auto"/>
            <w:left w:val="none" w:sz="0" w:space="0" w:color="auto"/>
            <w:bottom w:val="none" w:sz="0" w:space="0" w:color="auto"/>
            <w:right w:val="none" w:sz="0" w:space="0" w:color="auto"/>
          </w:divBdr>
        </w:div>
        <w:div w:id="1899199004">
          <w:marLeft w:val="1440"/>
          <w:marRight w:val="0"/>
          <w:marTop w:val="0"/>
          <w:marBottom w:val="101"/>
          <w:divBdr>
            <w:top w:val="none" w:sz="0" w:space="0" w:color="auto"/>
            <w:left w:val="none" w:sz="0" w:space="0" w:color="auto"/>
            <w:bottom w:val="none" w:sz="0" w:space="0" w:color="auto"/>
            <w:right w:val="none" w:sz="0" w:space="0" w:color="auto"/>
          </w:divBdr>
        </w:div>
        <w:div w:id="1133403200">
          <w:marLeft w:val="1440"/>
          <w:marRight w:val="0"/>
          <w:marTop w:val="0"/>
          <w:marBottom w:val="101"/>
          <w:divBdr>
            <w:top w:val="none" w:sz="0" w:space="0" w:color="auto"/>
            <w:left w:val="none" w:sz="0" w:space="0" w:color="auto"/>
            <w:bottom w:val="none" w:sz="0" w:space="0" w:color="auto"/>
            <w:right w:val="none" w:sz="0" w:space="0" w:color="auto"/>
          </w:divBdr>
        </w:div>
        <w:div w:id="877356462">
          <w:marLeft w:val="1440"/>
          <w:marRight w:val="0"/>
          <w:marTop w:val="0"/>
          <w:marBottom w:val="101"/>
          <w:divBdr>
            <w:top w:val="none" w:sz="0" w:space="0" w:color="auto"/>
            <w:left w:val="none" w:sz="0" w:space="0" w:color="auto"/>
            <w:bottom w:val="none" w:sz="0" w:space="0" w:color="auto"/>
            <w:right w:val="none" w:sz="0" w:space="0" w:color="auto"/>
          </w:divBdr>
        </w:div>
        <w:div w:id="1934320405">
          <w:marLeft w:val="1800"/>
          <w:marRight w:val="0"/>
          <w:marTop w:val="0"/>
          <w:marBottom w:val="101"/>
          <w:divBdr>
            <w:top w:val="none" w:sz="0" w:space="0" w:color="auto"/>
            <w:left w:val="none" w:sz="0" w:space="0" w:color="auto"/>
            <w:bottom w:val="none" w:sz="0" w:space="0" w:color="auto"/>
            <w:right w:val="none" w:sz="0" w:space="0" w:color="auto"/>
          </w:divBdr>
        </w:div>
        <w:div w:id="1277836197">
          <w:marLeft w:val="1800"/>
          <w:marRight w:val="0"/>
          <w:marTop w:val="0"/>
          <w:marBottom w:val="101"/>
          <w:divBdr>
            <w:top w:val="none" w:sz="0" w:space="0" w:color="auto"/>
            <w:left w:val="none" w:sz="0" w:space="0" w:color="auto"/>
            <w:bottom w:val="none" w:sz="0" w:space="0" w:color="auto"/>
            <w:right w:val="none" w:sz="0" w:space="0" w:color="auto"/>
          </w:divBdr>
        </w:div>
        <w:div w:id="1406992768">
          <w:marLeft w:val="1800"/>
          <w:marRight w:val="0"/>
          <w:marTop w:val="0"/>
          <w:marBottom w:val="101"/>
          <w:divBdr>
            <w:top w:val="none" w:sz="0" w:space="0" w:color="auto"/>
            <w:left w:val="none" w:sz="0" w:space="0" w:color="auto"/>
            <w:bottom w:val="none" w:sz="0" w:space="0" w:color="auto"/>
            <w:right w:val="none" w:sz="0" w:space="0" w:color="auto"/>
          </w:divBdr>
        </w:div>
        <w:div w:id="422722846">
          <w:marLeft w:val="1440"/>
          <w:marRight w:val="0"/>
          <w:marTop w:val="0"/>
          <w:marBottom w:val="101"/>
          <w:divBdr>
            <w:top w:val="none" w:sz="0" w:space="0" w:color="auto"/>
            <w:left w:val="none" w:sz="0" w:space="0" w:color="auto"/>
            <w:bottom w:val="none" w:sz="0" w:space="0" w:color="auto"/>
            <w:right w:val="none" w:sz="0" w:space="0" w:color="auto"/>
          </w:divBdr>
        </w:div>
        <w:div w:id="1200631855">
          <w:marLeft w:val="1440"/>
          <w:marRight w:val="0"/>
          <w:marTop w:val="0"/>
          <w:marBottom w:val="101"/>
          <w:divBdr>
            <w:top w:val="none" w:sz="0" w:space="0" w:color="auto"/>
            <w:left w:val="none" w:sz="0" w:space="0" w:color="auto"/>
            <w:bottom w:val="none" w:sz="0" w:space="0" w:color="auto"/>
            <w:right w:val="none" w:sz="0" w:space="0" w:color="auto"/>
          </w:divBdr>
        </w:div>
        <w:div w:id="276958146">
          <w:marLeft w:val="1440"/>
          <w:marRight w:val="0"/>
          <w:marTop w:val="0"/>
          <w:marBottom w:val="101"/>
          <w:divBdr>
            <w:top w:val="none" w:sz="0" w:space="0" w:color="auto"/>
            <w:left w:val="none" w:sz="0" w:space="0" w:color="auto"/>
            <w:bottom w:val="none" w:sz="0" w:space="0" w:color="auto"/>
            <w:right w:val="none" w:sz="0" w:space="0" w:color="auto"/>
          </w:divBdr>
        </w:div>
        <w:div w:id="687752557">
          <w:marLeft w:val="1440"/>
          <w:marRight w:val="0"/>
          <w:marTop w:val="0"/>
          <w:marBottom w:val="101"/>
          <w:divBdr>
            <w:top w:val="none" w:sz="0" w:space="0" w:color="auto"/>
            <w:left w:val="none" w:sz="0" w:space="0" w:color="auto"/>
            <w:bottom w:val="none" w:sz="0" w:space="0" w:color="auto"/>
            <w:right w:val="none" w:sz="0" w:space="0" w:color="auto"/>
          </w:divBdr>
        </w:div>
        <w:div w:id="1901092130">
          <w:marLeft w:val="1440"/>
          <w:marRight w:val="0"/>
          <w:marTop w:val="0"/>
          <w:marBottom w:val="101"/>
          <w:divBdr>
            <w:top w:val="none" w:sz="0" w:space="0" w:color="auto"/>
            <w:left w:val="none" w:sz="0" w:space="0" w:color="auto"/>
            <w:bottom w:val="none" w:sz="0" w:space="0" w:color="auto"/>
            <w:right w:val="none" w:sz="0" w:space="0" w:color="auto"/>
          </w:divBdr>
        </w:div>
        <w:div w:id="393242109">
          <w:marLeft w:val="1440"/>
          <w:marRight w:val="0"/>
          <w:marTop w:val="0"/>
          <w:marBottom w:val="101"/>
          <w:divBdr>
            <w:top w:val="none" w:sz="0" w:space="0" w:color="auto"/>
            <w:left w:val="none" w:sz="0" w:space="0" w:color="auto"/>
            <w:bottom w:val="none" w:sz="0" w:space="0" w:color="auto"/>
            <w:right w:val="none" w:sz="0" w:space="0" w:color="auto"/>
          </w:divBdr>
        </w:div>
        <w:div w:id="1055470430">
          <w:marLeft w:val="1440"/>
          <w:marRight w:val="0"/>
          <w:marTop w:val="0"/>
          <w:marBottom w:val="101"/>
          <w:divBdr>
            <w:top w:val="none" w:sz="0" w:space="0" w:color="auto"/>
            <w:left w:val="none" w:sz="0" w:space="0" w:color="auto"/>
            <w:bottom w:val="none" w:sz="0" w:space="0" w:color="auto"/>
            <w:right w:val="none" w:sz="0" w:space="0" w:color="auto"/>
          </w:divBdr>
        </w:div>
        <w:div w:id="1150485851">
          <w:marLeft w:val="1440"/>
          <w:marRight w:val="0"/>
          <w:marTop w:val="0"/>
          <w:marBottom w:val="101"/>
          <w:divBdr>
            <w:top w:val="none" w:sz="0" w:space="0" w:color="auto"/>
            <w:left w:val="none" w:sz="0" w:space="0" w:color="auto"/>
            <w:bottom w:val="none" w:sz="0" w:space="0" w:color="auto"/>
            <w:right w:val="none" w:sz="0" w:space="0" w:color="auto"/>
          </w:divBdr>
        </w:div>
        <w:div w:id="1789276476">
          <w:marLeft w:val="1080"/>
          <w:marRight w:val="0"/>
          <w:marTop w:val="0"/>
          <w:marBottom w:val="101"/>
          <w:divBdr>
            <w:top w:val="none" w:sz="0" w:space="0" w:color="auto"/>
            <w:left w:val="none" w:sz="0" w:space="0" w:color="auto"/>
            <w:bottom w:val="none" w:sz="0" w:space="0" w:color="auto"/>
            <w:right w:val="none" w:sz="0" w:space="0" w:color="auto"/>
          </w:divBdr>
        </w:div>
        <w:div w:id="1688754525">
          <w:marLeft w:val="1080"/>
          <w:marRight w:val="0"/>
          <w:marTop w:val="0"/>
          <w:marBottom w:val="101"/>
          <w:divBdr>
            <w:top w:val="none" w:sz="0" w:space="0" w:color="auto"/>
            <w:left w:val="none" w:sz="0" w:space="0" w:color="auto"/>
            <w:bottom w:val="none" w:sz="0" w:space="0" w:color="auto"/>
            <w:right w:val="none" w:sz="0" w:space="0" w:color="auto"/>
          </w:divBdr>
        </w:div>
        <w:div w:id="1790780118">
          <w:marLeft w:val="1080"/>
          <w:marRight w:val="0"/>
          <w:marTop w:val="0"/>
          <w:marBottom w:val="101"/>
          <w:divBdr>
            <w:top w:val="none" w:sz="0" w:space="0" w:color="auto"/>
            <w:left w:val="none" w:sz="0" w:space="0" w:color="auto"/>
            <w:bottom w:val="none" w:sz="0" w:space="0" w:color="auto"/>
            <w:right w:val="none" w:sz="0" w:space="0" w:color="auto"/>
          </w:divBdr>
        </w:div>
        <w:div w:id="2138986742">
          <w:marLeft w:val="1440"/>
          <w:marRight w:val="0"/>
          <w:marTop w:val="0"/>
          <w:marBottom w:val="101"/>
          <w:divBdr>
            <w:top w:val="none" w:sz="0" w:space="0" w:color="auto"/>
            <w:left w:val="none" w:sz="0" w:space="0" w:color="auto"/>
            <w:bottom w:val="none" w:sz="0" w:space="0" w:color="auto"/>
            <w:right w:val="none" w:sz="0" w:space="0" w:color="auto"/>
          </w:divBdr>
        </w:div>
        <w:div w:id="13658082">
          <w:marLeft w:val="1440"/>
          <w:marRight w:val="0"/>
          <w:marTop w:val="0"/>
          <w:marBottom w:val="101"/>
          <w:divBdr>
            <w:top w:val="none" w:sz="0" w:space="0" w:color="auto"/>
            <w:left w:val="none" w:sz="0" w:space="0" w:color="auto"/>
            <w:bottom w:val="none" w:sz="0" w:space="0" w:color="auto"/>
            <w:right w:val="none" w:sz="0" w:space="0" w:color="auto"/>
          </w:divBdr>
        </w:div>
        <w:div w:id="1753358595">
          <w:marLeft w:val="1440"/>
          <w:marRight w:val="0"/>
          <w:marTop w:val="0"/>
          <w:marBottom w:val="101"/>
          <w:divBdr>
            <w:top w:val="none" w:sz="0" w:space="0" w:color="auto"/>
            <w:left w:val="none" w:sz="0" w:space="0" w:color="auto"/>
            <w:bottom w:val="none" w:sz="0" w:space="0" w:color="auto"/>
            <w:right w:val="none" w:sz="0" w:space="0" w:color="auto"/>
          </w:divBdr>
        </w:div>
        <w:div w:id="135756056">
          <w:marLeft w:val="1080"/>
          <w:marRight w:val="0"/>
          <w:marTop w:val="0"/>
          <w:marBottom w:val="101"/>
          <w:divBdr>
            <w:top w:val="none" w:sz="0" w:space="0" w:color="auto"/>
            <w:left w:val="none" w:sz="0" w:space="0" w:color="auto"/>
            <w:bottom w:val="none" w:sz="0" w:space="0" w:color="auto"/>
            <w:right w:val="none" w:sz="0" w:space="0" w:color="auto"/>
          </w:divBdr>
        </w:div>
        <w:div w:id="892692654">
          <w:marLeft w:val="1440"/>
          <w:marRight w:val="0"/>
          <w:marTop w:val="0"/>
          <w:marBottom w:val="101"/>
          <w:divBdr>
            <w:top w:val="none" w:sz="0" w:space="0" w:color="auto"/>
            <w:left w:val="none" w:sz="0" w:space="0" w:color="auto"/>
            <w:bottom w:val="none" w:sz="0" w:space="0" w:color="auto"/>
            <w:right w:val="none" w:sz="0" w:space="0" w:color="auto"/>
          </w:divBdr>
        </w:div>
        <w:div w:id="118304541">
          <w:marLeft w:val="1800"/>
          <w:marRight w:val="0"/>
          <w:marTop w:val="0"/>
          <w:marBottom w:val="101"/>
          <w:divBdr>
            <w:top w:val="none" w:sz="0" w:space="0" w:color="auto"/>
            <w:left w:val="none" w:sz="0" w:space="0" w:color="auto"/>
            <w:bottom w:val="none" w:sz="0" w:space="0" w:color="auto"/>
            <w:right w:val="none" w:sz="0" w:space="0" w:color="auto"/>
          </w:divBdr>
        </w:div>
        <w:div w:id="1874994156">
          <w:marLeft w:val="1800"/>
          <w:marRight w:val="0"/>
          <w:marTop w:val="0"/>
          <w:marBottom w:val="101"/>
          <w:divBdr>
            <w:top w:val="none" w:sz="0" w:space="0" w:color="auto"/>
            <w:left w:val="none" w:sz="0" w:space="0" w:color="auto"/>
            <w:bottom w:val="none" w:sz="0" w:space="0" w:color="auto"/>
            <w:right w:val="none" w:sz="0" w:space="0" w:color="auto"/>
          </w:divBdr>
        </w:div>
        <w:div w:id="552009941">
          <w:marLeft w:val="1800"/>
          <w:marRight w:val="0"/>
          <w:marTop w:val="0"/>
          <w:marBottom w:val="101"/>
          <w:divBdr>
            <w:top w:val="none" w:sz="0" w:space="0" w:color="auto"/>
            <w:left w:val="none" w:sz="0" w:space="0" w:color="auto"/>
            <w:bottom w:val="none" w:sz="0" w:space="0" w:color="auto"/>
            <w:right w:val="none" w:sz="0" w:space="0" w:color="auto"/>
          </w:divBdr>
        </w:div>
        <w:div w:id="1844466638">
          <w:marLeft w:val="1800"/>
          <w:marRight w:val="0"/>
          <w:marTop w:val="0"/>
          <w:marBottom w:val="101"/>
          <w:divBdr>
            <w:top w:val="none" w:sz="0" w:space="0" w:color="auto"/>
            <w:left w:val="none" w:sz="0" w:space="0" w:color="auto"/>
            <w:bottom w:val="none" w:sz="0" w:space="0" w:color="auto"/>
            <w:right w:val="none" w:sz="0" w:space="0" w:color="auto"/>
          </w:divBdr>
        </w:div>
        <w:div w:id="569970621">
          <w:marLeft w:val="1800"/>
          <w:marRight w:val="0"/>
          <w:marTop w:val="0"/>
          <w:marBottom w:val="101"/>
          <w:divBdr>
            <w:top w:val="none" w:sz="0" w:space="0" w:color="auto"/>
            <w:left w:val="none" w:sz="0" w:space="0" w:color="auto"/>
            <w:bottom w:val="none" w:sz="0" w:space="0" w:color="auto"/>
            <w:right w:val="none" w:sz="0" w:space="0" w:color="auto"/>
          </w:divBdr>
        </w:div>
        <w:div w:id="1475219200">
          <w:marLeft w:val="1800"/>
          <w:marRight w:val="0"/>
          <w:marTop w:val="0"/>
          <w:marBottom w:val="101"/>
          <w:divBdr>
            <w:top w:val="none" w:sz="0" w:space="0" w:color="auto"/>
            <w:left w:val="none" w:sz="0" w:space="0" w:color="auto"/>
            <w:bottom w:val="none" w:sz="0" w:space="0" w:color="auto"/>
            <w:right w:val="none" w:sz="0" w:space="0" w:color="auto"/>
          </w:divBdr>
        </w:div>
        <w:div w:id="273559835">
          <w:marLeft w:val="1800"/>
          <w:marRight w:val="0"/>
          <w:marTop w:val="0"/>
          <w:marBottom w:val="101"/>
          <w:divBdr>
            <w:top w:val="none" w:sz="0" w:space="0" w:color="auto"/>
            <w:left w:val="none" w:sz="0" w:space="0" w:color="auto"/>
            <w:bottom w:val="none" w:sz="0" w:space="0" w:color="auto"/>
            <w:right w:val="none" w:sz="0" w:space="0" w:color="auto"/>
          </w:divBdr>
        </w:div>
        <w:div w:id="1935043273">
          <w:marLeft w:val="1440"/>
          <w:marRight w:val="0"/>
          <w:marTop w:val="0"/>
          <w:marBottom w:val="101"/>
          <w:divBdr>
            <w:top w:val="none" w:sz="0" w:space="0" w:color="auto"/>
            <w:left w:val="none" w:sz="0" w:space="0" w:color="auto"/>
            <w:bottom w:val="none" w:sz="0" w:space="0" w:color="auto"/>
            <w:right w:val="none" w:sz="0" w:space="0" w:color="auto"/>
          </w:divBdr>
        </w:div>
        <w:div w:id="1142575664">
          <w:marLeft w:val="1440"/>
          <w:marRight w:val="0"/>
          <w:marTop w:val="0"/>
          <w:marBottom w:val="101"/>
          <w:divBdr>
            <w:top w:val="none" w:sz="0" w:space="0" w:color="auto"/>
            <w:left w:val="none" w:sz="0" w:space="0" w:color="auto"/>
            <w:bottom w:val="none" w:sz="0" w:space="0" w:color="auto"/>
            <w:right w:val="none" w:sz="0" w:space="0" w:color="auto"/>
          </w:divBdr>
        </w:div>
        <w:div w:id="461508440">
          <w:marLeft w:val="1440"/>
          <w:marRight w:val="0"/>
          <w:marTop w:val="0"/>
          <w:marBottom w:val="101"/>
          <w:divBdr>
            <w:top w:val="none" w:sz="0" w:space="0" w:color="auto"/>
            <w:left w:val="none" w:sz="0" w:space="0" w:color="auto"/>
            <w:bottom w:val="none" w:sz="0" w:space="0" w:color="auto"/>
            <w:right w:val="none" w:sz="0" w:space="0" w:color="auto"/>
          </w:divBdr>
        </w:div>
        <w:div w:id="680937244">
          <w:marLeft w:val="1440"/>
          <w:marRight w:val="0"/>
          <w:marTop w:val="0"/>
          <w:marBottom w:val="101"/>
          <w:divBdr>
            <w:top w:val="none" w:sz="0" w:space="0" w:color="auto"/>
            <w:left w:val="none" w:sz="0" w:space="0" w:color="auto"/>
            <w:bottom w:val="none" w:sz="0" w:space="0" w:color="auto"/>
            <w:right w:val="none" w:sz="0" w:space="0" w:color="auto"/>
          </w:divBdr>
        </w:div>
        <w:div w:id="183786699">
          <w:marLeft w:val="1440"/>
          <w:marRight w:val="0"/>
          <w:marTop w:val="0"/>
          <w:marBottom w:val="101"/>
          <w:divBdr>
            <w:top w:val="none" w:sz="0" w:space="0" w:color="auto"/>
            <w:left w:val="none" w:sz="0" w:space="0" w:color="auto"/>
            <w:bottom w:val="none" w:sz="0" w:space="0" w:color="auto"/>
            <w:right w:val="none" w:sz="0" w:space="0" w:color="auto"/>
          </w:divBdr>
        </w:div>
        <w:div w:id="2096127944">
          <w:marLeft w:val="1080"/>
          <w:marRight w:val="0"/>
          <w:marTop w:val="0"/>
          <w:marBottom w:val="101"/>
          <w:divBdr>
            <w:top w:val="none" w:sz="0" w:space="0" w:color="auto"/>
            <w:left w:val="none" w:sz="0" w:space="0" w:color="auto"/>
            <w:bottom w:val="none" w:sz="0" w:space="0" w:color="auto"/>
            <w:right w:val="none" w:sz="0" w:space="0" w:color="auto"/>
          </w:divBdr>
        </w:div>
        <w:div w:id="287780631">
          <w:marLeft w:val="1080"/>
          <w:marRight w:val="0"/>
          <w:marTop w:val="0"/>
          <w:marBottom w:val="101"/>
          <w:divBdr>
            <w:top w:val="none" w:sz="0" w:space="0" w:color="auto"/>
            <w:left w:val="none" w:sz="0" w:space="0" w:color="auto"/>
            <w:bottom w:val="none" w:sz="0" w:space="0" w:color="auto"/>
            <w:right w:val="none" w:sz="0" w:space="0" w:color="auto"/>
          </w:divBdr>
        </w:div>
        <w:div w:id="420873173">
          <w:marLeft w:val="1080"/>
          <w:marRight w:val="0"/>
          <w:marTop w:val="0"/>
          <w:marBottom w:val="101"/>
          <w:divBdr>
            <w:top w:val="none" w:sz="0" w:space="0" w:color="auto"/>
            <w:left w:val="none" w:sz="0" w:space="0" w:color="auto"/>
            <w:bottom w:val="none" w:sz="0" w:space="0" w:color="auto"/>
            <w:right w:val="none" w:sz="0" w:space="0" w:color="auto"/>
          </w:divBdr>
        </w:div>
        <w:div w:id="511531868">
          <w:marLeft w:val="1080"/>
          <w:marRight w:val="0"/>
          <w:marTop w:val="0"/>
          <w:marBottom w:val="101"/>
          <w:divBdr>
            <w:top w:val="none" w:sz="0" w:space="0" w:color="auto"/>
            <w:left w:val="none" w:sz="0" w:space="0" w:color="auto"/>
            <w:bottom w:val="none" w:sz="0" w:space="0" w:color="auto"/>
            <w:right w:val="none" w:sz="0" w:space="0" w:color="auto"/>
          </w:divBdr>
        </w:div>
        <w:div w:id="97413426">
          <w:marLeft w:val="1080"/>
          <w:marRight w:val="0"/>
          <w:marTop w:val="0"/>
          <w:marBottom w:val="101"/>
          <w:divBdr>
            <w:top w:val="none" w:sz="0" w:space="0" w:color="auto"/>
            <w:left w:val="none" w:sz="0" w:space="0" w:color="auto"/>
            <w:bottom w:val="none" w:sz="0" w:space="0" w:color="auto"/>
            <w:right w:val="none" w:sz="0" w:space="0" w:color="auto"/>
          </w:divBdr>
        </w:div>
        <w:div w:id="981469170">
          <w:marLeft w:val="0"/>
          <w:marRight w:val="0"/>
          <w:marTop w:val="0"/>
          <w:marBottom w:val="101"/>
          <w:divBdr>
            <w:top w:val="none" w:sz="0" w:space="0" w:color="auto"/>
            <w:left w:val="none" w:sz="0" w:space="0" w:color="auto"/>
            <w:bottom w:val="none" w:sz="0" w:space="0" w:color="auto"/>
            <w:right w:val="none" w:sz="0" w:space="0" w:color="auto"/>
          </w:divBdr>
        </w:div>
        <w:div w:id="1479809874">
          <w:marLeft w:val="0"/>
          <w:marRight w:val="0"/>
          <w:marTop w:val="0"/>
          <w:marBottom w:val="101"/>
          <w:divBdr>
            <w:top w:val="none" w:sz="0" w:space="0" w:color="auto"/>
            <w:left w:val="none" w:sz="0" w:space="0" w:color="auto"/>
            <w:bottom w:val="none" w:sz="0" w:space="0" w:color="auto"/>
            <w:right w:val="none" w:sz="0" w:space="0" w:color="auto"/>
          </w:divBdr>
        </w:div>
        <w:div w:id="999768308">
          <w:marLeft w:val="0"/>
          <w:marRight w:val="0"/>
          <w:marTop w:val="0"/>
          <w:marBottom w:val="101"/>
          <w:divBdr>
            <w:top w:val="none" w:sz="0" w:space="0" w:color="auto"/>
            <w:left w:val="none" w:sz="0" w:space="0" w:color="auto"/>
            <w:bottom w:val="none" w:sz="0" w:space="0" w:color="auto"/>
            <w:right w:val="none" w:sz="0" w:space="0" w:color="auto"/>
          </w:divBdr>
        </w:div>
        <w:div w:id="1965188632">
          <w:marLeft w:val="0"/>
          <w:marRight w:val="0"/>
          <w:marTop w:val="0"/>
          <w:marBottom w:val="101"/>
          <w:divBdr>
            <w:top w:val="none" w:sz="0" w:space="0" w:color="auto"/>
            <w:left w:val="none" w:sz="0" w:space="0" w:color="auto"/>
            <w:bottom w:val="none" w:sz="0" w:space="0" w:color="auto"/>
            <w:right w:val="none" w:sz="0" w:space="0" w:color="auto"/>
          </w:divBdr>
        </w:div>
        <w:div w:id="1358578958">
          <w:marLeft w:val="0"/>
          <w:marRight w:val="0"/>
          <w:marTop w:val="0"/>
          <w:marBottom w:val="101"/>
          <w:divBdr>
            <w:top w:val="none" w:sz="0" w:space="0" w:color="auto"/>
            <w:left w:val="none" w:sz="0" w:space="0" w:color="auto"/>
            <w:bottom w:val="none" w:sz="0" w:space="0" w:color="auto"/>
            <w:right w:val="none" w:sz="0" w:space="0" w:color="auto"/>
          </w:divBdr>
        </w:div>
        <w:div w:id="1307976531">
          <w:marLeft w:val="0"/>
          <w:marRight w:val="0"/>
          <w:marTop w:val="0"/>
          <w:marBottom w:val="101"/>
          <w:divBdr>
            <w:top w:val="none" w:sz="0" w:space="0" w:color="auto"/>
            <w:left w:val="none" w:sz="0" w:space="0" w:color="auto"/>
            <w:bottom w:val="none" w:sz="0" w:space="0" w:color="auto"/>
            <w:right w:val="none" w:sz="0" w:space="0" w:color="auto"/>
          </w:divBdr>
        </w:div>
        <w:div w:id="849489244">
          <w:marLeft w:val="0"/>
          <w:marRight w:val="0"/>
          <w:marTop w:val="0"/>
          <w:marBottom w:val="101"/>
          <w:divBdr>
            <w:top w:val="none" w:sz="0" w:space="0" w:color="auto"/>
            <w:left w:val="none" w:sz="0" w:space="0" w:color="auto"/>
            <w:bottom w:val="none" w:sz="0" w:space="0" w:color="auto"/>
            <w:right w:val="none" w:sz="0" w:space="0" w:color="auto"/>
          </w:divBdr>
        </w:div>
        <w:div w:id="983006365">
          <w:marLeft w:val="0"/>
          <w:marRight w:val="0"/>
          <w:marTop w:val="0"/>
          <w:marBottom w:val="101"/>
          <w:divBdr>
            <w:top w:val="none" w:sz="0" w:space="0" w:color="auto"/>
            <w:left w:val="none" w:sz="0" w:space="0" w:color="auto"/>
            <w:bottom w:val="none" w:sz="0" w:space="0" w:color="auto"/>
            <w:right w:val="none" w:sz="0" w:space="0" w:color="auto"/>
          </w:divBdr>
        </w:div>
        <w:div w:id="802775102">
          <w:marLeft w:val="0"/>
          <w:marRight w:val="0"/>
          <w:marTop w:val="0"/>
          <w:marBottom w:val="101"/>
          <w:divBdr>
            <w:top w:val="none" w:sz="0" w:space="0" w:color="auto"/>
            <w:left w:val="none" w:sz="0" w:space="0" w:color="auto"/>
            <w:bottom w:val="none" w:sz="0" w:space="0" w:color="auto"/>
            <w:right w:val="none" w:sz="0" w:space="0" w:color="auto"/>
          </w:divBdr>
        </w:div>
        <w:div w:id="1584530915">
          <w:marLeft w:val="1080"/>
          <w:marRight w:val="0"/>
          <w:marTop w:val="0"/>
          <w:marBottom w:val="101"/>
          <w:divBdr>
            <w:top w:val="none" w:sz="0" w:space="0" w:color="auto"/>
            <w:left w:val="none" w:sz="0" w:space="0" w:color="auto"/>
            <w:bottom w:val="none" w:sz="0" w:space="0" w:color="auto"/>
            <w:right w:val="none" w:sz="0" w:space="0" w:color="auto"/>
          </w:divBdr>
        </w:div>
        <w:div w:id="1689524924">
          <w:marLeft w:val="1080"/>
          <w:marRight w:val="0"/>
          <w:marTop w:val="0"/>
          <w:marBottom w:val="101"/>
          <w:divBdr>
            <w:top w:val="none" w:sz="0" w:space="0" w:color="auto"/>
            <w:left w:val="none" w:sz="0" w:space="0" w:color="auto"/>
            <w:bottom w:val="none" w:sz="0" w:space="0" w:color="auto"/>
            <w:right w:val="none" w:sz="0" w:space="0" w:color="auto"/>
          </w:divBdr>
        </w:div>
        <w:div w:id="1048989749">
          <w:marLeft w:val="1080"/>
          <w:marRight w:val="0"/>
          <w:marTop w:val="0"/>
          <w:marBottom w:val="101"/>
          <w:divBdr>
            <w:top w:val="none" w:sz="0" w:space="0" w:color="auto"/>
            <w:left w:val="none" w:sz="0" w:space="0" w:color="auto"/>
            <w:bottom w:val="none" w:sz="0" w:space="0" w:color="auto"/>
            <w:right w:val="none" w:sz="0" w:space="0" w:color="auto"/>
          </w:divBdr>
        </w:div>
        <w:div w:id="862789381">
          <w:marLeft w:val="1080"/>
          <w:marRight w:val="0"/>
          <w:marTop w:val="0"/>
          <w:marBottom w:val="101"/>
          <w:divBdr>
            <w:top w:val="none" w:sz="0" w:space="0" w:color="auto"/>
            <w:left w:val="none" w:sz="0" w:space="0" w:color="auto"/>
            <w:bottom w:val="none" w:sz="0" w:space="0" w:color="auto"/>
            <w:right w:val="none" w:sz="0" w:space="0" w:color="auto"/>
          </w:divBdr>
        </w:div>
        <w:div w:id="211625882">
          <w:marLeft w:val="0"/>
          <w:marRight w:val="0"/>
          <w:marTop w:val="0"/>
          <w:marBottom w:val="101"/>
          <w:divBdr>
            <w:top w:val="none" w:sz="0" w:space="0" w:color="auto"/>
            <w:left w:val="none" w:sz="0" w:space="0" w:color="auto"/>
            <w:bottom w:val="none" w:sz="0" w:space="0" w:color="auto"/>
            <w:right w:val="none" w:sz="0" w:space="0" w:color="auto"/>
          </w:divBdr>
        </w:div>
        <w:div w:id="1568612120">
          <w:marLeft w:val="0"/>
          <w:marRight w:val="0"/>
          <w:marTop w:val="0"/>
          <w:marBottom w:val="101"/>
          <w:divBdr>
            <w:top w:val="none" w:sz="0" w:space="0" w:color="auto"/>
            <w:left w:val="none" w:sz="0" w:space="0" w:color="auto"/>
            <w:bottom w:val="none" w:sz="0" w:space="0" w:color="auto"/>
            <w:right w:val="none" w:sz="0" w:space="0" w:color="auto"/>
          </w:divBdr>
        </w:div>
        <w:div w:id="2124958453">
          <w:marLeft w:val="0"/>
          <w:marRight w:val="0"/>
          <w:marTop w:val="0"/>
          <w:marBottom w:val="101"/>
          <w:divBdr>
            <w:top w:val="none" w:sz="0" w:space="0" w:color="auto"/>
            <w:left w:val="none" w:sz="0" w:space="0" w:color="auto"/>
            <w:bottom w:val="none" w:sz="0" w:space="0" w:color="auto"/>
            <w:right w:val="none" w:sz="0" w:space="0" w:color="auto"/>
          </w:divBdr>
        </w:div>
        <w:div w:id="1011369864">
          <w:marLeft w:val="0"/>
          <w:marRight w:val="0"/>
          <w:marTop w:val="0"/>
          <w:marBottom w:val="101"/>
          <w:divBdr>
            <w:top w:val="none" w:sz="0" w:space="0" w:color="auto"/>
            <w:left w:val="none" w:sz="0" w:space="0" w:color="auto"/>
            <w:bottom w:val="none" w:sz="0" w:space="0" w:color="auto"/>
            <w:right w:val="none" w:sz="0" w:space="0" w:color="auto"/>
          </w:divBdr>
        </w:div>
        <w:div w:id="1464155047">
          <w:marLeft w:val="0"/>
          <w:marRight w:val="0"/>
          <w:marTop w:val="0"/>
          <w:marBottom w:val="101"/>
          <w:divBdr>
            <w:top w:val="none" w:sz="0" w:space="0" w:color="auto"/>
            <w:left w:val="none" w:sz="0" w:space="0" w:color="auto"/>
            <w:bottom w:val="none" w:sz="0" w:space="0" w:color="auto"/>
            <w:right w:val="none" w:sz="0" w:space="0" w:color="auto"/>
          </w:divBdr>
        </w:div>
        <w:div w:id="402873910">
          <w:marLeft w:val="0"/>
          <w:marRight w:val="0"/>
          <w:marTop w:val="0"/>
          <w:marBottom w:val="101"/>
          <w:divBdr>
            <w:top w:val="none" w:sz="0" w:space="0" w:color="auto"/>
            <w:left w:val="none" w:sz="0" w:space="0" w:color="auto"/>
            <w:bottom w:val="none" w:sz="0" w:space="0" w:color="auto"/>
            <w:right w:val="none" w:sz="0" w:space="0" w:color="auto"/>
          </w:divBdr>
        </w:div>
        <w:div w:id="1710644106">
          <w:marLeft w:val="0"/>
          <w:marRight w:val="0"/>
          <w:marTop w:val="0"/>
          <w:marBottom w:val="101"/>
          <w:divBdr>
            <w:top w:val="none" w:sz="0" w:space="0" w:color="auto"/>
            <w:left w:val="none" w:sz="0" w:space="0" w:color="auto"/>
            <w:bottom w:val="none" w:sz="0" w:space="0" w:color="auto"/>
            <w:right w:val="none" w:sz="0" w:space="0" w:color="auto"/>
          </w:divBdr>
        </w:div>
        <w:div w:id="1348023540">
          <w:marLeft w:val="0"/>
          <w:marRight w:val="0"/>
          <w:marTop w:val="0"/>
          <w:marBottom w:val="101"/>
          <w:divBdr>
            <w:top w:val="none" w:sz="0" w:space="0" w:color="auto"/>
            <w:left w:val="none" w:sz="0" w:space="0" w:color="auto"/>
            <w:bottom w:val="none" w:sz="0" w:space="0" w:color="auto"/>
            <w:right w:val="none" w:sz="0" w:space="0" w:color="auto"/>
          </w:divBdr>
        </w:div>
        <w:div w:id="513765545">
          <w:marLeft w:val="0"/>
          <w:marRight w:val="0"/>
          <w:marTop w:val="0"/>
          <w:marBottom w:val="101"/>
          <w:divBdr>
            <w:top w:val="none" w:sz="0" w:space="0" w:color="auto"/>
            <w:left w:val="none" w:sz="0" w:space="0" w:color="auto"/>
            <w:bottom w:val="none" w:sz="0" w:space="0" w:color="auto"/>
            <w:right w:val="none" w:sz="0" w:space="0" w:color="auto"/>
          </w:divBdr>
        </w:div>
        <w:div w:id="578907588">
          <w:marLeft w:val="0"/>
          <w:marRight w:val="0"/>
          <w:marTop w:val="0"/>
          <w:marBottom w:val="101"/>
          <w:divBdr>
            <w:top w:val="none" w:sz="0" w:space="0" w:color="auto"/>
            <w:left w:val="none" w:sz="0" w:space="0" w:color="auto"/>
            <w:bottom w:val="none" w:sz="0" w:space="0" w:color="auto"/>
            <w:right w:val="none" w:sz="0" w:space="0" w:color="auto"/>
          </w:divBdr>
        </w:div>
        <w:div w:id="285083149">
          <w:marLeft w:val="0"/>
          <w:marRight w:val="0"/>
          <w:marTop w:val="0"/>
          <w:marBottom w:val="101"/>
          <w:divBdr>
            <w:top w:val="none" w:sz="0" w:space="0" w:color="auto"/>
            <w:left w:val="none" w:sz="0" w:space="0" w:color="auto"/>
            <w:bottom w:val="none" w:sz="0" w:space="0" w:color="auto"/>
            <w:right w:val="none" w:sz="0" w:space="0" w:color="auto"/>
          </w:divBdr>
        </w:div>
        <w:div w:id="910503407">
          <w:marLeft w:val="0"/>
          <w:marRight w:val="0"/>
          <w:marTop w:val="0"/>
          <w:marBottom w:val="101"/>
          <w:divBdr>
            <w:top w:val="none" w:sz="0" w:space="0" w:color="auto"/>
            <w:left w:val="none" w:sz="0" w:space="0" w:color="auto"/>
            <w:bottom w:val="none" w:sz="0" w:space="0" w:color="auto"/>
            <w:right w:val="none" w:sz="0" w:space="0" w:color="auto"/>
          </w:divBdr>
        </w:div>
        <w:div w:id="1363895114">
          <w:marLeft w:val="0"/>
          <w:marRight w:val="0"/>
          <w:marTop w:val="0"/>
          <w:marBottom w:val="101"/>
          <w:divBdr>
            <w:top w:val="none" w:sz="0" w:space="0" w:color="auto"/>
            <w:left w:val="none" w:sz="0" w:space="0" w:color="auto"/>
            <w:bottom w:val="none" w:sz="0" w:space="0" w:color="auto"/>
            <w:right w:val="none" w:sz="0" w:space="0" w:color="auto"/>
          </w:divBdr>
        </w:div>
        <w:div w:id="815030815">
          <w:marLeft w:val="0"/>
          <w:marRight w:val="0"/>
          <w:marTop w:val="0"/>
          <w:marBottom w:val="80"/>
          <w:divBdr>
            <w:top w:val="none" w:sz="0" w:space="0" w:color="auto"/>
            <w:left w:val="none" w:sz="0" w:space="0" w:color="auto"/>
            <w:bottom w:val="none" w:sz="0" w:space="0" w:color="auto"/>
            <w:right w:val="none" w:sz="0" w:space="0" w:color="auto"/>
          </w:divBdr>
        </w:div>
        <w:div w:id="1905530057">
          <w:marLeft w:val="0"/>
          <w:marRight w:val="0"/>
          <w:marTop w:val="0"/>
          <w:marBottom w:val="80"/>
          <w:divBdr>
            <w:top w:val="none" w:sz="0" w:space="0" w:color="auto"/>
            <w:left w:val="none" w:sz="0" w:space="0" w:color="auto"/>
            <w:bottom w:val="none" w:sz="0" w:space="0" w:color="auto"/>
            <w:right w:val="none" w:sz="0" w:space="0" w:color="auto"/>
          </w:divBdr>
        </w:div>
        <w:div w:id="49160222">
          <w:marLeft w:val="0"/>
          <w:marRight w:val="0"/>
          <w:marTop w:val="0"/>
          <w:marBottom w:val="80"/>
          <w:divBdr>
            <w:top w:val="none" w:sz="0" w:space="0" w:color="auto"/>
            <w:left w:val="none" w:sz="0" w:space="0" w:color="auto"/>
            <w:bottom w:val="none" w:sz="0" w:space="0" w:color="auto"/>
            <w:right w:val="none" w:sz="0" w:space="0" w:color="auto"/>
          </w:divBdr>
        </w:div>
        <w:div w:id="977152779">
          <w:marLeft w:val="0"/>
          <w:marRight w:val="0"/>
          <w:marTop w:val="0"/>
          <w:marBottom w:val="80"/>
          <w:divBdr>
            <w:top w:val="none" w:sz="0" w:space="0" w:color="auto"/>
            <w:left w:val="none" w:sz="0" w:space="0" w:color="auto"/>
            <w:bottom w:val="none" w:sz="0" w:space="0" w:color="auto"/>
            <w:right w:val="none" w:sz="0" w:space="0" w:color="auto"/>
          </w:divBdr>
        </w:div>
        <w:div w:id="1410232140">
          <w:marLeft w:val="0"/>
          <w:marRight w:val="0"/>
          <w:marTop w:val="0"/>
          <w:marBottom w:val="80"/>
          <w:divBdr>
            <w:top w:val="none" w:sz="0" w:space="0" w:color="auto"/>
            <w:left w:val="none" w:sz="0" w:space="0" w:color="auto"/>
            <w:bottom w:val="none" w:sz="0" w:space="0" w:color="auto"/>
            <w:right w:val="none" w:sz="0" w:space="0" w:color="auto"/>
          </w:divBdr>
        </w:div>
        <w:div w:id="1731464920">
          <w:marLeft w:val="0"/>
          <w:marRight w:val="0"/>
          <w:marTop w:val="0"/>
          <w:marBottom w:val="80"/>
          <w:divBdr>
            <w:top w:val="none" w:sz="0" w:space="0" w:color="auto"/>
            <w:left w:val="none" w:sz="0" w:space="0" w:color="auto"/>
            <w:bottom w:val="none" w:sz="0" w:space="0" w:color="auto"/>
            <w:right w:val="none" w:sz="0" w:space="0" w:color="auto"/>
          </w:divBdr>
        </w:div>
        <w:div w:id="1982226638">
          <w:marLeft w:val="0"/>
          <w:marRight w:val="0"/>
          <w:marTop w:val="0"/>
          <w:marBottom w:val="80"/>
          <w:divBdr>
            <w:top w:val="none" w:sz="0" w:space="0" w:color="auto"/>
            <w:left w:val="none" w:sz="0" w:space="0" w:color="auto"/>
            <w:bottom w:val="none" w:sz="0" w:space="0" w:color="auto"/>
            <w:right w:val="none" w:sz="0" w:space="0" w:color="auto"/>
          </w:divBdr>
        </w:div>
        <w:div w:id="1926449875">
          <w:marLeft w:val="0"/>
          <w:marRight w:val="0"/>
          <w:marTop w:val="0"/>
          <w:marBottom w:val="80"/>
          <w:divBdr>
            <w:top w:val="none" w:sz="0" w:space="0" w:color="auto"/>
            <w:left w:val="none" w:sz="0" w:space="0" w:color="auto"/>
            <w:bottom w:val="none" w:sz="0" w:space="0" w:color="auto"/>
            <w:right w:val="none" w:sz="0" w:space="0" w:color="auto"/>
          </w:divBdr>
        </w:div>
        <w:div w:id="367412013">
          <w:marLeft w:val="1080"/>
          <w:marRight w:val="0"/>
          <w:marTop w:val="0"/>
          <w:marBottom w:val="80"/>
          <w:divBdr>
            <w:top w:val="none" w:sz="0" w:space="0" w:color="auto"/>
            <w:left w:val="none" w:sz="0" w:space="0" w:color="auto"/>
            <w:bottom w:val="none" w:sz="0" w:space="0" w:color="auto"/>
            <w:right w:val="none" w:sz="0" w:space="0" w:color="auto"/>
          </w:divBdr>
        </w:div>
        <w:div w:id="967315563">
          <w:marLeft w:val="1440"/>
          <w:marRight w:val="0"/>
          <w:marTop w:val="0"/>
          <w:marBottom w:val="80"/>
          <w:divBdr>
            <w:top w:val="none" w:sz="0" w:space="0" w:color="auto"/>
            <w:left w:val="none" w:sz="0" w:space="0" w:color="auto"/>
            <w:bottom w:val="none" w:sz="0" w:space="0" w:color="auto"/>
            <w:right w:val="none" w:sz="0" w:space="0" w:color="auto"/>
          </w:divBdr>
        </w:div>
        <w:div w:id="1548445139">
          <w:marLeft w:val="1440"/>
          <w:marRight w:val="0"/>
          <w:marTop w:val="0"/>
          <w:marBottom w:val="80"/>
          <w:divBdr>
            <w:top w:val="none" w:sz="0" w:space="0" w:color="auto"/>
            <w:left w:val="none" w:sz="0" w:space="0" w:color="auto"/>
            <w:bottom w:val="none" w:sz="0" w:space="0" w:color="auto"/>
            <w:right w:val="none" w:sz="0" w:space="0" w:color="auto"/>
          </w:divBdr>
        </w:div>
        <w:div w:id="61030841">
          <w:marLeft w:val="1800"/>
          <w:marRight w:val="0"/>
          <w:marTop w:val="0"/>
          <w:marBottom w:val="80"/>
          <w:divBdr>
            <w:top w:val="none" w:sz="0" w:space="0" w:color="auto"/>
            <w:left w:val="none" w:sz="0" w:space="0" w:color="auto"/>
            <w:bottom w:val="none" w:sz="0" w:space="0" w:color="auto"/>
            <w:right w:val="none" w:sz="0" w:space="0" w:color="auto"/>
          </w:divBdr>
        </w:div>
        <w:div w:id="1761411314">
          <w:marLeft w:val="1800"/>
          <w:marRight w:val="0"/>
          <w:marTop w:val="0"/>
          <w:marBottom w:val="80"/>
          <w:divBdr>
            <w:top w:val="none" w:sz="0" w:space="0" w:color="auto"/>
            <w:left w:val="none" w:sz="0" w:space="0" w:color="auto"/>
            <w:bottom w:val="none" w:sz="0" w:space="0" w:color="auto"/>
            <w:right w:val="none" w:sz="0" w:space="0" w:color="auto"/>
          </w:divBdr>
        </w:div>
        <w:div w:id="1404134190">
          <w:marLeft w:val="1800"/>
          <w:marRight w:val="0"/>
          <w:marTop w:val="0"/>
          <w:marBottom w:val="80"/>
          <w:divBdr>
            <w:top w:val="none" w:sz="0" w:space="0" w:color="auto"/>
            <w:left w:val="none" w:sz="0" w:space="0" w:color="auto"/>
            <w:bottom w:val="none" w:sz="0" w:space="0" w:color="auto"/>
            <w:right w:val="none" w:sz="0" w:space="0" w:color="auto"/>
          </w:divBdr>
        </w:div>
        <w:div w:id="1914123532">
          <w:marLeft w:val="1440"/>
          <w:marRight w:val="0"/>
          <w:marTop w:val="0"/>
          <w:marBottom w:val="80"/>
          <w:divBdr>
            <w:top w:val="none" w:sz="0" w:space="0" w:color="auto"/>
            <w:left w:val="none" w:sz="0" w:space="0" w:color="auto"/>
            <w:bottom w:val="none" w:sz="0" w:space="0" w:color="auto"/>
            <w:right w:val="none" w:sz="0" w:space="0" w:color="auto"/>
          </w:divBdr>
        </w:div>
        <w:div w:id="681199176">
          <w:marLeft w:val="1080"/>
          <w:marRight w:val="0"/>
          <w:marTop w:val="0"/>
          <w:marBottom w:val="80"/>
          <w:divBdr>
            <w:top w:val="none" w:sz="0" w:space="0" w:color="auto"/>
            <w:left w:val="none" w:sz="0" w:space="0" w:color="auto"/>
            <w:bottom w:val="none" w:sz="0" w:space="0" w:color="auto"/>
            <w:right w:val="none" w:sz="0" w:space="0" w:color="auto"/>
          </w:divBdr>
        </w:div>
        <w:div w:id="1300305402">
          <w:marLeft w:val="0"/>
          <w:marRight w:val="0"/>
          <w:marTop w:val="0"/>
          <w:marBottom w:val="80"/>
          <w:divBdr>
            <w:top w:val="none" w:sz="0" w:space="0" w:color="auto"/>
            <w:left w:val="none" w:sz="0" w:space="0" w:color="auto"/>
            <w:bottom w:val="none" w:sz="0" w:space="0" w:color="auto"/>
            <w:right w:val="none" w:sz="0" w:space="0" w:color="auto"/>
          </w:divBdr>
        </w:div>
        <w:div w:id="717435765">
          <w:marLeft w:val="0"/>
          <w:marRight w:val="0"/>
          <w:marTop w:val="0"/>
          <w:marBottom w:val="80"/>
          <w:divBdr>
            <w:top w:val="none" w:sz="0" w:space="0" w:color="auto"/>
            <w:left w:val="none" w:sz="0" w:space="0" w:color="auto"/>
            <w:bottom w:val="none" w:sz="0" w:space="0" w:color="auto"/>
            <w:right w:val="none" w:sz="0" w:space="0" w:color="auto"/>
          </w:divBdr>
        </w:div>
        <w:div w:id="359287275">
          <w:marLeft w:val="0"/>
          <w:marRight w:val="0"/>
          <w:marTop w:val="0"/>
          <w:marBottom w:val="80"/>
          <w:divBdr>
            <w:top w:val="none" w:sz="0" w:space="0" w:color="auto"/>
            <w:left w:val="none" w:sz="0" w:space="0" w:color="auto"/>
            <w:bottom w:val="none" w:sz="0" w:space="0" w:color="auto"/>
            <w:right w:val="none" w:sz="0" w:space="0" w:color="auto"/>
          </w:divBdr>
        </w:div>
        <w:div w:id="1787581566">
          <w:marLeft w:val="1080"/>
          <w:marRight w:val="0"/>
          <w:marTop w:val="0"/>
          <w:marBottom w:val="101"/>
          <w:divBdr>
            <w:top w:val="none" w:sz="0" w:space="0" w:color="auto"/>
            <w:left w:val="none" w:sz="0" w:space="0" w:color="auto"/>
            <w:bottom w:val="none" w:sz="0" w:space="0" w:color="auto"/>
            <w:right w:val="none" w:sz="0" w:space="0" w:color="auto"/>
          </w:divBdr>
        </w:div>
        <w:div w:id="2106029503">
          <w:marLeft w:val="1440"/>
          <w:marRight w:val="0"/>
          <w:marTop w:val="0"/>
          <w:marBottom w:val="101"/>
          <w:divBdr>
            <w:top w:val="none" w:sz="0" w:space="0" w:color="auto"/>
            <w:left w:val="none" w:sz="0" w:space="0" w:color="auto"/>
            <w:bottom w:val="none" w:sz="0" w:space="0" w:color="auto"/>
            <w:right w:val="none" w:sz="0" w:space="0" w:color="auto"/>
          </w:divBdr>
        </w:div>
        <w:div w:id="1089886360">
          <w:marLeft w:val="1440"/>
          <w:marRight w:val="0"/>
          <w:marTop w:val="0"/>
          <w:marBottom w:val="101"/>
          <w:divBdr>
            <w:top w:val="none" w:sz="0" w:space="0" w:color="auto"/>
            <w:left w:val="none" w:sz="0" w:space="0" w:color="auto"/>
            <w:bottom w:val="none" w:sz="0" w:space="0" w:color="auto"/>
            <w:right w:val="none" w:sz="0" w:space="0" w:color="auto"/>
          </w:divBdr>
        </w:div>
        <w:div w:id="1905792810">
          <w:marLeft w:val="1440"/>
          <w:marRight w:val="0"/>
          <w:marTop w:val="0"/>
          <w:marBottom w:val="101"/>
          <w:divBdr>
            <w:top w:val="none" w:sz="0" w:space="0" w:color="auto"/>
            <w:left w:val="none" w:sz="0" w:space="0" w:color="auto"/>
            <w:bottom w:val="none" w:sz="0" w:space="0" w:color="auto"/>
            <w:right w:val="none" w:sz="0" w:space="0" w:color="auto"/>
          </w:divBdr>
        </w:div>
        <w:div w:id="1111707283">
          <w:marLeft w:val="1440"/>
          <w:marRight w:val="0"/>
          <w:marTop w:val="0"/>
          <w:marBottom w:val="101"/>
          <w:divBdr>
            <w:top w:val="none" w:sz="0" w:space="0" w:color="auto"/>
            <w:left w:val="none" w:sz="0" w:space="0" w:color="auto"/>
            <w:bottom w:val="none" w:sz="0" w:space="0" w:color="auto"/>
            <w:right w:val="none" w:sz="0" w:space="0" w:color="auto"/>
          </w:divBdr>
        </w:div>
        <w:div w:id="2083332049">
          <w:marLeft w:val="1440"/>
          <w:marRight w:val="0"/>
          <w:marTop w:val="0"/>
          <w:marBottom w:val="101"/>
          <w:divBdr>
            <w:top w:val="none" w:sz="0" w:space="0" w:color="auto"/>
            <w:left w:val="none" w:sz="0" w:space="0" w:color="auto"/>
            <w:bottom w:val="none" w:sz="0" w:space="0" w:color="auto"/>
            <w:right w:val="none" w:sz="0" w:space="0" w:color="auto"/>
          </w:divBdr>
        </w:div>
        <w:div w:id="554589502">
          <w:marLeft w:val="1440"/>
          <w:marRight w:val="0"/>
          <w:marTop w:val="0"/>
          <w:marBottom w:val="101"/>
          <w:divBdr>
            <w:top w:val="none" w:sz="0" w:space="0" w:color="auto"/>
            <w:left w:val="none" w:sz="0" w:space="0" w:color="auto"/>
            <w:bottom w:val="none" w:sz="0" w:space="0" w:color="auto"/>
            <w:right w:val="none" w:sz="0" w:space="0" w:color="auto"/>
          </w:divBdr>
        </w:div>
        <w:div w:id="736710809">
          <w:marLeft w:val="1080"/>
          <w:marRight w:val="0"/>
          <w:marTop w:val="0"/>
          <w:marBottom w:val="101"/>
          <w:divBdr>
            <w:top w:val="none" w:sz="0" w:space="0" w:color="auto"/>
            <w:left w:val="none" w:sz="0" w:space="0" w:color="auto"/>
            <w:bottom w:val="none" w:sz="0" w:space="0" w:color="auto"/>
            <w:right w:val="none" w:sz="0" w:space="0" w:color="auto"/>
          </w:divBdr>
        </w:div>
        <w:div w:id="745610873">
          <w:marLeft w:val="1080"/>
          <w:marRight w:val="0"/>
          <w:marTop w:val="0"/>
          <w:marBottom w:val="101"/>
          <w:divBdr>
            <w:top w:val="none" w:sz="0" w:space="0" w:color="auto"/>
            <w:left w:val="none" w:sz="0" w:space="0" w:color="auto"/>
            <w:bottom w:val="none" w:sz="0" w:space="0" w:color="auto"/>
            <w:right w:val="none" w:sz="0" w:space="0" w:color="auto"/>
          </w:divBdr>
        </w:div>
        <w:div w:id="261836082">
          <w:marLeft w:val="1440"/>
          <w:marRight w:val="0"/>
          <w:marTop w:val="0"/>
          <w:marBottom w:val="101"/>
          <w:divBdr>
            <w:top w:val="none" w:sz="0" w:space="0" w:color="auto"/>
            <w:left w:val="none" w:sz="0" w:space="0" w:color="auto"/>
            <w:bottom w:val="none" w:sz="0" w:space="0" w:color="auto"/>
            <w:right w:val="none" w:sz="0" w:space="0" w:color="auto"/>
          </w:divBdr>
        </w:div>
        <w:div w:id="89394565">
          <w:marLeft w:val="1440"/>
          <w:marRight w:val="0"/>
          <w:marTop w:val="0"/>
          <w:marBottom w:val="101"/>
          <w:divBdr>
            <w:top w:val="none" w:sz="0" w:space="0" w:color="auto"/>
            <w:left w:val="none" w:sz="0" w:space="0" w:color="auto"/>
            <w:bottom w:val="none" w:sz="0" w:space="0" w:color="auto"/>
            <w:right w:val="none" w:sz="0" w:space="0" w:color="auto"/>
          </w:divBdr>
        </w:div>
        <w:div w:id="584847865">
          <w:marLeft w:val="1440"/>
          <w:marRight w:val="0"/>
          <w:marTop w:val="0"/>
          <w:marBottom w:val="101"/>
          <w:divBdr>
            <w:top w:val="none" w:sz="0" w:space="0" w:color="auto"/>
            <w:left w:val="none" w:sz="0" w:space="0" w:color="auto"/>
            <w:bottom w:val="none" w:sz="0" w:space="0" w:color="auto"/>
            <w:right w:val="none" w:sz="0" w:space="0" w:color="auto"/>
          </w:divBdr>
        </w:div>
        <w:div w:id="138612964">
          <w:marLeft w:val="1440"/>
          <w:marRight w:val="0"/>
          <w:marTop w:val="0"/>
          <w:marBottom w:val="101"/>
          <w:divBdr>
            <w:top w:val="none" w:sz="0" w:space="0" w:color="auto"/>
            <w:left w:val="none" w:sz="0" w:space="0" w:color="auto"/>
            <w:bottom w:val="none" w:sz="0" w:space="0" w:color="auto"/>
            <w:right w:val="none" w:sz="0" w:space="0" w:color="auto"/>
          </w:divBdr>
        </w:div>
        <w:div w:id="2109036277">
          <w:marLeft w:val="1080"/>
          <w:marRight w:val="0"/>
          <w:marTop w:val="0"/>
          <w:marBottom w:val="101"/>
          <w:divBdr>
            <w:top w:val="none" w:sz="0" w:space="0" w:color="auto"/>
            <w:left w:val="none" w:sz="0" w:space="0" w:color="auto"/>
            <w:bottom w:val="none" w:sz="0" w:space="0" w:color="auto"/>
            <w:right w:val="none" w:sz="0" w:space="0" w:color="auto"/>
          </w:divBdr>
        </w:div>
        <w:div w:id="282540037">
          <w:marLeft w:val="0"/>
          <w:marRight w:val="0"/>
          <w:marTop w:val="0"/>
          <w:marBottom w:val="101"/>
          <w:divBdr>
            <w:top w:val="none" w:sz="0" w:space="0" w:color="auto"/>
            <w:left w:val="none" w:sz="0" w:space="0" w:color="auto"/>
            <w:bottom w:val="none" w:sz="0" w:space="0" w:color="auto"/>
            <w:right w:val="none" w:sz="0" w:space="0" w:color="auto"/>
          </w:divBdr>
        </w:div>
        <w:div w:id="691959274">
          <w:marLeft w:val="0"/>
          <w:marRight w:val="0"/>
          <w:marTop w:val="0"/>
          <w:marBottom w:val="101"/>
          <w:divBdr>
            <w:top w:val="none" w:sz="0" w:space="0" w:color="auto"/>
            <w:left w:val="none" w:sz="0" w:space="0" w:color="auto"/>
            <w:bottom w:val="none" w:sz="0" w:space="0" w:color="auto"/>
            <w:right w:val="none" w:sz="0" w:space="0" w:color="auto"/>
          </w:divBdr>
        </w:div>
        <w:div w:id="926765486">
          <w:marLeft w:val="1080"/>
          <w:marRight w:val="0"/>
          <w:marTop w:val="0"/>
          <w:marBottom w:val="101"/>
          <w:divBdr>
            <w:top w:val="none" w:sz="0" w:space="0" w:color="auto"/>
            <w:left w:val="none" w:sz="0" w:space="0" w:color="auto"/>
            <w:bottom w:val="none" w:sz="0" w:space="0" w:color="auto"/>
            <w:right w:val="none" w:sz="0" w:space="0" w:color="auto"/>
          </w:divBdr>
        </w:div>
        <w:div w:id="530414983">
          <w:marLeft w:val="1440"/>
          <w:marRight w:val="0"/>
          <w:marTop w:val="0"/>
          <w:marBottom w:val="101"/>
          <w:divBdr>
            <w:top w:val="none" w:sz="0" w:space="0" w:color="auto"/>
            <w:left w:val="none" w:sz="0" w:space="0" w:color="auto"/>
            <w:bottom w:val="none" w:sz="0" w:space="0" w:color="auto"/>
            <w:right w:val="none" w:sz="0" w:space="0" w:color="auto"/>
          </w:divBdr>
        </w:div>
        <w:div w:id="1302690384">
          <w:marLeft w:val="1440"/>
          <w:marRight w:val="0"/>
          <w:marTop w:val="0"/>
          <w:marBottom w:val="101"/>
          <w:divBdr>
            <w:top w:val="none" w:sz="0" w:space="0" w:color="auto"/>
            <w:left w:val="none" w:sz="0" w:space="0" w:color="auto"/>
            <w:bottom w:val="none" w:sz="0" w:space="0" w:color="auto"/>
            <w:right w:val="none" w:sz="0" w:space="0" w:color="auto"/>
          </w:divBdr>
        </w:div>
        <w:div w:id="58333739">
          <w:marLeft w:val="1440"/>
          <w:marRight w:val="0"/>
          <w:marTop w:val="0"/>
          <w:marBottom w:val="101"/>
          <w:divBdr>
            <w:top w:val="none" w:sz="0" w:space="0" w:color="auto"/>
            <w:left w:val="none" w:sz="0" w:space="0" w:color="auto"/>
            <w:bottom w:val="none" w:sz="0" w:space="0" w:color="auto"/>
            <w:right w:val="none" w:sz="0" w:space="0" w:color="auto"/>
          </w:divBdr>
        </w:div>
        <w:div w:id="1752116269">
          <w:marLeft w:val="1080"/>
          <w:marRight w:val="0"/>
          <w:marTop w:val="0"/>
          <w:marBottom w:val="101"/>
          <w:divBdr>
            <w:top w:val="none" w:sz="0" w:space="0" w:color="auto"/>
            <w:left w:val="none" w:sz="0" w:space="0" w:color="auto"/>
            <w:bottom w:val="none" w:sz="0" w:space="0" w:color="auto"/>
            <w:right w:val="none" w:sz="0" w:space="0" w:color="auto"/>
          </w:divBdr>
        </w:div>
        <w:div w:id="1164736724">
          <w:marLeft w:val="1440"/>
          <w:marRight w:val="0"/>
          <w:marTop w:val="0"/>
          <w:marBottom w:val="101"/>
          <w:divBdr>
            <w:top w:val="none" w:sz="0" w:space="0" w:color="auto"/>
            <w:left w:val="none" w:sz="0" w:space="0" w:color="auto"/>
            <w:bottom w:val="none" w:sz="0" w:space="0" w:color="auto"/>
            <w:right w:val="none" w:sz="0" w:space="0" w:color="auto"/>
          </w:divBdr>
        </w:div>
        <w:div w:id="2001154381">
          <w:marLeft w:val="1440"/>
          <w:marRight w:val="0"/>
          <w:marTop w:val="0"/>
          <w:marBottom w:val="101"/>
          <w:divBdr>
            <w:top w:val="none" w:sz="0" w:space="0" w:color="auto"/>
            <w:left w:val="none" w:sz="0" w:space="0" w:color="auto"/>
            <w:bottom w:val="none" w:sz="0" w:space="0" w:color="auto"/>
            <w:right w:val="none" w:sz="0" w:space="0" w:color="auto"/>
          </w:divBdr>
        </w:div>
        <w:div w:id="1844978874">
          <w:marLeft w:val="1440"/>
          <w:marRight w:val="0"/>
          <w:marTop w:val="0"/>
          <w:marBottom w:val="101"/>
          <w:divBdr>
            <w:top w:val="none" w:sz="0" w:space="0" w:color="auto"/>
            <w:left w:val="none" w:sz="0" w:space="0" w:color="auto"/>
            <w:bottom w:val="none" w:sz="0" w:space="0" w:color="auto"/>
            <w:right w:val="none" w:sz="0" w:space="0" w:color="auto"/>
          </w:divBdr>
        </w:div>
        <w:div w:id="2084138361">
          <w:marLeft w:val="0"/>
          <w:marRight w:val="0"/>
          <w:marTop w:val="0"/>
          <w:marBottom w:val="101"/>
          <w:divBdr>
            <w:top w:val="none" w:sz="0" w:space="0" w:color="auto"/>
            <w:left w:val="none" w:sz="0" w:space="0" w:color="auto"/>
            <w:bottom w:val="none" w:sz="0" w:space="0" w:color="auto"/>
            <w:right w:val="none" w:sz="0" w:space="0" w:color="auto"/>
          </w:divBdr>
        </w:div>
        <w:div w:id="1677268258">
          <w:marLeft w:val="0"/>
          <w:marRight w:val="0"/>
          <w:marTop w:val="0"/>
          <w:marBottom w:val="101"/>
          <w:divBdr>
            <w:top w:val="none" w:sz="0" w:space="0" w:color="auto"/>
            <w:left w:val="none" w:sz="0" w:space="0" w:color="auto"/>
            <w:bottom w:val="none" w:sz="0" w:space="0" w:color="auto"/>
            <w:right w:val="none" w:sz="0" w:space="0" w:color="auto"/>
          </w:divBdr>
        </w:div>
        <w:div w:id="1031340696">
          <w:marLeft w:val="0"/>
          <w:marRight w:val="0"/>
          <w:marTop w:val="0"/>
          <w:marBottom w:val="101"/>
          <w:divBdr>
            <w:top w:val="none" w:sz="0" w:space="0" w:color="auto"/>
            <w:left w:val="none" w:sz="0" w:space="0" w:color="auto"/>
            <w:bottom w:val="none" w:sz="0" w:space="0" w:color="auto"/>
            <w:right w:val="none" w:sz="0" w:space="0" w:color="auto"/>
          </w:divBdr>
        </w:div>
        <w:div w:id="181014155">
          <w:marLeft w:val="0"/>
          <w:marRight w:val="0"/>
          <w:marTop w:val="0"/>
          <w:marBottom w:val="101"/>
          <w:divBdr>
            <w:top w:val="none" w:sz="0" w:space="0" w:color="auto"/>
            <w:left w:val="none" w:sz="0" w:space="0" w:color="auto"/>
            <w:bottom w:val="none" w:sz="0" w:space="0" w:color="auto"/>
            <w:right w:val="none" w:sz="0" w:space="0" w:color="auto"/>
          </w:divBdr>
        </w:div>
        <w:div w:id="1772116910">
          <w:marLeft w:val="0"/>
          <w:marRight w:val="0"/>
          <w:marTop w:val="0"/>
          <w:marBottom w:val="101"/>
          <w:divBdr>
            <w:top w:val="none" w:sz="0" w:space="0" w:color="auto"/>
            <w:left w:val="none" w:sz="0" w:space="0" w:color="auto"/>
            <w:bottom w:val="none" w:sz="0" w:space="0" w:color="auto"/>
            <w:right w:val="none" w:sz="0" w:space="0" w:color="auto"/>
          </w:divBdr>
        </w:div>
        <w:div w:id="970287654">
          <w:marLeft w:val="1080"/>
          <w:marRight w:val="0"/>
          <w:marTop w:val="0"/>
          <w:marBottom w:val="101"/>
          <w:divBdr>
            <w:top w:val="none" w:sz="0" w:space="0" w:color="auto"/>
            <w:left w:val="none" w:sz="0" w:space="0" w:color="auto"/>
            <w:bottom w:val="none" w:sz="0" w:space="0" w:color="auto"/>
            <w:right w:val="none" w:sz="0" w:space="0" w:color="auto"/>
          </w:divBdr>
        </w:div>
        <w:div w:id="1361468078">
          <w:marLeft w:val="1080"/>
          <w:marRight w:val="0"/>
          <w:marTop w:val="0"/>
          <w:marBottom w:val="101"/>
          <w:divBdr>
            <w:top w:val="none" w:sz="0" w:space="0" w:color="auto"/>
            <w:left w:val="none" w:sz="0" w:space="0" w:color="auto"/>
            <w:bottom w:val="none" w:sz="0" w:space="0" w:color="auto"/>
            <w:right w:val="none" w:sz="0" w:space="0" w:color="auto"/>
          </w:divBdr>
        </w:div>
        <w:div w:id="1519585145">
          <w:marLeft w:val="1080"/>
          <w:marRight w:val="0"/>
          <w:marTop w:val="0"/>
          <w:marBottom w:val="101"/>
          <w:divBdr>
            <w:top w:val="none" w:sz="0" w:space="0" w:color="auto"/>
            <w:left w:val="none" w:sz="0" w:space="0" w:color="auto"/>
            <w:bottom w:val="none" w:sz="0" w:space="0" w:color="auto"/>
            <w:right w:val="none" w:sz="0" w:space="0" w:color="auto"/>
          </w:divBdr>
        </w:div>
        <w:div w:id="1202670550">
          <w:marLeft w:val="0"/>
          <w:marRight w:val="0"/>
          <w:marTop w:val="0"/>
          <w:marBottom w:val="101"/>
          <w:divBdr>
            <w:top w:val="none" w:sz="0" w:space="0" w:color="auto"/>
            <w:left w:val="none" w:sz="0" w:space="0" w:color="auto"/>
            <w:bottom w:val="none" w:sz="0" w:space="0" w:color="auto"/>
            <w:right w:val="none" w:sz="0" w:space="0" w:color="auto"/>
          </w:divBdr>
        </w:div>
        <w:div w:id="1973368574">
          <w:marLeft w:val="0"/>
          <w:marRight w:val="0"/>
          <w:marTop w:val="0"/>
          <w:marBottom w:val="101"/>
          <w:divBdr>
            <w:top w:val="none" w:sz="0" w:space="0" w:color="auto"/>
            <w:left w:val="none" w:sz="0" w:space="0" w:color="auto"/>
            <w:bottom w:val="none" w:sz="0" w:space="0" w:color="auto"/>
            <w:right w:val="none" w:sz="0" w:space="0" w:color="auto"/>
          </w:divBdr>
        </w:div>
        <w:div w:id="1185899767">
          <w:marLeft w:val="0"/>
          <w:marRight w:val="0"/>
          <w:marTop w:val="0"/>
          <w:marBottom w:val="101"/>
          <w:divBdr>
            <w:top w:val="none" w:sz="0" w:space="0" w:color="auto"/>
            <w:left w:val="none" w:sz="0" w:space="0" w:color="auto"/>
            <w:bottom w:val="none" w:sz="0" w:space="0" w:color="auto"/>
            <w:right w:val="none" w:sz="0" w:space="0" w:color="auto"/>
          </w:divBdr>
        </w:div>
        <w:div w:id="158352708">
          <w:marLeft w:val="0"/>
          <w:marRight w:val="0"/>
          <w:marTop w:val="0"/>
          <w:marBottom w:val="101"/>
          <w:divBdr>
            <w:top w:val="none" w:sz="0" w:space="0" w:color="auto"/>
            <w:left w:val="none" w:sz="0" w:space="0" w:color="auto"/>
            <w:bottom w:val="none" w:sz="0" w:space="0" w:color="auto"/>
            <w:right w:val="none" w:sz="0" w:space="0" w:color="auto"/>
          </w:divBdr>
        </w:div>
        <w:div w:id="1592473985">
          <w:marLeft w:val="1080"/>
          <w:marRight w:val="0"/>
          <w:marTop w:val="0"/>
          <w:marBottom w:val="101"/>
          <w:divBdr>
            <w:top w:val="none" w:sz="0" w:space="0" w:color="auto"/>
            <w:left w:val="none" w:sz="0" w:space="0" w:color="auto"/>
            <w:bottom w:val="none" w:sz="0" w:space="0" w:color="auto"/>
            <w:right w:val="none" w:sz="0" w:space="0" w:color="auto"/>
          </w:divBdr>
        </w:div>
        <w:div w:id="447705692">
          <w:marLeft w:val="1080"/>
          <w:marRight w:val="0"/>
          <w:marTop w:val="0"/>
          <w:marBottom w:val="101"/>
          <w:divBdr>
            <w:top w:val="none" w:sz="0" w:space="0" w:color="auto"/>
            <w:left w:val="none" w:sz="0" w:space="0" w:color="auto"/>
            <w:bottom w:val="none" w:sz="0" w:space="0" w:color="auto"/>
            <w:right w:val="none" w:sz="0" w:space="0" w:color="auto"/>
          </w:divBdr>
        </w:div>
        <w:div w:id="1333872454">
          <w:marLeft w:val="1080"/>
          <w:marRight w:val="0"/>
          <w:marTop w:val="0"/>
          <w:marBottom w:val="101"/>
          <w:divBdr>
            <w:top w:val="none" w:sz="0" w:space="0" w:color="auto"/>
            <w:left w:val="none" w:sz="0" w:space="0" w:color="auto"/>
            <w:bottom w:val="none" w:sz="0" w:space="0" w:color="auto"/>
            <w:right w:val="none" w:sz="0" w:space="0" w:color="auto"/>
          </w:divBdr>
        </w:div>
        <w:div w:id="1710492219">
          <w:marLeft w:val="0"/>
          <w:marRight w:val="0"/>
          <w:marTop w:val="0"/>
          <w:marBottom w:val="101"/>
          <w:divBdr>
            <w:top w:val="none" w:sz="0" w:space="0" w:color="auto"/>
            <w:left w:val="none" w:sz="0" w:space="0" w:color="auto"/>
            <w:bottom w:val="none" w:sz="0" w:space="0" w:color="auto"/>
            <w:right w:val="none" w:sz="0" w:space="0" w:color="auto"/>
          </w:divBdr>
        </w:div>
        <w:div w:id="269044338">
          <w:marLeft w:val="0"/>
          <w:marRight w:val="0"/>
          <w:marTop w:val="0"/>
          <w:marBottom w:val="101"/>
          <w:divBdr>
            <w:top w:val="none" w:sz="0" w:space="0" w:color="auto"/>
            <w:left w:val="none" w:sz="0" w:space="0" w:color="auto"/>
            <w:bottom w:val="none" w:sz="0" w:space="0" w:color="auto"/>
            <w:right w:val="none" w:sz="0" w:space="0" w:color="auto"/>
          </w:divBdr>
        </w:div>
        <w:div w:id="226763938">
          <w:marLeft w:val="0"/>
          <w:marRight w:val="0"/>
          <w:marTop w:val="0"/>
          <w:marBottom w:val="101"/>
          <w:divBdr>
            <w:top w:val="none" w:sz="0" w:space="0" w:color="auto"/>
            <w:left w:val="none" w:sz="0" w:space="0" w:color="auto"/>
            <w:bottom w:val="none" w:sz="0" w:space="0" w:color="auto"/>
            <w:right w:val="none" w:sz="0" w:space="0" w:color="auto"/>
          </w:divBdr>
        </w:div>
        <w:div w:id="1614900468">
          <w:marLeft w:val="0"/>
          <w:marRight w:val="0"/>
          <w:marTop w:val="0"/>
          <w:marBottom w:val="101"/>
          <w:divBdr>
            <w:top w:val="none" w:sz="0" w:space="0" w:color="auto"/>
            <w:left w:val="none" w:sz="0" w:space="0" w:color="auto"/>
            <w:bottom w:val="none" w:sz="0" w:space="0" w:color="auto"/>
            <w:right w:val="none" w:sz="0" w:space="0" w:color="auto"/>
          </w:divBdr>
        </w:div>
        <w:div w:id="1643996737">
          <w:marLeft w:val="0"/>
          <w:marRight w:val="0"/>
          <w:marTop w:val="0"/>
          <w:marBottom w:val="101"/>
          <w:divBdr>
            <w:top w:val="none" w:sz="0" w:space="0" w:color="auto"/>
            <w:left w:val="none" w:sz="0" w:space="0" w:color="auto"/>
            <w:bottom w:val="none" w:sz="0" w:space="0" w:color="auto"/>
            <w:right w:val="none" w:sz="0" w:space="0" w:color="auto"/>
          </w:divBdr>
        </w:div>
        <w:div w:id="1598908943">
          <w:marLeft w:val="0"/>
          <w:marRight w:val="0"/>
          <w:marTop w:val="0"/>
          <w:marBottom w:val="101"/>
          <w:divBdr>
            <w:top w:val="none" w:sz="0" w:space="0" w:color="auto"/>
            <w:left w:val="none" w:sz="0" w:space="0" w:color="auto"/>
            <w:bottom w:val="none" w:sz="0" w:space="0" w:color="auto"/>
            <w:right w:val="none" w:sz="0" w:space="0" w:color="auto"/>
          </w:divBdr>
        </w:div>
        <w:div w:id="2046128317">
          <w:marLeft w:val="0"/>
          <w:marRight w:val="0"/>
          <w:marTop w:val="0"/>
          <w:marBottom w:val="101"/>
          <w:divBdr>
            <w:top w:val="none" w:sz="0" w:space="0" w:color="auto"/>
            <w:left w:val="none" w:sz="0" w:space="0" w:color="auto"/>
            <w:bottom w:val="none" w:sz="0" w:space="0" w:color="auto"/>
            <w:right w:val="none" w:sz="0" w:space="0" w:color="auto"/>
          </w:divBdr>
        </w:div>
        <w:div w:id="744179674">
          <w:marLeft w:val="0"/>
          <w:marRight w:val="0"/>
          <w:marTop w:val="0"/>
          <w:marBottom w:val="101"/>
          <w:divBdr>
            <w:top w:val="none" w:sz="0" w:space="0" w:color="auto"/>
            <w:left w:val="none" w:sz="0" w:space="0" w:color="auto"/>
            <w:bottom w:val="none" w:sz="0" w:space="0" w:color="auto"/>
            <w:right w:val="none" w:sz="0" w:space="0" w:color="auto"/>
          </w:divBdr>
        </w:div>
        <w:div w:id="442769999">
          <w:marLeft w:val="0"/>
          <w:marRight w:val="0"/>
          <w:marTop w:val="0"/>
          <w:marBottom w:val="101"/>
          <w:divBdr>
            <w:top w:val="none" w:sz="0" w:space="0" w:color="auto"/>
            <w:left w:val="none" w:sz="0" w:space="0" w:color="auto"/>
            <w:bottom w:val="none" w:sz="0" w:space="0" w:color="auto"/>
            <w:right w:val="none" w:sz="0" w:space="0" w:color="auto"/>
          </w:divBdr>
        </w:div>
        <w:div w:id="1310212503">
          <w:marLeft w:val="0"/>
          <w:marRight w:val="0"/>
          <w:marTop w:val="0"/>
          <w:marBottom w:val="101"/>
          <w:divBdr>
            <w:top w:val="none" w:sz="0" w:space="0" w:color="auto"/>
            <w:left w:val="none" w:sz="0" w:space="0" w:color="auto"/>
            <w:bottom w:val="none" w:sz="0" w:space="0" w:color="auto"/>
            <w:right w:val="none" w:sz="0" w:space="0" w:color="auto"/>
          </w:divBdr>
        </w:div>
        <w:div w:id="1735621326">
          <w:marLeft w:val="0"/>
          <w:marRight w:val="0"/>
          <w:marTop w:val="0"/>
          <w:marBottom w:val="101"/>
          <w:divBdr>
            <w:top w:val="none" w:sz="0" w:space="0" w:color="auto"/>
            <w:left w:val="none" w:sz="0" w:space="0" w:color="auto"/>
            <w:bottom w:val="none" w:sz="0" w:space="0" w:color="auto"/>
            <w:right w:val="none" w:sz="0" w:space="0" w:color="auto"/>
          </w:divBdr>
        </w:div>
        <w:div w:id="1783961671">
          <w:marLeft w:val="0"/>
          <w:marRight w:val="0"/>
          <w:marTop w:val="0"/>
          <w:marBottom w:val="101"/>
          <w:divBdr>
            <w:top w:val="none" w:sz="0" w:space="0" w:color="auto"/>
            <w:left w:val="none" w:sz="0" w:space="0" w:color="auto"/>
            <w:bottom w:val="none" w:sz="0" w:space="0" w:color="auto"/>
            <w:right w:val="none" w:sz="0" w:space="0" w:color="auto"/>
          </w:divBdr>
        </w:div>
        <w:div w:id="1849245152">
          <w:marLeft w:val="0"/>
          <w:marRight w:val="0"/>
          <w:marTop w:val="0"/>
          <w:marBottom w:val="101"/>
          <w:divBdr>
            <w:top w:val="none" w:sz="0" w:space="0" w:color="auto"/>
            <w:left w:val="none" w:sz="0" w:space="0" w:color="auto"/>
            <w:bottom w:val="none" w:sz="0" w:space="0" w:color="auto"/>
            <w:right w:val="none" w:sz="0" w:space="0" w:color="auto"/>
          </w:divBdr>
        </w:div>
        <w:div w:id="1738550849">
          <w:marLeft w:val="0"/>
          <w:marRight w:val="0"/>
          <w:marTop w:val="0"/>
          <w:marBottom w:val="101"/>
          <w:divBdr>
            <w:top w:val="none" w:sz="0" w:space="0" w:color="auto"/>
            <w:left w:val="none" w:sz="0" w:space="0" w:color="auto"/>
            <w:bottom w:val="none" w:sz="0" w:space="0" w:color="auto"/>
            <w:right w:val="none" w:sz="0" w:space="0" w:color="auto"/>
          </w:divBdr>
        </w:div>
        <w:div w:id="167253988">
          <w:marLeft w:val="0"/>
          <w:marRight w:val="0"/>
          <w:marTop w:val="0"/>
          <w:marBottom w:val="101"/>
          <w:divBdr>
            <w:top w:val="none" w:sz="0" w:space="0" w:color="auto"/>
            <w:left w:val="none" w:sz="0" w:space="0" w:color="auto"/>
            <w:bottom w:val="none" w:sz="0" w:space="0" w:color="auto"/>
            <w:right w:val="none" w:sz="0" w:space="0" w:color="auto"/>
          </w:divBdr>
        </w:div>
        <w:div w:id="642197597">
          <w:marLeft w:val="0"/>
          <w:marRight w:val="0"/>
          <w:marTop w:val="0"/>
          <w:marBottom w:val="101"/>
          <w:divBdr>
            <w:top w:val="none" w:sz="0" w:space="0" w:color="auto"/>
            <w:left w:val="none" w:sz="0" w:space="0" w:color="auto"/>
            <w:bottom w:val="none" w:sz="0" w:space="0" w:color="auto"/>
            <w:right w:val="none" w:sz="0" w:space="0" w:color="auto"/>
          </w:divBdr>
        </w:div>
        <w:div w:id="508562162">
          <w:marLeft w:val="0"/>
          <w:marRight w:val="0"/>
          <w:marTop w:val="0"/>
          <w:marBottom w:val="101"/>
          <w:divBdr>
            <w:top w:val="none" w:sz="0" w:space="0" w:color="auto"/>
            <w:left w:val="none" w:sz="0" w:space="0" w:color="auto"/>
            <w:bottom w:val="none" w:sz="0" w:space="0" w:color="auto"/>
            <w:right w:val="none" w:sz="0" w:space="0" w:color="auto"/>
          </w:divBdr>
        </w:div>
        <w:div w:id="55664278">
          <w:marLeft w:val="0"/>
          <w:marRight w:val="0"/>
          <w:marTop w:val="0"/>
          <w:marBottom w:val="101"/>
          <w:divBdr>
            <w:top w:val="none" w:sz="0" w:space="0" w:color="auto"/>
            <w:left w:val="none" w:sz="0" w:space="0" w:color="auto"/>
            <w:bottom w:val="none" w:sz="0" w:space="0" w:color="auto"/>
            <w:right w:val="none" w:sz="0" w:space="0" w:color="auto"/>
          </w:divBdr>
        </w:div>
        <w:div w:id="937061555">
          <w:marLeft w:val="0"/>
          <w:marRight w:val="0"/>
          <w:marTop w:val="0"/>
          <w:marBottom w:val="101"/>
          <w:divBdr>
            <w:top w:val="none" w:sz="0" w:space="0" w:color="auto"/>
            <w:left w:val="none" w:sz="0" w:space="0" w:color="auto"/>
            <w:bottom w:val="none" w:sz="0" w:space="0" w:color="auto"/>
            <w:right w:val="none" w:sz="0" w:space="0" w:color="auto"/>
          </w:divBdr>
        </w:div>
        <w:div w:id="907571811">
          <w:marLeft w:val="0"/>
          <w:marRight w:val="0"/>
          <w:marTop w:val="0"/>
          <w:marBottom w:val="101"/>
          <w:divBdr>
            <w:top w:val="none" w:sz="0" w:space="0" w:color="auto"/>
            <w:left w:val="none" w:sz="0" w:space="0" w:color="auto"/>
            <w:bottom w:val="none" w:sz="0" w:space="0" w:color="auto"/>
            <w:right w:val="none" w:sz="0" w:space="0" w:color="auto"/>
          </w:divBdr>
        </w:div>
        <w:div w:id="1757824498">
          <w:marLeft w:val="0"/>
          <w:marRight w:val="0"/>
          <w:marTop w:val="0"/>
          <w:marBottom w:val="101"/>
          <w:divBdr>
            <w:top w:val="none" w:sz="0" w:space="0" w:color="auto"/>
            <w:left w:val="none" w:sz="0" w:space="0" w:color="auto"/>
            <w:bottom w:val="none" w:sz="0" w:space="0" w:color="auto"/>
            <w:right w:val="none" w:sz="0" w:space="0" w:color="auto"/>
          </w:divBdr>
        </w:div>
        <w:div w:id="2077897354">
          <w:marLeft w:val="0"/>
          <w:marRight w:val="0"/>
          <w:marTop w:val="0"/>
          <w:marBottom w:val="101"/>
          <w:divBdr>
            <w:top w:val="none" w:sz="0" w:space="0" w:color="auto"/>
            <w:left w:val="none" w:sz="0" w:space="0" w:color="auto"/>
            <w:bottom w:val="none" w:sz="0" w:space="0" w:color="auto"/>
            <w:right w:val="none" w:sz="0" w:space="0" w:color="auto"/>
          </w:divBdr>
        </w:div>
        <w:div w:id="2110346417">
          <w:marLeft w:val="0"/>
          <w:marRight w:val="0"/>
          <w:marTop w:val="0"/>
          <w:marBottom w:val="101"/>
          <w:divBdr>
            <w:top w:val="none" w:sz="0" w:space="0" w:color="auto"/>
            <w:left w:val="none" w:sz="0" w:space="0" w:color="auto"/>
            <w:bottom w:val="none" w:sz="0" w:space="0" w:color="auto"/>
            <w:right w:val="none" w:sz="0" w:space="0" w:color="auto"/>
          </w:divBdr>
        </w:div>
        <w:div w:id="806239877">
          <w:marLeft w:val="1080"/>
          <w:marRight w:val="0"/>
          <w:marTop w:val="0"/>
          <w:marBottom w:val="101"/>
          <w:divBdr>
            <w:top w:val="none" w:sz="0" w:space="0" w:color="auto"/>
            <w:left w:val="none" w:sz="0" w:space="0" w:color="auto"/>
            <w:bottom w:val="none" w:sz="0" w:space="0" w:color="auto"/>
            <w:right w:val="none" w:sz="0" w:space="0" w:color="auto"/>
          </w:divBdr>
        </w:div>
        <w:div w:id="385685250">
          <w:marLeft w:val="1080"/>
          <w:marRight w:val="0"/>
          <w:marTop w:val="0"/>
          <w:marBottom w:val="101"/>
          <w:divBdr>
            <w:top w:val="none" w:sz="0" w:space="0" w:color="auto"/>
            <w:left w:val="none" w:sz="0" w:space="0" w:color="auto"/>
            <w:bottom w:val="none" w:sz="0" w:space="0" w:color="auto"/>
            <w:right w:val="none" w:sz="0" w:space="0" w:color="auto"/>
          </w:divBdr>
        </w:div>
        <w:div w:id="1148669600">
          <w:marLeft w:val="0"/>
          <w:marRight w:val="0"/>
          <w:marTop w:val="0"/>
          <w:marBottom w:val="101"/>
          <w:divBdr>
            <w:top w:val="none" w:sz="0" w:space="0" w:color="auto"/>
            <w:left w:val="none" w:sz="0" w:space="0" w:color="auto"/>
            <w:bottom w:val="none" w:sz="0" w:space="0" w:color="auto"/>
            <w:right w:val="none" w:sz="0" w:space="0" w:color="auto"/>
          </w:divBdr>
        </w:div>
        <w:div w:id="22446027">
          <w:marLeft w:val="1440"/>
          <w:marRight w:val="0"/>
          <w:marTop w:val="0"/>
          <w:marBottom w:val="101"/>
          <w:divBdr>
            <w:top w:val="none" w:sz="0" w:space="0" w:color="auto"/>
            <w:left w:val="none" w:sz="0" w:space="0" w:color="auto"/>
            <w:bottom w:val="none" w:sz="0" w:space="0" w:color="auto"/>
            <w:right w:val="none" w:sz="0" w:space="0" w:color="auto"/>
          </w:divBdr>
        </w:div>
        <w:div w:id="1119027629">
          <w:marLeft w:val="1440"/>
          <w:marRight w:val="0"/>
          <w:marTop w:val="0"/>
          <w:marBottom w:val="101"/>
          <w:divBdr>
            <w:top w:val="none" w:sz="0" w:space="0" w:color="auto"/>
            <w:left w:val="none" w:sz="0" w:space="0" w:color="auto"/>
            <w:bottom w:val="none" w:sz="0" w:space="0" w:color="auto"/>
            <w:right w:val="none" w:sz="0" w:space="0" w:color="auto"/>
          </w:divBdr>
        </w:div>
        <w:div w:id="1233613801">
          <w:marLeft w:val="1440"/>
          <w:marRight w:val="0"/>
          <w:marTop w:val="0"/>
          <w:marBottom w:val="101"/>
          <w:divBdr>
            <w:top w:val="none" w:sz="0" w:space="0" w:color="auto"/>
            <w:left w:val="none" w:sz="0" w:space="0" w:color="auto"/>
            <w:bottom w:val="none" w:sz="0" w:space="0" w:color="auto"/>
            <w:right w:val="none" w:sz="0" w:space="0" w:color="auto"/>
          </w:divBdr>
        </w:div>
        <w:div w:id="1557348777">
          <w:marLeft w:val="0"/>
          <w:marRight w:val="0"/>
          <w:marTop w:val="0"/>
          <w:marBottom w:val="101"/>
          <w:divBdr>
            <w:top w:val="none" w:sz="0" w:space="0" w:color="auto"/>
            <w:left w:val="none" w:sz="0" w:space="0" w:color="auto"/>
            <w:bottom w:val="none" w:sz="0" w:space="0" w:color="auto"/>
            <w:right w:val="none" w:sz="0" w:space="0" w:color="auto"/>
          </w:divBdr>
        </w:div>
        <w:div w:id="173152430">
          <w:marLeft w:val="0"/>
          <w:marRight w:val="0"/>
          <w:marTop w:val="0"/>
          <w:marBottom w:val="101"/>
          <w:divBdr>
            <w:top w:val="none" w:sz="0" w:space="0" w:color="auto"/>
            <w:left w:val="none" w:sz="0" w:space="0" w:color="auto"/>
            <w:bottom w:val="none" w:sz="0" w:space="0" w:color="auto"/>
            <w:right w:val="none" w:sz="0" w:space="0" w:color="auto"/>
          </w:divBdr>
        </w:div>
        <w:div w:id="1247106727">
          <w:marLeft w:val="0"/>
          <w:marRight w:val="0"/>
          <w:marTop w:val="0"/>
          <w:marBottom w:val="101"/>
          <w:divBdr>
            <w:top w:val="none" w:sz="0" w:space="0" w:color="auto"/>
            <w:left w:val="none" w:sz="0" w:space="0" w:color="auto"/>
            <w:bottom w:val="none" w:sz="0" w:space="0" w:color="auto"/>
            <w:right w:val="none" w:sz="0" w:space="0" w:color="auto"/>
          </w:divBdr>
        </w:div>
        <w:div w:id="1806697331">
          <w:marLeft w:val="0"/>
          <w:marRight w:val="0"/>
          <w:marTop w:val="0"/>
          <w:marBottom w:val="101"/>
          <w:divBdr>
            <w:top w:val="none" w:sz="0" w:space="0" w:color="auto"/>
            <w:left w:val="none" w:sz="0" w:space="0" w:color="auto"/>
            <w:bottom w:val="none" w:sz="0" w:space="0" w:color="auto"/>
            <w:right w:val="none" w:sz="0" w:space="0" w:color="auto"/>
          </w:divBdr>
        </w:div>
        <w:div w:id="1310286595">
          <w:marLeft w:val="0"/>
          <w:marRight w:val="0"/>
          <w:marTop w:val="0"/>
          <w:marBottom w:val="101"/>
          <w:divBdr>
            <w:top w:val="none" w:sz="0" w:space="0" w:color="auto"/>
            <w:left w:val="none" w:sz="0" w:space="0" w:color="auto"/>
            <w:bottom w:val="none" w:sz="0" w:space="0" w:color="auto"/>
            <w:right w:val="none" w:sz="0" w:space="0" w:color="auto"/>
          </w:divBdr>
        </w:div>
        <w:div w:id="140120857">
          <w:marLeft w:val="0"/>
          <w:marRight w:val="0"/>
          <w:marTop w:val="0"/>
          <w:marBottom w:val="101"/>
          <w:divBdr>
            <w:top w:val="none" w:sz="0" w:space="0" w:color="auto"/>
            <w:left w:val="none" w:sz="0" w:space="0" w:color="auto"/>
            <w:bottom w:val="none" w:sz="0" w:space="0" w:color="auto"/>
            <w:right w:val="none" w:sz="0" w:space="0" w:color="auto"/>
          </w:divBdr>
        </w:div>
        <w:div w:id="593369089">
          <w:marLeft w:val="0"/>
          <w:marRight w:val="0"/>
          <w:marTop w:val="0"/>
          <w:marBottom w:val="101"/>
          <w:divBdr>
            <w:top w:val="none" w:sz="0" w:space="0" w:color="auto"/>
            <w:left w:val="none" w:sz="0" w:space="0" w:color="auto"/>
            <w:bottom w:val="none" w:sz="0" w:space="0" w:color="auto"/>
            <w:right w:val="none" w:sz="0" w:space="0" w:color="auto"/>
          </w:divBdr>
        </w:div>
        <w:div w:id="1745029025">
          <w:marLeft w:val="1080"/>
          <w:marRight w:val="0"/>
          <w:marTop w:val="0"/>
          <w:marBottom w:val="101"/>
          <w:divBdr>
            <w:top w:val="none" w:sz="0" w:space="0" w:color="auto"/>
            <w:left w:val="none" w:sz="0" w:space="0" w:color="auto"/>
            <w:bottom w:val="none" w:sz="0" w:space="0" w:color="auto"/>
            <w:right w:val="none" w:sz="0" w:space="0" w:color="auto"/>
          </w:divBdr>
        </w:div>
        <w:div w:id="826559236">
          <w:marLeft w:val="1080"/>
          <w:marRight w:val="0"/>
          <w:marTop w:val="0"/>
          <w:marBottom w:val="101"/>
          <w:divBdr>
            <w:top w:val="none" w:sz="0" w:space="0" w:color="auto"/>
            <w:left w:val="none" w:sz="0" w:space="0" w:color="auto"/>
            <w:bottom w:val="none" w:sz="0" w:space="0" w:color="auto"/>
            <w:right w:val="none" w:sz="0" w:space="0" w:color="auto"/>
          </w:divBdr>
        </w:div>
        <w:div w:id="1694570777">
          <w:marLeft w:val="1080"/>
          <w:marRight w:val="0"/>
          <w:marTop w:val="0"/>
          <w:marBottom w:val="101"/>
          <w:divBdr>
            <w:top w:val="none" w:sz="0" w:space="0" w:color="auto"/>
            <w:left w:val="none" w:sz="0" w:space="0" w:color="auto"/>
            <w:bottom w:val="none" w:sz="0" w:space="0" w:color="auto"/>
            <w:right w:val="none" w:sz="0" w:space="0" w:color="auto"/>
          </w:divBdr>
        </w:div>
        <w:div w:id="1875456160">
          <w:marLeft w:val="1080"/>
          <w:marRight w:val="0"/>
          <w:marTop w:val="0"/>
          <w:marBottom w:val="101"/>
          <w:divBdr>
            <w:top w:val="none" w:sz="0" w:space="0" w:color="auto"/>
            <w:left w:val="none" w:sz="0" w:space="0" w:color="auto"/>
            <w:bottom w:val="none" w:sz="0" w:space="0" w:color="auto"/>
            <w:right w:val="none" w:sz="0" w:space="0" w:color="auto"/>
          </w:divBdr>
        </w:div>
        <w:div w:id="2087533285">
          <w:marLeft w:val="1080"/>
          <w:marRight w:val="0"/>
          <w:marTop w:val="0"/>
          <w:marBottom w:val="101"/>
          <w:divBdr>
            <w:top w:val="none" w:sz="0" w:space="0" w:color="auto"/>
            <w:left w:val="none" w:sz="0" w:space="0" w:color="auto"/>
            <w:bottom w:val="none" w:sz="0" w:space="0" w:color="auto"/>
            <w:right w:val="none" w:sz="0" w:space="0" w:color="auto"/>
          </w:divBdr>
        </w:div>
        <w:div w:id="1823085983">
          <w:marLeft w:val="0"/>
          <w:marRight w:val="0"/>
          <w:marTop w:val="0"/>
          <w:marBottom w:val="101"/>
          <w:divBdr>
            <w:top w:val="none" w:sz="0" w:space="0" w:color="auto"/>
            <w:left w:val="none" w:sz="0" w:space="0" w:color="auto"/>
            <w:bottom w:val="none" w:sz="0" w:space="0" w:color="auto"/>
            <w:right w:val="none" w:sz="0" w:space="0" w:color="auto"/>
          </w:divBdr>
        </w:div>
        <w:div w:id="2088332904">
          <w:marLeft w:val="0"/>
          <w:marRight w:val="0"/>
          <w:marTop w:val="0"/>
          <w:marBottom w:val="101"/>
          <w:divBdr>
            <w:top w:val="none" w:sz="0" w:space="0" w:color="auto"/>
            <w:left w:val="none" w:sz="0" w:space="0" w:color="auto"/>
            <w:bottom w:val="none" w:sz="0" w:space="0" w:color="auto"/>
            <w:right w:val="none" w:sz="0" w:space="0" w:color="auto"/>
          </w:divBdr>
        </w:div>
        <w:div w:id="1187594219">
          <w:marLeft w:val="0"/>
          <w:marRight w:val="0"/>
          <w:marTop w:val="0"/>
          <w:marBottom w:val="101"/>
          <w:divBdr>
            <w:top w:val="none" w:sz="0" w:space="0" w:color="auto"/>
            <w:left w:val="none" w:sz="0" w:space="0" w:color="auto"/>
            <w:bottom w:val="none" w:sz="0" w:space="0" w:color="auto"/>
            <w:right w:val="none" w:sz="0" w:space="0" w:color="auto"/>
          </w:divBdr>
        </w:div>
        <w:div w:id="830950599">
          <w:marLeft w:val="0"/>
          <w:marRight w:val="0"/>
          <w:marTop w:val="0"/>
          <w:marBottom w:val="101"/>
          <w:divBdr>
            <w:top w:val="none" w:sz="0" w:space="0" w:color="auto"/>
            <w:left w:val="none" w:sz="0" w:space="0" w:color="auto"/>
            <w:bottom w:val="none" w:sz="0" w:space="0" w:color="auto"/>
            <w:right w:val="none" w:sz="0" w:space="0" w:color="auto"/>
          </w:divBdr>
        </w:div>
        <w:div w:id="2098165277">
          <w:marLeft w:val="0"/>
          <w:marRight w:val="0"/>
          <w:marTop w:val="0"/>
          <w:marBottom w:val="101"/>
          <w:divBdr>
            <w:top w:val="none" w:sz="0" w:space="0" w:color="auto"/>
            <w:left w:val="none" w:sz="0" w:space="0" w:color="auto"/>
            <w:bottom w:val="none" w:sz="0" w:space="0" w:color="auto"/>
            <w:right w:val="none" w:sz="0" w:space="0" w:color="auto"/>
          </w:divBdr>
        </w:div>
        <w:div w:id="1668629576">
          <w:marLeft w:val="0"/>
          <w:marRight w:val="0"/>
          <w:marTop w:val="0"/>
          <w:marBottom w:val="101"/>
          <w:divBdr>
            <w:top w:val="none" w:sz="0" w:space="0" w:color="auto"/>
            <w:left w:val="none" w:sz="0" w:space="0" w:color="auto"/>
            <w:bottom w:val="none" w:sz="0" w:space="0" w:color="auto"/>
            <w:right w:val="none" w:sz="0" w:space="0" w:color="auto"/>
          </w:divBdr>
        </w:div>
        <w:div w:id="298849469">
          <w:marLeft w:val="0"/>
          <w:marRight w:val="0"/>
          <w:marTop w:val="0"/>
          <w:marBottom w:val="101"/>
          <w:divBdr>
            <w:top w:val="none" w:sz="0" w:space="0" w:color="auto"/>
            <w:left w:val="none" w:sz="0" w:space="0" w:color="auto"/>
            <w:bottom w:val="none" w:sz="0" w:space="0" w:color="auto"/>
            <w:right w:val="none" w:sz="0" w:space="0" w:color="auto"/>
          </w:divBdr>
        </w:div>
        <w:div w:id="870457291">
          <w:marLeft w:val="0"/>
          <w:marRight w:val="0"/>
          <w:marTop w:val="0"/>
          <w:marBottom w:val="101"/>
          <w:divBdr>
            <w:top w:val="none" w:sz="0" w:space="0" w:color="auto"/>
            <w:left w:val="none" w:sz="0" w:space="0" w:color="auto"/>
            <w:bottom w:val="none" w:sz="0" w:space="0" w:color="auto"/>
            <w:right w:val="none" w:sz="0" w:space="0" w:color="auto"/>
          </w:divBdr>
        </w:div>
        <w:div w:id="1180773713">
          <w:marLeft w:val="0"/>
          <w:marRight w:val="0"/>
          <w:marTop w:val="0"/>
          <w:marBottom w:val="101"/>
          <w:divBdr>
            <w:top w:val="none" w:sz="0" w:space="0" w:color="auto"/>
            <w:left w:val="none" w:sz="0" w:space="0" w:color="auto"/>
            <w:bottom w:val="none" w:sz="0" w:space="0" w:color="auto"/>
            <w:right w:val="none" w:sz="0" w:space="0" w:color="auto"/>
          </w:divBdr>
        </w:div>
        <w:div w:id="244389377">
          <w:marLeft w:val="0"/>
          <w:marRight w:val="0"/>
          <w:marTop w:val="0"/>
          <w:marBottom w:val="101"/>
          <w:divBdr>
            <w:top w:val="none" w:sz="0" w:space="0" w:color="auto"/>
            <w:left w:val="none" w:sz="0" w:space="0" w:color="auto"/>
            <w:bottom w:val="none" w:sz="0" w:space="0" w:color="auto"/>
            <w:right w:val="none" w:sz="0" w:space="0" w:color="auto"/>
          </w:divBdr>
        </w:div>
        <w:div w:id="794296347">
          <w:marLeft w:val="0"/>
          <w:marRight w:val="0"/>
          <w:marTop w:val="0"/>
          <w:marBottom w:val="101"/>
          <w:divBdr>
            <w:top w:val="none" w:sz="0" w:space="0" w:color="auto"/>
            <w:left w:val="none" w:sz="0" w:space="0" w:color="auto"/>
            <w:bottom w:val="none" w:sz="0" w:space="0" w:color="auto"/>
            <w:right w:val="none" w:sz="0" w:space="0" w:color="auto"/>
          </w:divBdr>
        </w:div>
        <w:div w:id="297415246">
          <w:marLeft w:val="0"/>
          <w:marRight w:val="0"/>
          <w:marTop w:val="0"/>
          <w:marBottom w:val="101"/>
          <w:divBdr>
            <w:top w:val="none" w:sz="0" w:space="0" w:color="auto"/>
            <w:left w:val="none" w:sz="0" w:space="0" w:color="auto"/>
            <w:bottom w:val="none" w:sz="0" w:space="0" w:color="auto"/>
            <w:right w:val="none" w:sz="0" w:space="0" w:color="auto"/>
          </w:divBdr>
        </w:div>
        <w:div w:id="2060664476">
          <w:marLeft w:val="1080"/>
          <w:marRight w:val="0"/>
          <w:marTop w:val="0"/>
          <w:marBottom w:val="101"/>
          <w:divBdr>
            <w:top w:val="none" w:sz="0" w:space="0" w:color="auto"/>
            <w:left w:val="none" w:sz="0" w:space="0" w:color="auto"/>
            <w:bottom w:val="none" w:sz="0" w:space="0" w:color="auto"/>
            <w:right w:val="none" w:sz="0" w:space="0" w:color="auto"/>
          </w:divBdr>
        </w:div>
        <w:div w:id="121191689">
          <w:marLeft w:val="1440"/>
          <w:marRight w:val="0"/>
          <w:marTop w:val="0"/>
          <w:marBottom w:val="101"/>
          <w:divBdr>
            <w:top w:val="none" w:sz="0" w:space="0" w:color="auto"/>
            <w:left w:val="none" w:sz="0" w:space="0" w:color="auto"/>
            <w:bottom w:val="none" w:sz="0" w:space="0" w:color="auto"/>
            <w:right w:val="none" w:sz="0" w:space="0" w:color="auto"/>
          </w:divBdr>
        </w:div>
        <w:div w:id="401219855">
          <w:marLeft w:val="1440"/>
          <w:marRight w:val="0"/>
          <w:marTop w:val="0"/>
          <w:marBottom w:val="101"/>
          <w:divBdr>
            <w:top w:val="none" w:sz="0" w:space="0" w:color="auto"/>
            <w:left w:val="none" w:sz="0" w:space="0" w:color="auto"/>
            <w:bottom w:val="none" w:sz="0" w:space="0" w:color="auto"/>
            <w:right w:val="none" w:sz="0" w:space="0" w:color="auto"/>
          </w:divBdr>
        </w:div>
        <w:div w:id="1449080008">
          <w:marLeft w:val="1440"/>
          <w:marRight w:val="0"/>
          <w:marTop w:val="0"/>
          <w:marBottom w:val="101"/>
          <w:divBdr>
            <w:top w:val="none" w:sz="0" w:space="0" w:color="auto"/>
            <w:left w:val="none" w:sz="0" w:space="0" w:color="auto"/>
            <w:bottom w:val="none" w:sz="0" w:space="0" w:color="auto"/>
            <w:right w:val="none" w:sz="0" w:space="0" w:color="auto"/>
          </w:divBdr>
        </w:div>
        <w:div w:id="1700010153">
          <w:marLeft w:val="1440"/>
          <w:marRight w:val="0"/>
          <w:marTop w:val="0"/>
          <w:marBottom w:val="101"/>
          <w:divBdr>
            <w:top w:val="none" w:sz="0" w:space="0" w:color="auto"/>
            <w:left w:val="none" w:sz="0" w:space="0" w:color="auto"/>
            <w:bottom w:val="none" w:sz="0" w:space="0" w:color="auto"/>
            <w:right w:val="none" w:sz="0" w:space="0" w:color="auto"/>
          </w:divBdr>
        </w:div>
        <w:div w:id="154104732">
          <w:marLeft w:val="1080"/>
          <w:marRight w:val="0"/>
          <w:marTop w:val="0"/>
          <w:marBottom w:val="101"/>
          <w:divBdr>
            <w:top w:val="none" w:sz="0" w:space="0" w:color="auto"/>
            <w:left w:val="none" w:sz="0" w:space="0" w:color="auto"/>
            <w:bottom w:val="none" w:sz="0" w:space="0" w:color="auto"/>
            <w:right w:val="none" w:sz="0" w:space="0" w:color="auto"/>
          </w:divBdr>
        </w:div>
        <w:div w:id="1545408233">
          <w:marLeft w:val="0"/>
          <w:marRight w:val="0"/>
          <w:marTop w:val="0"/>
          <w:marBottom w:val="101"/>
          <w:divBdr>
            <w:top w:val="none" w:sz="0" w:space="0" w:color="auto"/>
            <w:left w:val="none" w:sz="0" w:space="0" w:color="auto"/>
            <w:bottom w:val="none" w:sz="0" w:space="0" w:color="auto"/>
            <w:right w:val="none" w:sz="0" w:space="0" w:color="auto"/>
          </w:divBdr>
        </w:div>
        <w:div w:id="2138720140">
          <w:marLeft w:val="1080"/>
          <w:marRight w:val="0"/>
          <w:marTop w:val="0"/>
          <w:marBottom w:val="101"/>
          <w:divBdr>
            <w:top w:val="none" w:sz="0" w:space="0" w:color="auto"/>
            <w:left w:val="none" w:sz="0" w:space="0" w:color="auto"/>
            <w:bottom w:val="none" w:sz="0" w:space="0" w:color="auto"/>
            <w:right w:val="none" w:sz="0" w:space="0" w:color="auto"/>
          </w:divBdr>
        </w:div>
        <w:div w:id="1719622792">
          <w:marLeft w:val="1080"/>
          <w:marRight w:val="0"/>
          <w:marTop w:val="0"/>
          <w:marBottom w:val="101"/>
          <w:divBdr>
            <w:top w:val="none" w:sz="0" w:space="0" w:color="auto"/>
            <w:left w:val="none" w:sz="0" w:space="0" w:color="auto"/>
            <w:bottom w:val="none" w:sz="0" w:space="0" w:color="auto"/>
            <w:right w:val="none" w:sz="0" w:space="0" w:color="auto"/>
          </w:divBdr>
        </w:div>
        <w:div w:id="1745682543">
          <w:marLeft w:val="0"/>
          <w:marRight w:val="0"/>
          <w:marTop w:val="0"/>
          <w:marBottom w:val="101"/>
          <w:divBdr>
            <w:top w:val="none" w:sz="0" w:space="0" w:color="auto"/>
            <w:left w:val="none" w:sz="0" w:space="0" w:color="auto"/>
            <w:bottom w:val="none" w:sz="0" w:space="0" w:color="auto"/>
            <w:right w:val="none" w:sz="0" w:space="0" w:color="auto"/>
          </w:divBdr>
        </w:div>
        <w:div w:id="673844944">
          <w:marLeft w:val="0"/>
          <w:marRight w:val="0"/>
          <w:marTop w:val="0"/>
          <w:marBottom w:val="101"/>
          <w:divBdr>
            <w:top w:val="none" w:sz="0" w:space="0" w:color="auto"/>
            <w:left w:val="none" w:sz="0" w:space="0" w:color="auto"/>
            <w:bottom w:val="none" w:sz="0" w:space="0" w:color="auto"/>
            <w:right w:val="none" w:sz="0" w:space="0" w:color="auto"/>
          </w:divBdr>
        </w:div>
        <w:div w:id="1106510152">
          <w:marLeft w:val="0"/>
          <w:marRight w:val="0"/>
          <w:marTop w:val="0"/>
          <w:marBottom w:val="101"/>
          <w:divBdr>
            <w:top w:val="none" w:sz="0" w:space="0" w:color="auto"/>
            <w:left w:val="none" w:sz="0" w:space="0" w:color="auto"/>
            <w:bottom w:val="none" w:sz="0" w:space="0" w:color="auto"/>
            <w:right w:val="none" w:sz="0" w:space="0" w:color="auto"/>
          </w:divBdr>
        </w:div>
        <w:div w:id="497699800">
          <w:marLeft w:val="0"/>
          <w:marRight w:val="0"/>
          <w:marTop w:val="0"/>
          <w:marBottom w:val="101"/>
          <w:divBdr>
            <w:top w:val="none" w:sz="0" w:space="0" w:color="auto"/>
            <w:left w:val="none" w:sz="0" w:space="0" w:color="auto"/>
            <w:bottom w:val="none" w:sz="0" w:space="0" w:color="auto"/>
            <w:right w:val="none" w:sz="0" w:space="0" w:color="auto"/>
          </w:divBdr>
        </w:div>
        <w:div w:id="1014453318">
          <w:marLeft w:val="0"/>
          <w:marRight w:val="0"/>
          <w:marTop w:val="0"/>
          <w:marBottom w:val="101"/>
          <w:divBdr>
            <w:top w:val="none" w:sz="0" w:space="0" w:color="auto"/>
            <w:left w:val="none" w:sz="0" w:space="0" w:color="auto"/>
            <w:bottom w:val="none" w:sz="0" w:space="0" w:color="auto"/>
            <w:right w:val="none" w:sz="0" w:space="0" w:color="auto"/>
          </w:divBdr>
        </w:div>
        <w:div w:id="616522660">
          <w:marLeft w:val="0"/>
          <w:marRight w:val="0"/>
          <w:marTop w:val="0"/>
          <w:marBottom w:val="101"/>
          <w:divBdr>
            <w:top w:val="none" w:sz="0" w:space="0" w:color="auto"/>
            <w:left w:val="none" w:sz="0" w:space="0" w:color="auto"/>
            <w:bottom w:val="none" w:sz="0" w:space="0" w:color="auto"/>
            <w:right w:val="none" w:sz="0" w:space="0" w:color="auto"/>
          </w:divBdr>
        </w:div>
        <w:div w:id="600919761">
          <w:marLeft w:val="0"/>
          <w:marRight w:val="0"/>
          <w:marTop w:val="0"/>
          <w:marBottom w:val="101"/>
          <w:divBdr>
            <w:top w:val="none" w:sz="0" w:space="0" w:color="auto"/>
            <w:left w:val="none" w:sz="0" w:space="0" w:color="auto"/>
            <w:bottom w:val="none" w:sz="0" w:space="0" w:color="auto"/>
            <w:right w:val="none" w:sz="0" w:space="0" w:color="auto"/>
          </w:divBdr>
        </w:div>
        <w:div w:id="993218322">
          <w:marLeft w:val="0"/>
          <w:marRight w:val="0"/>
          <w:marTop w:val="0"/>
          <w:marBottom w:val="101"/>
          <w:divBdr>
            <w:top w:val="none" w:sz="0" w:space="0" w:color="auto"/>
            <w:left w:val="none" w:sz="0" w:space="0" w:color="auto"/>
            <w:bottom w:val="none" w:sz="0" w:space="0" w:color="auto"/>
            <w:right w:val="none" w:sz="0" w:space="0" w:color="auto"/>
          </w:divBdr>
        </w:div>
        <w:div w:id="400980843">
          <w:marLeft w:val="0"/>
          <w:marRight w:val="0"/>
          <w:marTop w:val="0"/>
          <w:marBottom w:val="101"/>
          <w:divBdr>
            <w:top w:val="none" w:sz="0" w:space="0" w:color="auto"/>
            <w:left w:val="none" w:sz="0" w:space="0" w:color="auto"/>
            <w:bottom w:val="none" w:sz="0" w:space="0" w:color="auto"/>
            <w:right w:val="none" w:sz="0" w:space="0" w:color="auto"/>
          </w:divBdr>
        </w:div>
        <w:div w:id="1859199197">
          <w:marLeft w:val="0"/>
          <w:marRight w:val="0"/>
          <w:marTop w:val="0"/>
          <w:marBottom w:val="101"/>
          <w:divBdr>
            <w:top w:val="none" w:sz="0" w:space="0" w:color="auto"/>
            <w:left w:val="none" w:sz="0" w:space="0" w:color="auto"/>
            <w:bottom w:val="none" w:sz="0" w:space="0" w:color="auto"/>
            <w:right w:val="none" w:sz="0" w:space="0" w:color="auto"/>
          </w:divBdr>
        </w:div>
        <w:div w:id="1496342983">
          <w:marLeft w:val="0"/>
          <w:marRight w:val="0"/>
          <w:marTop w:val="0"/>
          <w:marBottom w:val="101"/>
          <w:divBdr>
            <w:top w:val="none" w:sz="0" w:space="0" w:color="auto"/>
            <w:left w:val="none" w:sz="0" w:space="0" w:color="auto"/>
            <w:bottom w:val="none" w:sz="0" w:space="0" w:color="auto"/>
            <w:right w:val="none" w:sz="0" w:space="0" w:color="auto"/>
          </w:divBdr>
        </w:div>
        <w:div w:id="587036525">
          <w:marLeft w:val="0"/>
          <w:marRight w:val="0"/>
          <w:marTop w:val="0"/>
          <w:marBottom w:val="101"/>
          <w:divBdr>
            <w:top w:val="none" w:sz="0" w:space="0" w:color="auto"/>
            <w:left w:val="none" w:sz="0" w:space="0" w:color="auto"/>
            <w:bottom w:val="none" w:sz="0" w:space="0" w:color="auto"/>
            <w:right w:val="none" w:sz="0" w:space="0" w:color="auto"/>
          </w:divBdr>
        </w:div>
        <w:div w:id="1254361469">
          <w:marLeft w:val="0"/>
          <w:marRight w:val="0"/>
          <w:marTop w:val="0"/>
          <w:marBottom w:val="101"/>
          <w:divBdr>
            <w:top w:val="none" w:sz="0" w:space="0" w:color="auto"/>
            <w:left w:val="none" w:sz="0" w:space="0" w:color="auto"/>
            <w:bottom w:val="none" w:sz="0" w:space="0" w:color="auto"/>
            <w:right w:val="none" w:sz="0" w:space="0" w:color="auto"/>
          </w:divBdr>
        </w:div>
        <w:div w:id="9838824">
          <w:marLeft w:val="0"/>
          <w:marRight w:val="0"/>
          <w:marTop w:val="0"/>
          <w:marBottom w:val="101"/>
          <w:divBdr>
            <w:top w:val="none" w:sz="0" w:space="0" w:color="auto"/>
            <w:left w:val="none" w:sz="0" w:space="0" w:color="auto"/>
            <w:bottom w:val="none" w:sz="0" w:space="0" w:color="auto"/>
            <w:right w:val="none" w:sz="0" w:space="0" w:color="auto"/>
          </w:divBdr>
        </w:div>
        <w:div w:id="36667227">
          <w:marLeft w:val="0"/>
          <w:marRight w:val="0"/>
          <w:marTop w:val="0"/>
          <w:marBottom w:val="101"/>
          <w:divBdr>
            <w:top w:val="none" w:sz="0" w:space="0" w:color="auto"/>
            <w:left w:val="none" w:sz="0" w:space="0" w:color="auto"/>
            <w:bottom w:val="none" w:sz="0" w:space="0" w:color="auto"/>
            <w:right w:val="none" w:sz="0" w:space="0" w:color="auto"/>
          </w:divBdr>
        </w:div>
        <w:div w:id="1726446097">
          <w:marLeft w:val="1080"/>
          <w:marRight w:val="0"/>
          <w:marTop w:val="0"/>
          <w:marBottom w:val="101"/>
          <w:divBdr>
            <w:top w:val="none" w:sz="0" w:space="0" w:color="auto"/>
            <w:left w:val="none" w:sz="0" w:space="0" w:color="auto"/>
            <w:bottom w:val="none" w:sz="0" w:space="0" w:color="auto"/>
            <w:right w:val="none" w:sz="0" w:space="0" w:color="auto"/>
          </w:divBdr>
        </w:div>
        <w:div w:id="169952857">
          <w:marLeft w:val="1080"/>
          <w:marRight w:val="0"/>
          <w:marTop w:val="0"/>
          <w:marBottom w:val="101"/>
          <w:divBdr>
            <w:top w:val="none" w:sz="0" w:space="0" w:color="auto"/>
            <w:left w:val="none" w:sz="0" w:space="0" w:color="auto"/>
            <w:bottom w:val="none" w:sz="0" w:space="0" w:color="auto"/>
            <w:right w:val="none" w:sz="0" w:space="0" w:color="auto"/>
          </w:divBdr>
        </w:div>
        <w:div w:id="1798447400">
          <w:marLeft w:val="0"/>
          <w:marRight w:val="0"/>
          <w:marTop w:val="0"/>
          <w:marBottom w:val="101"/>
          <w:divBdr>
            <w:top w:val="none" w:sz="0" w:space="0" w:color="auto"/>
            <w:left w:val="none" w:sz="0" w:space="0" w:color="auto"/>
            <w:bottom w:val="none" w:sz="0" w:space="0" w:color="auto"/>
            <w:right w:val="none" w:sz="0" w:space="0" w:color="auto"/>
          </w:divBdr>
        </w:div>
        <w:div w:id="369913407">
          <w:marLeft w:val="0"/>
          <w:marRight w:val="0"/>
          <w:marTop w:val="0"/>
          <w:marBottom w:val="101"/>
          <w:divBdr>
            <w:top w:val="none" w:sz="0" w:space="0" w:color="auto"/>
            <w:left w:val="none" w:sz="0" w:space="0" w:color="auto"/>
            <w:bottom w:val="none" w:sz="0" w:space="0" w:color="auto"/>
            <w:right w:val="none" w:sz="0" w:space="0" w:color="auto"/>
          </w:divBdr>
        </w:div>
        <w:div w:id="2132744581">
          <w:marLeft w:val="0"/>
          <w:marRight w:val="0"/>
          <w:marTop w:val="0"/>
          <w:marBottom w:val="101"/>
          <w:divBdr>
            <w:top w:val="none" w:sz="0" w:space="0" w:color="auto"/>
            <w:left w:val="none" w:sz="0" w:space="0" w:color="auto"/>
            <w:bottom w:val="none" w:sz="0" w:space="0" w:color="auto"/>
            <w:right w:val="none" w:sz="0" w:space="0" w:color="auto"/>
          </w:divBdr>
        </w:div>
        <w:div w:id="262996009">
          <w:marLeft w:val="0"/>
          <w:marRight w:val="0"/>
          <w:marTop w:val="0"/>
          <w:marBottom w:val="101"/>
          <w:divBdr>
            <w:top w:val="none" w:sz="0" w:space="0" w:color="auto"/>
            <w:left w:val="none" w:sz="0" w:space="0" w:color="auto"/>
            <w:bottom w:val="none" w:sz="0" w:space="0" w:color="auto"/>
            <w:right w:val="none" w:sz="0" w:space="0" w:color="auto"/>
          </w:divBdr>
        </w:div>
        <w:div w:id="972751843">
          <w:marLeft w:val="0"/>
          <w:marRight w:val="0"/>
          <w:marTop w:val="0"/>
          <w:marBottom w:val="101"/>
          <w:divBdr>
            <w:top w:val="none" w:sz="0" w:space="0" w:color="auto"/>
            <w:left w:val="none" w:sz="0" w:space="0" w:color="auto"/>
            <w:bottom w:val="none" w:sz="0" w:space="0" w:color="auto"/>
            <w:right w:val="none" w:sz="0" w:space="0" w:color="auto"/>
          </w:divBdr>
        </w:div>
        <w:div w:id="875046888">
          <w:marLeft w:val="0"/>
          <w:marRight w:val="0"/>
          <w:marTop w:val="0"/>
          <w:marBottom w:val="101"/>
          <w:divBdr>
            <w:top w:val="none" w:sz="0" w:space="0" w:color="auto"/>
            <w:left w:val="none" w:sz="0" w:space="0" w:color="auto"/>
            <w:bottom w:val="none" w:sz="0" w:space="0" w:color="auto"/>
            <w:right w:val="none" w:sz="0" w:space="0" w:color="auto"/>
          </w:divBdr>
        </w:div>
        <w:div w:id="2134051836">
          <w:marLeft w:val="0"/>
          <w:marRight w:val="0"/>
          <w:marTop w:val="0"/>
          <w:marBottom w:val="72"/>
          <w:divBdr>
            <w:top w:val="none" w:sz="0" w:space="0" w:color="auto"/>
            <w:left w:val="none" w:sz="0" w:space="0" w:color="auto"/>
            <w:bottom w:val="none" w:sz="0" w:space="0" w:color="auto"/>
            <w:right w:val="none" w:sz="0" w:space="0" w:color="auto"/>
          </w:divBdr>
        </w:div>
        <w:div w:id="1626034343">
          <w:marLeft w:val="0"/>
          <w:marRight w:val="0"/>
          <w:marTop w:val="0"/>
          <w:marBottom w:val="72"/>
          <w:divBdr>
            <w:top w:val="none" w:sz="0" w:space="0" w:color="auto"/>
            <w:left w:val="none" w:sz="0" w:space="0" w:color="auto"/>
            <w:bottom w:val="none" w:sz="0" w:space="0" w:color="auto"/>
            <w:right w:val="none" w:sz="0" w:space="0" w:color="auto"/>
          </w:divBdr>
        </w:div>
        <w:div w:id="935014084">
          <w:marLeft w:val="0"/>
          <w:marRight w:val="0"/>
          <w:marTop w:val="0"/>
          <w:marBottom w:val="72"/>
          <w:divBdr>
            <w:top w:val="none" w:sz="0" w:space="0" w:color="auto"/>
            <w:left w:val="none" w:sz="0" w:space="0" w:color="auto"/>
            <w:bottom w:val="none" w:sz="0" w:space="0" w:color="auto"/>
            <w:right w:val="none" w:sz="0" w:space="0" w:color="auto"/>
          </w:divBdr>
        </w:div>
        <w:div w:id="945385781">
          <w:marLeft w:val="0"/>
          <w:marRight w:val="0"/>
          <w:marTop w:val="0"/>
          <w:marBottom w:val="72"/>
          <w:divBdr>
            <w:top w:val="none" w:sz="0" w:space="0" w:color="auto"/>
            <w:left w:val="none" w:sz="0" w:space="0" w:color="auto"/>
            <w:bottom w:val="none" w:sz="0" w:space="0" w:color="auto"/>
            <w:right w:val="none" w:sz="0" w:space="0" w:color="auto"/>
          </w:divBdr>
        </w:div>
        <w:div w:id="462357182">
          <w:marLeft w:val="0"/>
          <w:marRight w:val="0"/>
          <w:marTop w:val="0"/>
          <w:marBottom w:val="72"/>
          <w:divBdr>
            <w:top w:val="none" w:sz="0" w:space="0" w:color="auto"/>
            <w:left w:val="none" w:sz="0" w:space="0" w:color="auto"/>
            <w:bottom w:val="none" w:sz="0" w:space="0" w:color="auto"/>
            <w:right w:val="none" w:sz="0" w:space="0" w:color="auto"/>
          </w:divBdr>
        </w:div>
        <w:div w:id="692615007">
          <w:marLeft w:val="0"/>
          <w:marRight w:val="0"/>
          <w:marTop w:val="0"/>
          <w:marBottom w:val="72"/>
          <w:divBdr>
            <w:top w:val="none" w:sz="0" w:space="0" w:color="auto"/>
            <w:left w:val="none" w:sz="0" w:space="0" w:color="auto"/>
            <w:bottom w:val="none" w:sz="0" w:space="0" w:color="auto"/>
            <w:right w:val="none" w:sz="0" w:space="0" w:color="auto"/>
          </w:divBdr>
        </w:div>
        <w:div w:id="379481908">
          <w:marLeft w:val="0"/>
          <w:marRight w:val="0"/>
          <w:marTop w:val="0"/>
          <w:marBottom w:val="72"/>
          <w:divBdr>
            <w:top w:val="none" w:sz="0" w:space="0" w:color="auto"/>
            <w:left w:val="none" w:sz="0" w:space="0" w:color="auto"/>
            <w:bottom w:val="none" w:sz="0" w:space="0" w:color="auto"/>
            <w:right w:val="none" w:sz="0" w:space="0" w:color="auto"/>
          </w:divBdr>
        </w:div>
        <w:div w:id="920868429">
          <w:marLeft w:val="0"/>
          <w:marRight w:val="0"/>
          <w:marTop w:val="0"/>
          <w:marBottom w:val="72"/>
          <w:divBdr>
            <w:top w:val="none" w:sz="0" w:space="0" w:color="auto"/>
            <w:left w:val="none" w:sz="0" w:space="0" w:color="auto"/>
            <w:bottom w:val="none" w:sz="0" w:space="0" w:color="auto"/>
            <w:right w:val="none" w:sz="0" w:space="0" w:color="auto"/>
          </w:divBdr>
        </w:div>
        <w:div w:id="1819766610">
          <w:marLeft w:val="0"/>
          <w:marRight w:val="0"/>
          <w:marTop w:val="0"/>
          <w:marBottom w:val="72"/>
          <w:divBdr>
            <w:top w:val="none" w:sz="0" w:space="0" w:color="auto"/>
            <w:left w:val="none" w:sz="0" w:space="0" w:color="auto"/>
            <w:bottom w:val="none" w:sz="0" w:space="0" w:color="auto"/>
            <w:right w:val="none" w:sz="0" w:space="0" w:color="auto"/>
          </w:divBdr>
        </w:div>
        <w:div w:id="1252813130">
          <w:marLeft w:val="1080"/>
          <w:marRight w:val="0"/>
          <w:marTop w:val="0"/>
          <w:marBottom w:val="72"/>
          <w:divBdr>
            <w:top w:val="none" w:sz="0" w:space="0" w:color="auto"/>
            <w:left w:val="none" w:sz="0" w:space="0" w:color="auto"/>
            <w:bottom w:val="none" w:sz="0" w:space="0" w:color="auto"/>
            <w:right w:val="none" w:sz="0" w:space="0" w:color="auto"/>
          </w:divBdr>
        </w:div>
        <w:div w:id="1549298624">
          <w:marLeft w:val="1080"/>
          <w:marRight w:val="0"/>
          <w:marTop w:val="0"/>
          <w:marBottom w:val="72"/>
          <w:divBdr>
            <w:top w:val="none" w:sz="0" w:space="0" w:color="auto"/>
            <w:left w:val="none" w:sz="0" w:space="0" w:color="auto"/>
            <w:bottom w:val="none" w:sz="0" w:space="0" w:color="auto"/>
            <w:right w:val="none" w:sz="0" w:space="0" w:color="auto"/>
          </w:divBdr>
        </w:div>
        <w:div w:id="1142424311">
          <w:marLeft w:val="1080"/>
          <w:marRight w:val="0"/>
          <w:marTop w:val="0"/>
          <w:marBottom w:val="72"/>
          <w:divBdr>
            <w:top w:val="none" w:sz="0" w:space="0" w:color="auto"/>
            <w:left w:val="none" w:sz="0" w:space="0" w:color="auto"/>
            <w:bottom w:val="none" w:sz="0" w:space="0" w:color="auto"/>
            <w:right w:val="none" w:sz="0" w:space="0" w:color="auto"/>
          </w:divBdr>
        </w:div>
        <w:div w:id="1261716820">
          <w:marLeft w:val="1080"/>
          <w:marRight w:val="0"/>
          <w:marTop w:val="0"/>
          <w:marBottom w:val="72"/>
          <w:divBdr>
            <w:top w:val="none" w:sz="0" w:space="0" w:color="auto"/>
            <w:left w:val="none" w:sz="0" w:space="0" w:color="auto"/>
            <w:bottom w:val="none" w:sz="0" w:space="0" w:color="auto"/>
            <w:right w:val="none" w:sz="0" w:space="0" w:color="auto"/>
          </w:divBdr>
        </w:div>
        <w:div w:id="1335910566">
          <w:marLeft w:val="1080"/>
          <w:marRight w:val="0"/>
          <w:marTop w:val="0"/>
          <w:marBottom w:val="72"/>
          <w:divBdr>
            <w:top w:val="none" w:sz="0" w:space="0" w:color="auto"/>
            <w:left w:val="none" w:sz="0" w:space="0" w:color="auto"/>
            <w:bottom w:val="none" w:sz="0" w:space="0" w:color="auto"/>
            <w:right w:val="none" w:sz="0" w:space="0" w:color="auto"/>
          </w:divBdr>
        </w:div>
        <w:div w:id="1860503688">
          <w:marLeft w:val="1080"/>
          <w:marRight w:val="0"/>
          <w:marTop w:val="0"/>
          <w:marBottom w:val="72"/>
          <w:divBdr>
            <w:top w:val="none" w:sz="0" w:space="0" w:color="auto"/>
            <w:left w:val="none" w:sz="0" w:space="0" w:color="auto"/>
            <w:bottom w:val="none" w:sz="0" w:space="0" w:color="auto"/>
            <w:right w:val="none" w:sz="0" w:space="0" w:color="auto"/>
          </w:divBdr>
        </w:div>
        <w:div w:id="1178039001">
          <w:marLeft w:val="0"/>
          <w:marRight w:val="0"/>
          <w:marTop w:val="0"/>
          <w:marBottom w:val="72"/>
          <w:divBdr>
            <w:top w:val="none" w:sz="0" w:space="0" w:color="auto"/>
            <w:left w:val="none" w:sz="0" w:space="0" w:color="auto"/>
            <w:bottom w:val="none" w:sz="0" w:space="0" w:color="auto"/>
            <w:right w:val="none" w:sz="0" w:space="0" w:color="auto"/>
          </w:divBdr>
        </w:div>
        <w:div w:id="678851428">
          <w:marLeft w:val="1080"/>
          <w:marRight w:val="0"/>
          <w:marTop w:val="0"/>
          <w:marBottom w:val="72"/>
          <w:divBdr>
            <w:top w:val="none" w:sz="0" w:space="0" w:color="auto"/>
            <w:left w:val="none" w:sz="0" w:space="0" w:color="auto"/>
            <w:bottom w:val="none" w:sz="0" w:space="0" w:color="auto"/>
            <w:right w:val="none" w:sz="0" w:space="0" w:color="auto"/>
          </w:divBdr>
        </w:div>
        <w:div w:id="1754467090">
          <w:marLeft w:val="1080"/>
          <w:marRight w:val="0"/>
          <w:marTop w:val="0"/>
          <w:marBottom w:val="72"/>
          <w:divBdr>
            <w:top w:val="none" w:sz="0" w:space="0" w:color="auto"/>
            <w:left w:val="none" w:sz="0" w:space="0" w:color="auto"/>
            <w:bottom w:val="none" w:sz="0" w:space="0" w:color="auto"/>
            <w:right w:val="none" w:sz="0" w:space="0" w:color="auto"/>
          </w:divBdr>
        </w:div>
        <w:div w:id="1074275744">
          <w:marLeft w:val="1080"/>
          <w:marRight w:val="0"/>
          <w:marTop w:val="0"/>
          <w:marBottom w:val="101"/>
          <w:divBdr>
            <w:top w:val="none" w:sz="0" w:space="0" w:color="auto"/>
            <w:left w:val="none" w:sz="0" w:space="0" w:color="auto"/>
            <w:bottom w:val="none" w:sz="0" w:space="0" w:color="auto"/>
            <w:right w:val="none" w:sz="0" w:space="0" w:color="auto"/>
          </w:divBdr>
        </w:div>
        <w:div w:id="2088842537">
          <w:marLeft w:val="1080"/>
          <w:marRight w:val="0"/>
          <w:marTop w:val="0"/>
          <w:marBottom w:val="101"/>
          <w:divBdr>
            <w:top w:val="none" w:sz="0" w:space="0" w:color="auto"/>
            <w:left w:val="none" w:sz="0" w:space="0" w:color="auto"/>
            <w:bottom w:val="none" w:sz="0" w:space="0" w:color="auto"/>
            <w:right w:val="none" w:sz="0" w:space="0" w:color="auto"/>
          </w:divBdr>
        </w:div>
        <w:div w:id="1826581127">
          <w:marLeft w:val="1080"/>
          <w:marRight w:val="0"/>
          <w:marTop w:val="0"/>
          <w:marBottom w:val="101"/>
          <w:divBdr>
            <w:top w:val="none" w:sz="0" w:space="0" w:color="auto"/>
            <w:left w:val="none" w:sz="0" w:space="0" w:color="auto"/>
            <w:bottom w:val="none" w:sz="0" w:space="0" w:color="auto"/>
            <w:right w:val="none" w:sz="0" w:space="0" w:color="auto"/>
          </w:divBdr>
        </w:div>
        <w:div w:id="1595237336">
          <w:marLeft w:val="1080"/>
          <w:marRight w:val="0"/>
          <w:marTop w:val="0"/>
          <w:marBottom w:val="101"/>
          <w:divBdr>
            <w:top w:val="none" w:sz="0" w:space="0" w:color="auto"/>
            <w:left w:val="none" w:sz="0" w:space="0" w:color="auto"/>
            <w:bottom w:val="none" w:sz="0" w:space="0" w:color="auto"/>
            <w:right w:val="none" w:sz="0" w:space="0" w:color="auto"/>
          </w:divBdr>
        </w:div>
        <w:div w:id="2119449473">
          <w:marLeft w:val="0"/>
          <w:marRight w:val="0"/>
          <w:marTop w:val="0"/>
          <w:marBottom w:val="101"/>
          <w:divBdr>
            <w:top w:val="none" w:sz="0" w:space="0" w:color="auto"/>
            <w:left w:val="none" w:sz="0" w:space="0" w:color="auto"/>
            <w:bottom w:val="none" w:sz="0" w:space="0" w:color="auto"/>
            <w:right w:val="none" w:sz="0" w:space="0" w:color="auto"/>
          </w:divBdr>
        </w:div>
        <w:div w:id="1536238380">
          <w:marLeft w:val="0"/>
          <w:marRight w:val="0"/>
          <w:marTop w:val="0"/>
          <w:marBottom w:val="101"/>
          <w:divBdr>
            <w:top w:val="none" w:sz="0" w:space="0" w:color="auto"/>
            <w:left w:val="none" w:sz="0" w:space="0" w:color="auto"/>
            <w:bottom w:val="none" w:sz="0" w:space="0" w:color="auto"/>
            <w:right w:val="none" w:sz="0" w:space="0" w:color="auto"/>
          </w:divBdr>
        </w:div>
        <w:div w:id="1445224338">
          <w:marLeft w:val="0"/>
          <w:marRight w:val="0"/>
          <w:marTop w:val="0"/>
          <w:marBottom w:val="101"/>
          <w:divBdr>
            <w:top w:val="none" w:sz="0" w:space="0" w:color="auto"/>
            <w:left w:val="none" w:sz="0" w:space="0" w:color="auto"/>
            <w:bottom w:val="none" w:sz="0" w:space="0" w:color="auto"/>
            <w:right w:val="none" w:sz="0" w:space="0" w:color="auto"/>
          </w:divBdr>
        </w:div>
        <w:div w:id="2037194512">
          <w:marLeft w:val="0"/>
          <w:marRight w:val="0"/>
          <w:marTop w:val="0"/>
          <w:marBottom w:val="101"/>
          <w:divBdr>
            <w:top w:val="none" w:sz="0" w:space="0" w:color="auto"/>
            <w:left w:val="none" w:sz="0" w:space="0" w:color="auto"/>
            <w:bottom w:val="none" w:sz="0" w:space="0" w:color="auto"/>
            <w:right w:val="none" w:sz="0" w:space="0" w:color="auto"/>
          </w:divBdr>
        </w:div>
        <w:div w:id="960263588">
          <w:marLeft w:val="0"/>
          <w:marRight w:val="0"/>
          <w:marTop w:val="0"/>
          <w:marBottom w:val="101"/>
          <w:divBdr>
            <w:top w:val="none" w:sz="0" w:space="0" w:color="auto"/>
            <w:left w:val="none" w:sz="0" w:space="0" w:color="auto"/>
            <w:bottom w:val="none" w:sz="0" w:space="0" w:color="auto"/>
            <w:right w:val="none" w:sz="0" w:space="0" w:color="auto"/>
          </w:divBdr>
        </w:div>
        <w:div w:id="1285423116">
          <w:marLeft w:val="0"/>
          <w:marRight w:val="0"/>
          <w:marTop w:val="0"/>
          <w:marBottom w:val="101"/>
          <w:divBdr>
            <w:top w:val="none" w:sz="0" w:space="0" w:color="auto"/>
            <w:left w:val="none" w:sz="0" w:space="0" w:color="auto"/>
            <w:bottom w:val="none" w:sz="0" w:space="0" w:color="auto"/>
            <w:right w:val="none" w:sz="0" w:space="0" w:color="auto"/>
          </w:divBdr>
        </w:div>
        <w:div w:id="1098018950">
          <w:marLeft w:val="0"/>
          <w:marRight w:val="0"/>
          <w:marTop w:val="0"/>
          <w:marBottom w:val="101"/>
          <w:divBdr>
            <w:top w:val="none" w:sz="0" w:space="0" w:color="auto"/>
            <w:left w:val="none" w:sz="0" w:space="0" w:color="auto"/>
            <w:bottom w:val="none" w:sz="0" w:space="0" w:color="auto"/>
            <w:right w:val="none" w:sz="0" w:space="0" w:color="auto"/>
          </w:divBdr>
        </w:div>
        <w:div w:id="1837072098">
          <w:marLeft w:val="0"/>
          <w:marRight w:val="0"/>
          <w:marTop w:val="0"/>
          <w:marBottom w:val="101"/>
          <w:divBdr>
            <w:top w:val="none" w:sz="0" w:space="0" w:color="auto"/>
            <w:left w:val="none" w:sz="0" w:space="0" w:color="auto"/>
            <w:bottom w:val="none" w:sz="0" w:space="0" w:color="auto"/>
            <w:right w:val="none" w:sz="0" w:space="0" w:color="auto"/>
          </w:divBdr>
        </w:div>
        <w:div w:id="1432511487">
          <w:marLeft w:val="0"/>
          <w:marRight w:val="0"/>
          <w:marTop w:val="0"/>
          <w:marBottom w:val="101"/>
          <w:divBdr>
            <w:top w:val="none" w:sz="0" w:space="0" w:color="auto"/>
            <w:left w:val="none" w:sz="0" w:space="0" w:color="auto"/>
            <w:bottom w:val="none" w:sz="0" w:space="0" w:color="auto"/>
            <w:right w:val="none" w:sz="0" w:space="0" w:color="auto"/>
          </w:divBdr>
        </w:div>
        <w:div w:id="1501853017">
          <w:marLeft w:val="0"/>
          <w:marRight w:val="0"/>
          <w:marTop w:val="0"/>
          <w:marBottom w:val="101"/>
          <w:divBdr>
            <w:top w:val="none" w:sz="0" w:space="0" w:color="auto"/>
            <w:left w:val="none" w:sz="0" w:space="0" w:color="auto"/>
            <w:bottom w:val="none" w:sz="0" w:space="0" w:color="auto"/>
            <w:right w:val="none" w:sz="0" w:space="0" w:color="auto"/>
          </w:divBdr>
        </w:div>
        <w:div w:id="22631549">
          <w:marLeft w:val="0"/>
          <w:marRight w:val="0"/>
          <w:marTop w:val="0"/>
          <w:marBottom w:val="101"/>
          <w:divBdr>
            <w:top w:val="none" w:sz="0" w:space="0" w:color="auto"/>
            <w:left w:val="none" w:sz="0" w:space="0" w:color="auto"/>
            <w:bottom w:val="none" w:sz="0" w:space="0" w:color="auto"/>
            <w:right w:val="none" w:sz="0" w:space="0" w:color="auto"/>
          </w:divBdr>
        </w:div>
        <w:div w:id="1469470552">
          <w:marLeft w:val="0"/>
          <w:marRight w:val="0"/>
          <w:marTop w:val="0"/>
          <w:marBottom w:val="101"/>
          <w:divBdr>
            <w:top w:val="none" w:sz="0" w:space="0" w:color="auto"/>
            <w:left w:val="none" w:sz="0" w:space="0" w:color="auto"/>
            <w:bottom w:val="none" w:sz="0" w:space="0" w:color="auto"/>
            <w:right w:val="none" w:sz="0" w:space="0" w:color="auto"/>
          </w:divBdr>
        </w:div>
        <w:div w:id="1627617105">
          <w:marLeft w:val="0"/>
          <w:marRight w:val="0"/>
          <w:marTop w:val="0"/>
          <w:marBottom w:val="101"/>
          <w:divBdr>
            <w:top w:val="none" w:sz="0" w:space="0" w:color="auto"/>
            <w:left w:val="none" w:sz="0" w:space="0" w:color="auto"/>
            <w:bottom w:val="none" w:sz="0" w:space="0" w:color="auto"/>
            <w:right w:val="none" w:sz="0" w:space="0" w:color="auto"/>
          </w:divBdr>
        </w:div>
        <w:div w:id="2103183422">
          <w:marLeft w:val="0"/>
          <w:marRight w:val="0"/>
          <w:marTop w:val="0"/>
          <w:marBottom w:val="101"/>
          <w:divBdr>
            <w:top w:val="none" w:sz="0" w:space="0" w:color="auto"/>
            <w:left w:val="none" w:sz="0" w:space="0" w:color="auto"/>
            <w:bottom w:val="none" w:sz="0" w:space="0" w:color="auto"/>
            <w:right w:val="none" w:sz="0" w:space="0" w:color="auto"/>
          </w:divBdr>
        </w:div>
        <w:div w:id="1191843800">
          <w:marLeft w:val="0"/>
          <w:marRight w:val="0"/>
          <w:marTop w:val="0"/>
          <w:marBottom w:val="101"/>
          <w:divBdr>
            <w:top w:val="none" w:sz="0" w:space="0" w:color="auto"/>
            <w:left w:val="none" w:sz="0" w:space="0" w:color="auto"/>
            <w:bottom w:val="none" w:sz="0" w:space="0" w:color="auto"/>
            <w:right w:val="none" w:sz="0" w:space="0" w:color="auto"/>
          </w:divBdr>
        </w:div>
        <w:div w:id="1061637991">
          <w:marLeft w:val="0"/>
          <w:marRight w:val="0"/>
          <w:marTop w:val="0"/>
          <w:marBottom w:val="101"/>
          <w:divBdr>
            <w:top w:val="none" w:sz="0" w:space="0" w:color="auto"/>
            <w:left w:val="none" w:sz="0" w:space="0" w:color="auto"/>
            <w:bottom w:val="none" w:sz="0" w:space="0" w:color="auto"/>
            <w:right w:val="none" w:sz="0" w:space="0" w:color="auto"/>
          </w:divBdr>
        </w:div>
        <w:div w:id="886912008">
          <w:marLeft w:val="0"/>
          <w:marRight w:val="0"/>
          <w:marTop w:val="0"/>
          <w:marBottom w:val="101"/>
          <w:divBdr>
            <w:top w:val="none" w:sz="0" w:space="0" w:color="auto"/>
            <w:left w:val="none" w:sz="0" w:space="0" w:color="auto"/>
            <w:bottom w:val="none" w:sz="0" w:space="0" w:color="auto"/>
            <w:right w:val="none" w:sz="0" w:space="0" w:color="auto"/>
          </w:divBdr>
        </w:div>
        <w:div w:id="811992325">
          <w:marLeft w:val="0"/>
          <w:marRight w:val="0"/>
          <w:marTop w:val="0"/>
          <w:marBottom w:val="101"/>
          <w:divBdr>
            <w:top w:val="none" w:sz="0" w:space="0" w:color="auto"/>
            <w:left w:val="none" w:sz="0" w:space="0" w:color="auto"/>
            <w:bottom w:val="none" w:sz="0" w:space="0" w:color="auto"/>
            <w:right w:val="none" w:sz="0" w:space="0" w:color="auto"/>
          </w:divBdr>
        </w:div>
        <w:div w:id="629357432">
          <w:marLeft w:val="0"/>
          <w:marRight w:val="0"/>
          <w:marTop w:val="0"/>
          <w:marBottom w:val="101"/>
          <w:divBdr>
            <w:top w:val="none" w:sz="0" w:space="0" w:color="auto"/>
            <w:left w:val="none" w:sz="0" w:space="0" w:color="auto"/>
            <w:bottom w:val="none" w:sz="0" w:space="0" w:color="auto"/>
            <w:right w:val="none" w:sz="0" w:space="0" w:color="auto"/>
          </w:divBdr>
        </w:div>
        <w:div w:id="2039501982">
          <w:marLeft w:val="0"/>
          <w:marRight w:val="0"/>
          <w:marTop w:val="0"/>
          <w:marBottom w:val="101"/>
          <w:divBdr>
            <w:top w:val="none" w:sz="0" w:space="0" w:color="auto"/>
            <w:left w:val="none" w:sz="0" w:space="0" w:color="auto"/>
            <w:bottom w:val="none" w:sz="0" w:space="0" w:color="auto"/>
            <w:right w:val="none" w:sz="0" w:space="0" w:color="auto"/>
          </w:divBdr>
        </w:div>
        <w:div w:id="1408303949">
          <w:marLeft w:val="0"/>
          <w:marRight w:val="0"/>
          <w:marTop w:val="0"/>
          <w:marBottom w:val="101"/>
          <w:divBdr>
            <w:top w:val="none" w:sz="0" w:space="0" w:color="auto"/>
            <w:left w:val="none" w:sz="0" w:space="0" w:color="auto"/>
            <w:bottom w:val="none" w:sz="0" w:space="0" w:color="auto"/>
            <w:right w:val="none" w:sz="0" w:space="0" w:color="auto"/>
          </w:divBdr>
        </w:div>
        <w:div w:id="715935627">
          <w:marLeft w:val="0"/>
          <w:marRight w:val="0"/>
          <w:marTop w:val="0"/>
          <w:marBottom w:val="101"/>
          <w:divBdr>
            <w:top w:val="none" w:sz="0" w:space="0" w:color="auto"/>
            <w:left w:val="none" w:sz="0" w:space="0" w:color="auto"/>
            <w:bottom w:val="none" w:sz="0" w:space="0" w:color="auto"/>
            <w:right w:val="none" w:sz="0" w:space="0" w:color="auto"/>
          </w:divBdr>
        </w:div>
        <w:div w:id="743139940">
          <w:marLeft w:val="0"/>
          <w:marRight w:val="0"/>
          <w:marTop w:val="0"/>
          <w:marBottom w:val="101"/>
          <w:divBdr>
            <w:top w:val="none" w:sz="0" w:space="0" w:color="auto"/>
            <w:left w:val="none" w:sz="0" w:space="0" w:color="auto"/>
            <w:bottom w:val="none" w:sz="0" w:space="0" w:color="auto"/>
            <w:right w:val="none" w:sz="0" w:space="0" w:color="auto"/>
          </w:divBdr>
        </w:div>
        <w:div w:id="673846130">
          <w:marLeft w:val="0"/>
          <w:marRight w:val="0"/>
          <w:marTop w:val="0"/>
          <w:marBottom w:val="101"/>
          <w:divBdr>
            <w:top w:val="none" w:sz="0" w:space="0" w:color="auto"/>
            <w:left w:val="none" w:sz="0" w:space="0" w:color="auto"/>
            <w:bottom w:val="none" w:sz="0" w:space="0" w:color="auto"/>
            <w:right w:val="none" w:sz="0" w:space="0" w:color="auto"/>
          </w:divBdr>
        </w:div>
        <w:div w:id="345253855">
          <w:marLeft w:val="0"/>
          <w:marRight w:val="0"/>
          <w:marTop w:val="0"/>
          <w:marBottom w:val="101"/>
          <w:divBdr>
            <w:top w:val="none" w:sz="0" w:space="0" w:color="auto"/>
            <w:left w:val="none" w:sz="0" w:space="0" w:color="auto"/>
            <w:bottom w:val="none" w:sz="0" w:space="0" w:color="auto"/>
            <w:right w:val="none" w:sz="0" w:space="0" w:color="auto"/>
          </w:divBdr>
        </w:div>
        <w:div w:id="521404654">
          <w:marLeft w:val="0"/>
          <w:marRight w:val="0"/>
          <w:marTop w:val="0"/>
          <w:marBottom w:val="101"/>
          <w:divBdr>
            <w:top w:val="none" w:sz="0" w:space="0" w:color="auto"/>
            <w:left w:val="none" w:sz="0" w:space="0" w:color="auto"/>
            <w:bottom w:val="none" w:sz="0" w:space="0" w:color="auto"/>
            <w:right w:val="none" w:sz="0" w:space="0" w:color="auto"/>
          </w:divBdr>
        </w:div>
        <w:div w:id="1081223106">
          <w:marLeft w:val="0"/>
          <w:marRight w:val="0"/>
          <w:marTop w:val="0"/>
          <w:marBottom w:val="101"/>
          <w:divBdr>
            <w:top w:val="none" w:sz="0" w:space="0" w:color="auto"/>
            <w:left w:val="none" w:sz="0" w:space="0" w:color="auto"/>
            <w:bottom w:val="none" w:sz="0" w:space="0" w:color="auto"/>
            <w:right w:val="none" w:sz="0" w:space="0" w:color="auto"/>
          </w:divBdr>
        </w:div>
        <w:div w:id="1399085126">
          <w:marLeft w:val="0"/>
          <w:marRight w:val="0"/>
          <w:marTop w:val="0"/>
          <w:marBottom w:val="101"/>
          <w:divBdr>
            <w:top w:val="none" w:sz="0" w:space="0" w:color="auto"/>
            <w:left w:val="none" w:sz="0" w:space="0" w:color="auto"/>
            <w:bottom w:val="none" w:sz="0" w:space="0" w:color="auto"/>
            <w:right w:val="none" w:sz="0" w:space="0" w:color="auto"/>
          </w:divBdr>
        </w:div>
        <w:div w:id="200363375">
          <w:marLeft w:val="0"/>
          <w:marRight w:val="0"/>
          <w:marTop w:val="0"/>
          <w:marBottom w:val="101"/>
          <w:divBdr>
            <w:top w:val="none" w:sz="0" w:space="0" w:color="auto"/>
            <w:left w:val="none" w:sz="0" w:space="0" w:color="auto"/>
            <w:bottom w:val="none" w:sz="0" w:space="0" w:color="auto"/>
            <w:right w:val="none" w:sz="0" w:space="0" w:color="auto"/>
          </w:divBdr>
        </w:div>
        <w:div w:id="743140211">
          <w:marLeft w:val="0"/>
          <w:marRight w:val="0"/>
          <w:marTop w:val="0"/>
          <w:marBottom w:val="101"/>
          <w:divBdr>
            <w:top w:val="none" w:sz="0" w:space="0" w:color="auto"/>
            <w:left w:val="none" w:sz="0" w:space="0" w:color="auto"/>
            <w:bottom w:val="none" w:sz="0" w:space="0" w:color="auto"/>
            <w:right w:val="none" w:sz="0" w:space="0" w:color="auto"/>
          </w:divBdr>
        </w:div>
        <w:div w:id="1298879649">
          <w:marLeft w:val="0"/>
          <w:marRight w:val="0"/>
          <w:marTop w:val="0"/>
          <w:marBottom w:val="101"/>
          <w:divBdr>
            <w:top w:val="none" w:sz="0" w:space="0" w:color="auto"/>
            <w:left w:val="none" w:sz="0" w:space="0" w:color="auto"/>
            <w:bottom w:val="none" w:sz="0" w:space="0" w:color="auto"/>
            <w:right w:val="none" w:sz="0" w:space="0" w:color="auto"/>
          </w:divBdr>
        </w:div>
        <w:div w:id="950863450">
          <w:marLeft w:val="0"/>
          <w:marRight w:val="0"/>
          <w:marTop w:val="0"/>
          <w:marBottom w:val="101"/>
          <w:divBdr>
            <w:top w:val="none" w:sz="0" w:space="0" w:color="auto"/>
            <w:left w:val="none" w:sz="0" w:space="0" w:color="auto"/>
            <w:bottom w:val="none" w:sz="0" w:space="0" w:color="auto"/>
            <w:right w:val="none" w:sz="0" w:space="0" w:color="auto"/>
          </w:divBdr>
        </w:div>
        <w:div w:id="900868798">
          <w:marLeft w:val="0"/>
          <w:marRight w:val="0"/>
          <w:marTop w:val="0"/>
          <w:marBottom w:val="101"/>
          <w:divBdr>
            <w:top w:val="none" w:sz="0" w:space="0" w:color="auto"/>
            <w:left w:val="none" w:sz="0" w:space="0" w:color="auto"/>
            <w:bottom w:val="none" w:sz="0" w:space="0" w:color="auto"/>
            <w:right w:val="none" w:sz="0" w:space="0" w:color="auto"/>
          </w:divBdr>
        </w:div>
        <w:div w:id="1490173670">
          <w:marLeft w:val="0"/>
          <w:marRight w:val="0"/>
          <w:marTop w:val="0"/>
          <w:marBottom w:val="101"/>
          <w:divBdr>
            <w:top w:val="none" w:sz="0" w:space="0" w:color="auto"/>
            <w:left w:val="none" w:sz="0" w:space="0" w:color="auto"/>
            <w:bottom w:val="none" w:sz="0" w:space="0" w:color="auto"/>
            <w:right w:val="none" w:sz="0" w:space="0" w:color="auto"/>
          </w:divBdr>
        </w:div>
        <w:div w:id="119036697">
          <w:marLeft w:val="0"/>
          <w:marRight w:val="0"/>
          <w:marTop w:val="0"/>
          <w:marBottom w:val="101"/>
          <w:divBdr>
            <w:top w:val="none" w:sz="0" w:space="0" w:color="auto"/>
            <w:left w:val="none" w:sz="0" w:space="0" w:color="auto"/>
            <w:bottom w:val="none" w:sz="0" w:space="0" w:color="auto"/>
            <w:right w:val="none" w:sz="0" w:space="0" w:color="auto"/>
          </w:divBdr>
        </w:div>
        <w:div w:id="1989243067">
          <w:marLeft w:val="1080"/>
          <w:marRight w:val="0"/>
          <w:marTop w:val="0"/>
          <w:marBottom w:val="101"/>
          <w:divBdr>
            <w:top w:val="none" w:sz="0" w:space="0" w:color="auto"/>
            <w:left w:val="none" w:sz="0" w:space="0" w:color="auto"/>
            <w:bottom w:val="none" w:sz="0" w:space="0" w:color="auto"/>
            <w:right w:val="none" w:sz="0" w:space="0" w:color="auto"/>
          </w:divBdr>
        </w:div>
        <w:div w:id="1548687028">
          <w:marLeft w:val="1080"/>
          <w:marRight w:val="0"/>
          <w:marTop w:val="0"/>
          <w:marBottom w:val="101"/>
          <w:divBdr>
            <w:top w:val="none" w:sz="0" w:space="0" w:color="auto"/>
            <w:left w:val="none" w:sz="0" w:space="0" w:color="auto"/>
            <w:bottom w:val="none" w:sz="0" w:space="0" w:color="auto"/>
            <w:right w:val="none" w:sz="0" w:space="0" w:color="auto"/>
          </w:divBdr>
        </w:div>
        <w:div w:id="399715344">
          <w:marLeft w:val="0"/>
          <w:marRight w:val="0"/>
          <w:marTop w:val="0"/>
          <w:marBottom w:val="101"/>
          <w:divBdr>
            <w:top w:val="none" w:sz="0" w:space="0" w:color="auto"/>
            <w:left w:val="none" w:sz="0" w:space="0" w:color="auto"/>
            <w:bottom w:val="none" w:sz="0" w:space="0" w:color="auto"/>
            <w:right w:val="none" w:sz="0" w:space="0" w:color="auto"/>
          </w:divBdr>
        </w:div>
        <w:div w:id="2104716120">
          <w:marLeft w:val="1080"/>
          <w:marRight w:val="0"/>
          <w:marTop w:val="0"/>
          <w:marBottom w:val="101"/>
          <w:divBdr>
            <w:top w:val="none" w:sz="0" w:space="0" w:color="auto"/>
            <w:left w:val="none" w:sz="0" w:space="0" w:color="auto"/>
            <w:bottom w:val="none" w:sz="0" w:space="0" w:color="auto"/>
            <w:right w:val="none" w:sz="0" w:space="0" w:color="auto"/>
          </w:divBdr>
        </w:div>
        <w:div w:id="949973430">
          <w:marLeft w:val="1080"/>
          <w:marRight w:val="0"/>
          <w:marTop w:val="0"/>
          <w:marBottom w:val="101"/>
          <w:divBdr>
            <w:top w:val="none" w:sz="0" w:space="0" w:color="auto"/>
            <w:left w:val="none" w:sz="0" w:space="0" w:color="auto"/>
            <w:bottom w:val="none" w:sz="0" w:space="0" w:color="auto"/>
            <w:right w:val="none" w:sz="0" w:space="0" w:color="auto"/>
          </w:divBdr>
        </w:div>
        <w:div w:id="1952930961">
          <w:marLeft w:val="1080"/>
          <w:marRight w:val="0"/>
          <w:marTop w:val="0"/>
          <w:marBottom w:val="101"/>
          <w:divBdr>
            <w:top w:val="none" w:sz="0" w:space="0" w:color="auto"/>
            <w:left w:val="none" w:sz="0" w:space="0" w:color="auto"/>
            <w:bottom w:val="none" w:sz="0" w:space="0" w:color="auto"/>
            <w:right w:val="none" w:sz="0" w:space="0" w:color="auto"/>
          </w:divBdr>
        </w:div>
        <w:div w:id="1247691594">
          <w:marLeft w:val="1080"/>
          <w:marRight w:val="0"/>
          <w:marTop w:val="0"/>
          <w:marBottom w:val="101"/>
          <w:divBdr>
            <w:top w:val="none" w:sz="0" w:space="0" w:color="auto"/>
            <w:left w:val="none" w:sz="0" w:space="0" w:color="auto"/>
            <w:bottom w:val="none" w:sz="0" w:space="0" w:color="auto"/>
            <w:right w:val="none" w:sz="0" w:space="0" w:color="auto"/>
          </w:divBdr>
        </w:div>
        <w:div w:id="2006201680">
          <w:marLeft w:val="1080"/>
          <w:marRight w:val="0"/>
          <w:marTop w:val="0"/>
          <w:marBottom w:val="101"/>
          <w:divBdr>
            <w:top w:val="none" w:sz="0" w:space="0" w:color="auto"/>
            <w:left w:val="none" w:sz="0" w:space="0" w:color="auto"/>
            <w:bottom w:val="none" w:sz="0" w:space="0" w:color="auto"/>
            <w:right w:val="none" w:sz="0" w:space="0" w:color="auto"/>
          </w:divBdr>
        </w:div>
        <w:div w:id="1323316906">
          <w:marLeft w:val="1080"/>
          <w:marRight w:val="0"/>
          <w:marTop w:val="0"/>
          <w:marBottom w:val="101"/>
          <w:divBdr>
            <w:top w:val="none" w:sz="0" w:space="0" w:color="auto"/>
            <w:left w:val="none" w:sz="0" w:space="0" w:color="auto"/>
            <w:bottom w:val="none" w:sz="0" w:space="0" w:color="auto"/>
            <w:right w:val="none" w:sz="0" w:space="0" w:color="auto"/>
          </w:divBdr>
        </w:div>
        <w:div w:id="592665861">
          <w:marLeft w:val="1080"/>
          <w:marRight w:val="0"/>
          <w:marTop w:val="0"/>
          <w:marBottom w:val="101"/>
          <w:divBdr>
            <w:top w:val="none" w:sz="0" w:space="0" w:color="auto"/>
            <w:left w:val="none" w:sz="0" w:space="0" w:color="auto"/>
            <w:bottom w:val="none" w:sz="0" w:space="0" w:color="auto"/>
            <w:right w:val="none" w:sz="0" w:space="0" w:color="auto"/>
          </w:divBdr>
        </w:div>
        <w:div w:id="924649488">
          <w:marLeft w:val="1080"/>
          <w:marRight w:val="0"/>
          <w:marTop w:val="0"/>
          <w:marBottom w:val="101"/>
          <w:divBdr>
            <w:top w:val="none" w:sz="0" w:space="0" w:color="auto"/>
            <w:left w:val="none" w:sz="0" w:space="0" w:color="auto"/>
            <w:bottom w:val="none" w:sz="0" w:space="0" w:color="auto"/>
            <w:right w:val="none" w:sz="0" w:space="0" w:color="auto"/>
          </w:divBdr>
        </w:div>
        <w:div w:id="1429618932">
          <w:marLeft w:val="1080"/>
          <w:marRight w:val="0"/>
          <w:marTop w:val="0"/>
          <w:marBottom w:val="101"/>
          <w:divBdr>
            <w:top w:val="none" w:sz="0" w:space="0" w:color="auto"/>
            <w:left w:val="none" w:sz="0" w:space="0" w:color="auto"/>
            <w:bottom w:val="none" w:sz="0" w:space="0" w:color="auto"/>
            <w:right w:val="none" w:sz="0" w:space="0" w:color="auto"/>
          </w:divBdr>
        </w:div>
        <w:div w:id="1683118506">
          <w:marLeft w:val="1080"/>
          <w:marRight w:val="0"/>
          <w:marTop w:val="0"/>
          <w:marBottom w:val="101"/>
          <w:divBdr>
            <w:top w:val="none" w:sz="0" w:space="0" w:color="auto"/>
            <w:left w:val="none" w:sz="0" w:space="0" w:color="auto"/>
            <w:bottom w:val="none" w:sz="0" w:space="0" w:color="auto"/>
            <w:right w:val="none" w:sz="0" w:space="0" w:color="auto"/>
          </w:divBdr>
        </w:div>
        <w:div w:id="6905393">
          <w:marLeft w:val="1080"/>
          <w:marRight w:val="0"/>
          <w:marTop w:val="0"/>
          <w:marBottom w:val="101"/>
          <w:divBdr>
            <w:top w:val="none" w:sz="0" w:space="0" w:color="auto"/>
            <w:left w:val="none" w:sz="0" w:space="0" w:color="auto"/>
            <w:bottom w:val="none" w:sz="0" w:space="0" w:color="auto"/>
            <w:right w:val="none" w:sz="0" w:space="0" w:color="auto"/>
          </w:divBdr>
        </w:div>
        <w:div w:id="377820218">
          <w:marLeft w:val="1080"/>
          <w:marRight w:val="0"/>
          <w:marTop w:val="0"/>
          <w:marBottom w:val="101"/>
          <w:divBdr>
            <w:top w:val="none" w:sz="0" w:space="0" w:color="auto"/>
            <w:left w:val="none" w:sz="0" w:space="0" w:color="auto"/>
            <w:bottom w:val="none" w:sz="0" w:space="0" w:color="auto"/>
            <w:right w:val="none" w:sz="0" w:space="0" w:color="auto"/>
          </w:divBdr>
        </w:div>
        <w:div w:id="2102406040">
          <w:marLeft w:val="0"/>
          <w:marRight w:val="0"/>
          <w:marTop w:val="0"/>
          <w:marBottom w:val="101"/>
          <w:divBdr>
            <w:top w:val="none" w:sz="0" w:space="0" w:color="auto"/>
            <w:left w:val="none" w:sz="0" w:space="0" w:color="auto"/>
            <w:bottom w:val="none" w:sz="0" w:space="0" w:color="auto"/>
            <w:right w:val="none" w:sz="0" w:space="0" w:color="auto"/>
          </w:divBdr>
        </w:div>
        <w:div w:id="97915948">
          <w:marLeft w:val="0"/>
          <w:marRight w:val="0"/>
          <w:marTop w:val="0"/>
          <w:marBottom w:val="101"/>
          <w:divBdr>
            <w:top w:val="none" w:sz="0" w:space="0" w:color="auto"/>
            <w:left w:val="none" w:sz="0" w:space="0" w:color="auto"/>
            <w:bottom w:val="none" w:sz="0" w:space="0" w:color="auto"/>
            <w:right w:val="none" w:sz="0" w:space="0" w:color="auto"/>
          </w:divBdr>
        </w:div>
        <w:div w:id="1622152485">
          <w:marLeft w:val="0"/>
          <w:marRight w:val="0"/>
          <w:marTop w:val="0"/>
          <w:marBottom w:val="101"/>
          <w:divBdr>
            <w:top w:val="none" w:sz="0" w:space="0" w:color="auto"/>
            <w:left w:val="none" w:sz="0" w:space="0" w:color="auto"/>
            <w:bottom w:val="none" w:sz="0" w:space="0" w:color="auto"/>
            <w:right w:val="none" w:sz="0" w:space="0" w:color="auto"/>
          </w:divBdr>
        </w:div>
        <w:div w:id="984168434">
          <w:marLeft w:val="0"/>
          <w:marRight w:val="0"/>
          <w:marTop w:val="0"/>
          <w:marBottom w:val="101"/>
          <w:divBdr>
            <w:top w:val="none" w:sz="0" w:space="0" w:color="auto"/>
            <w:left w:val="none" w:sz="0" w:space="0" w:color="auto"/>
            <w:bottom w:val="none" w:sz="0" w:space="0" w:color="auto"/>
            <w:right w:val="none" w:sz="0" w:space="0" w:color="auto"/>
          </w:divBdr>
        </w:div>
        <w:div w:id="1516072416">
          <w:marLeft w:val="0"/>
          <w:marRight w:val="0"/>
          <w:marTop w:val="0"/>
          <w:marBottom w:val="101"/>
          <w:divBdr>
            <w:top w:val="none" w:sz="0" w:space="0" w:color="auto"/>
            <w:left w:val="none" w:sz="0" w:space="0" w:color="auto"/>
            <w:bottom w:val="none" w:sz="0" w:space="0" w:color="auto"/>
            <w:right w:val="none" w:sz="0" w:space="0" w:color="auto"/>
          </w:divBdr>
        </w:div>
        <w:div w:id="1232346001">
          <w:marLeft w:val="0"/>
          <w:marRight w:val="0"/>
          <w:marTop w:val="0"/>
          <w:marBottom w:val="101"/>
          <w:divBdr>
            <w:top w:val="none" w:sz="0" w:space="0" w:color="auto"/>
            <w:left w:val="none" w:sz="0" w:space="0" w:color="auto"/>
            <w:bottom w:val="none" w:sz="0" w:space="0" w:color="auto"/>
            <w:right w:val="none" w:sz="0" w:space="0" w:color="auto"/>
          </w:divBdr>
        </w:div>
        <w:div w:id="275331300">
          <w:marLeft w:val="0"/>
          <w:marRight w:val="0"/>
          <w:marTop w:val="0"/>
          <w:marBottom w:val="101"/>
          <w:divBdr>
            <w:top w:val="none" w:sz="0" w:space="0" w:color="auto"/>
            <w:left w:val="none" w:sz="0" w:space="0" w:color="auto"/>
            <w:bottom w:val="none" w:sz="0" w:space="0" w:color="auto"/>
            <w:right w:val="none" w:sz="0" w:space="0" w:color="auto"/>
          </w:divBdr>
        </w:div>
        <w:div w:id="722218295">
          <w:marLeft w:val="0"/>
          <w:marRight w:val="0"/>
          <w:marTop w:val="0"/>
          <w:marBottom w:val="101"/>
          <w:divBdr>
            <w:top w:val="none" w:sz="0" w:space="0" w:color="auto"/>
            <w:left w:val="none" w:sz="0" w:space="0" w:color="auto"/>
            <w:bottom w:val="none" w:sz="0" w:space="0" w:color="auto"/>
            <w:right w:val="none" w:sz="0" w:space="0" w:color="auto"/>
          </w:divBdr>
        </w:div>
        <w:div w:id="782580246">
          <w:marLeft w:val="0"/>
          <w:marRight w:val="0"/>
          <w:marTop w:val="0"/>
          <w:marBottom w:val="101"/>
          <w:divBdr>
            <w:top w:val="none" w:sz="0" w:space="0" w:color="auto"/>
            <w:left w:val="none" w:sz="0" w:space="0" w:color="auto"/>
            <w:bottom w:val="none" w:sz="0" w:space="0" w:color="auto"/>
            <w:right w:val="none" w:sz="0" w:space="0" w:color="auto"/>
          </w:divBdr>
        </w:div>
        <w:div w:id="2067408848">
          <w:marLeft w:val="0"/>
          <w:marRight w:val="0"/>
          <w:marTop w:val="0"/>
          <w:marBottom w:val="101"/>
          <w:divBdr>
            <w:top w:val="none" w:sz="0" w:space="0" w:color="auto"/>
            <w:left w:val="none" w:sz="0" w:space="0" w:color="auto"/>
            <w:bottom w:val="none" w:sz="0" w:space="0" w:color="auto"/>
            <w:right w:val="none" w:sz="0" w:space="0" w:color="auto"/>
          </w:divBdr>
        </w:div>
        <w:div w:id="1678147555">
          <w:marLeft w:val="0"/>
          <w:marRight w:val="0"/>
          <w:marTop w:val="0"/>
          <w:marBottom w:val="101"/>
          <w:divBdr>
            <w:top w:val="none" w:sz="0" w:space="0" w:color="auto"/>
            <w:left w:val="none" w:sz="0" w:space="0" w:color="auto"/>
            <w:bottom w:val="none" w:sz="0" w:space="0" w:color="auto"/>
            <w:right w:val="none" w:sz="0" w:space="0" w:color="auto"/>
          </w:divBdr>
        </w:div>
        <w:div w:id="1715305884">
          <w:marLeft w:val="0"/>
          <w:marRight w:val="0"/>
          <w:marTop w:val="0"/>
          <w:marBottom w:val="101"/>
          <w:divBdr>
            <w:top w:val="none" w:sz="0" w:space="0" w:color="auto"/>
            <w:left w:val="none" w:sz="0" w:space="0" w:color="auto"/>
            <w:bottom w:val="none" w:sz="0" w:space="0" w:color="auto"/>
            <w:right w:val="none" w:sz="0" w:space="0" w:color="auto"/>
          </w:divBdr>
        </w:div>
        <w:div w:id="1984848520">
          <w:marLeft w:val="0"/>
          <w:marRight w:val="0"/>
          <w:marTop w:val="0"/>
          <w:marBottom w:val="101"/>
          <w:divBdr>
            <w:top w:val="none" w:sz="0" w:space="0" w:color="auto"/>
            <w:left w:val="none" w:sz="0" w:space="0" w:color="auto"/>
            <w:bottom w:val="none" w:sz="0" w:space="0" w:color="auto"/>
            <w:right w:val="none" w:sz="0" w:space="0" w:color="auto"/>
          </w:divBdr>
        </w:div>
        <w:div w:id="834884282">
          <w:marLeft w:val="0"/>
          <w:marRight w:val="0"/>
          <w:marTop w:val="0"/>
          <w:marBottom w:val="101"/>
          <w:divBdr>
            <w:top w:val="none" w:sz="0" w:space="0" w:color="auto"/>
            <w:left w:val="none" w:sz="0" w:space="0" w:color="auto"/>
            <w:bottom w:val="none" w:sz="0" w:space="0" w:color="auto"/>
            <w:right w:val="none" w:sz="0" w:space="0" w:color="auto"/>
          </w:divBdr>
        </w:div>
        <w:div w:id="934703628">
          <w:marLeft w:val="0"/>
          <w:marRight w:val="0"/>
          <w:marTop w:val="0"/>
          <w:marBottom w:val="101"/>
          <w:divBdr>
            <w:top w:val="none" w:sz="0" w:space="0" w:color="auto"/>
            <w:left w:val="none" w:sz="0" w:space="0" w:color="auto"/>
            <w:bottom w:val="none" w:sz="0" w:space="0" w:color="auto"/>
            <w:right w:val="none" w:sz="0" w:space="0" w:color="auto"/>
          </w:divBdr>
        </w:div>
        <w:div w:id="1876115283">
          <w:marLeft w:val="0"/>
          <w:marRight w:val="0"/>
          <w:marTop w:val="0"/>
          <w:marBottom w:val="101"/>
          <w:divBdr>
            <w:top w:val="none" w:sz="0" w:space="0" w:color="auto"/>
            <w:left w:val="none" w:sz="0" w:space="0" w:color="auto"/>
            <w:bottom w:val="none" w:sz="0" w:space="0" w:color="auto"/>
            <w:right w:val="none" w:sz="0" w:space="0" w:color="auto"/>
          </w:divBdr>
        </w:div>
        <w:div w:id="2000839073">
          <w:marLeft w:val="0"/>
          <w:marRight w:val="0"/>
          <w:marTop w:val="0"/>
          <w:marBottom w:val="101"/>
          <w:divBdr>
            <w:top w:val="none" w:sz="0" w:space="0" w:color="auto"/>
            <w:left w:val="none" w:sz="0" w:space="0" w:color="auto"/>
            <w:bottom w:val="none" w:sz="0" w:space="0" w:color="auto"/>
            <w:right w:val="none" w:sz="0" w:space="0" w:color="auto"/>
          </w:divBdr>
        </w:div>
        <w:div w:id="179858896">
          <w:marLeft w:val="0"/>
          <w:marRight w:val="0"/>
          <w:marTop w:val="0"/>
          <w:marBottom w:val="101"/>
          <w:divBdr>
            <w:top w:val="none" w:sz="0" w:space="0" w:color="auto"/>
            <w:left w:val="none" w:sz="0" w:space="0" w:color="auto"/>
            <w:bottom w:val="none" w:sz="0" w:space="0" w:color="auto"/>
            <w:right w:val="none" w:sz="0" w:space="0" w:color="auto"/>
          </w:divBdr>
        </w:div>
        <w:div w:id="1915965458">
          <w:marLeft w:val="0"/>
          <w:marRight w:val="0"/>
          <w:marTop w:val="0"/>
          <w:marBottom w:val="101"/>
          <w:divBdr>
            <w:top w:val="none" w:sz="0" w:space="0" w:color="auto"/>
            <w:left w:val="none" w:sz="0" w:space="0" w:color="auto"/>
            <w:bottom w:val="none" w:sz="0" w:space="0" w:color="auto"/>
            <w:right w:val="none" w:sz="0" w:space="0" w:color="auto"/>
          </w:divBdr>
        </w:div>
        <w:div w:id="1792552379">
          <w:marLeft w:val="0"/>
          <w:marRight w:val="0"/>
          <w:marTop w:val="0"/>
          <w:marBottom w:val="101"/>
          <w:divBdr>
            <w:top w:val="none" w:sz="0" w:space="0" w:color="auto"/>
            <w:left w:val="none" w:sz="0" w:space="0" w:color="auto"/>
            <w:bottom w:val="none" w:sz="0" w:space="0" w:color="auto"/>
            <w:right w:val="none" w:sz="0" w:space="0" w:color="auto"/>
          </w:divBdr>
        </w:div>
        <w:div w:id="1918901531">
          <w:marLeft w:val="0"/>
          <w:marRight w:val="0"/>
          <w:marTop w:val="0"/>
          <w:marBottom w:val="101"/>
          <w:divBdr>
            <w:top w:val="none" w:sz="0" w:space="0" w:color="auto"/>
            <w:left w:val="none" w:sz="0" w:space="0" w:color="auto"/>
            <w:bottom w:val="none" w:sz="0" w:space="0" w:color="auto"/>
            <w:right w:val="none" w:sz="0" w:space="0" w:color="auto"/>
          </w:divBdr>
        </w:div>
        <w:div w:id="776606328">
          <w:marLeft w:val="0"/>
          <w:marRight w:val="0"/>
          <w:marTop w:val="0"/>
          <w:marBottom w:val="101"/>
          <w:divBdr>
            <w:top w:val="none" w:sz="0" w:space="0" w:color="auto"/>
            <w:left w:val="none" w:sz="0" w:space="0" w:color="auto"/>
            <w:bottom w:val="none" w:sz="0" w:space="0" w:color="auto"/>
            <w:right w:val="none" w:sz="0" w:space="0" w:color="auto"/>
          </w:divBdr>
        </w:div>
        <w:div w:id="257640997">
          <w:marLeft w:val="0"/>
          <w:marRight w:val="0"/>
          <w:marTop w:val="0"/>
          <w:marBottom w:val="101"/>
          <w:divBdr>
            <w:top w:val="none" w:sz="0" w:space="0" w:color="auto"/>
            <w:left w:val="none" w:sz="0" w:space="0" w:color="auto"/>
            <w:bottom w:val="none" w:sz="0" w:space="0" w:color="auto"/>
            <w:right w:val="none" w:sz="0" w:space="0" w:color="auto"/>
          </w:divBdr>
        </w:div>
        <w:div w:id="458954274">
          <w:marLeft w:val="0"/>
          <w:marRight w:val="0"/>
          <w:marTop w:val="0"/>
          <w:marBottom w:val="101"/>
          <w:divBdr>
            <w:top w:val="none" w:sz="0" w:space="0" w:color="auto"/>
            <w:left w:val="none" w:sz="0" w:space="0" w:color="auto"/>
            <w:bottom w:val="none" w:sz="0" w:space="0" w:color="auto"/>
            <w:right w:val="none" w:sz="0" w:space="0" w:color="auto"/>
          </w:divBdr>
        </w:div>
        <w:div w:id="748696534">
          <w:marLeft w:val="0"/>
          <w:marRight w:val="0"/>
          <w:marTop w:val="0"/>
          <w:marBottom w:val="101"/>
          <w:divBdr>
            <w:top w:val="none" w:sz="0" w:space="0" w:color="auto"/>
            <w:left w:val="none" w:sz="0" w:space="0" w:color="auto"/>
            <w:bottom w:val="none" w:sz="0" w:space="0" w:color="auto"/>
            <w:right w:val="none" w:sz="0" w:space="0" w:color="auto"/>
          </w:divBdr>
        </w:div>
        <w:div w:id="994845472">
          <w:marLeft w:val="0"/>
          <w:marRight w:val="0"/>
          <w:marTop w:val="0"/>
          <w:marBottom w:val="101"/>
          <w:divBdr>
            <w:top w:val="none" w:sz="0" w:space="0" w:color="auto"/>
            <w:left w:val="none" w:sz="0" w:space="0" w:color="auto"/>
            <w:bottom w:val="none" w:sz="0" w:space="0" w:color="auto"/>
            <w:right w:val="none" w:sz="0" w:space="0" w:color="auto"/>
          </w:divBdr>
        </w:div>
        <w:div w:id="221447007">
          <w:marLeft w:val="0"/>
          <w:marRight w:val="0"/>
          <w:marTop w:val="0"/>
          <w:marBottom w:val="101"/>
          <w:divBdr>
            <w:top w:val="none" w:sz="0" w:space="0" w:color="auto"/>
            <w:left w:val="none" w:sz="0" w:space="0" w:color="auto"/>
            <w:bottom w:val="none" w:sz="0" w:space="0" w:color="auto"/>
            <w:right w:val="none" w:sz="0" w:space="0" w:color="auto"/>
          </w:divBdr>
        </w:div>
        <w:div w:id="1292134862">
          <w:marLeft w:val="0"/>
          <w:marRight w:val="0"/>
          <w:marTop w:val="0"/>
          <w:marBottom w:val="101"/>
          <w:divBdr>
            <w:top w:val="none" w:sz="0" w:space="0" w:color="auto"/>
            <w:left w:val="none" w:sz="0" w:space="0" w:color="auto"/>
            <w:bottom w:val="none" w:sz="0" w:space="0" w:color="auto"/>
            <w:right w:val="none" w:sz="0" w:space="0" w:color="auto"/>
          </w:divBdr>
        </w:div>
        <w:div w:id="677543334">
          <w:marLeft w:val="1080"/>
          <w:marRight w:val="0"/>
          <w:marTop w:val="0"/>
          <w:marBottom w:val="101"/>
          <w:divBdr>
            <w:top w:val="none" w:sz="0" w:space="0" w:color="auto"/>
            <w:left w:val="none" w:sz="0" w:space="0" w:color="auto"/>
            <w:bottom w:val="none" w:sz="0" w:space="0" w:color="auto"/>
            <w:right w:val="none" w:sz="0" w:space="0" w:color="auto"/>
          </w:divBdr>
        </w:div>
        <w:div w:id="1705402887">
          <w:marLeft w:val="1080"/>
          <w:marRight w:val="0"/>
          <w:marTop w:val="0"/>
          <w:marBottom w:val="101"/>
          <w:divBdr>
            <w:top w:val="none" w:sz="0" w:space="0" w:color="auto"/>
            <w:left w:val="none" w:sz="0" w:space="0" w:color="auto"/>
            <w:bottom w:val="none" w:sz="0" w:space="0" w:color="auto"/>
            <w:right w:val="none" w:sz="0" w:space="0" w:color="auto"/>
          </w:divBdr>
        </w:div>
        <w:div w:id="1032192949">
          <w:marLeft w:val="1080"/>
          <w:marRight w:val="0"/>
          <w:marTop w:val="0"/>
          <w:marBottom w:val="101"/>
          <w:divBdr>
            <w:top w:val="none" w:sz="0" w:space="0" w:color="auto"/>
            <w:left w:val="none" w:sz="0" w:space="0" w:color="auto"/>
            <w:bottom w:val="none" w:sz="0" w:space="0" w:color="auto"/>
            <w:right w:val="none" w:sz="0" w:space="0" w:color="auto"/>
          </w:divBdr>
        </w:div>
        <w:div w:id="916475254">
          <w:marLeft w:val="1080"/>
          <w:marRight w:val="0"/>
          <w:marTop w:val="0"/>
          <w:marBottom w:val="101"/>
          <w:divBdr>
            <w:top w:val="none" w:sz="0" w:space="0" w:color="auto"/>
            <w:left w:val="none" w:sz="0" w:space="0" w:color="auto"/>
            <w:bottom w:val="none" w:sz="0" w:space="0" w:color="auto"/>
            <w:right w:val="none" w:sz="0" w:space="0" w:color="auto"/>
          </w:divBdr>
        </w:div>
        <w:div w:id="981540713">
          <w:marLeft w:val="1080"/>
          <w:marRight w:val="0"/>
          <w:marTop w:val="0"/>
          <w:marBottom w:val="101"/>
          <w:divBdr>
            <w:top w:val="none" w:sz="0" w:space="0" w:color="auto"/>
            <w:left w:val="none" w:sz="0" w:space="0" w:color="auto"/>
            <w:bottom w:val="none" w:sz="0" w:space="0" w:color="auto"/>
            <w:right w:val="none" w:sz="0" w:space="0" w:color="auto"/>
          </w:divBdr>
        </w:div>
        <w:div w:id="249436039">
          <w:marLeft w:val="1080"/>
          <w:marRight w:val="0"/>
          <w:marTop w:val="0"/>
          <w:marBottom w:val="101"/>
          <w:divBdr>
            <w:top w:val="none" w:sz="0" w:space="0" w:color="auto"/>
            <w:left w:val="none" w:sz="0" w:space="0" w:color="auto"/>
            <w:bottom w:val="none" w:sz="0" w:space="0" w:color="auto"/>
            <w:right w:val="none" w:sz="0" w:space="0" w:color="auto"/>
          </w:divBdr>
        </w:div>
        <w:div w:id="728579977">
          <w:marLeft w:val="1080"/>
          <w:marRight w:val="0"/>
          <w:marTop w:val="0"/>
          <w:marBottom w:val="101"/>
          <w:divBdr>
            <w:top w:val="none" w:sz="0" w:space="0" w:color="auto"/>
            <w:left w:val="none" w:sz="0" w:space="0" w:color="auto"/>
            <w:bottom w:val="none" w:sz="0" w:space="0" w:color="auto"/>
            <w:right w:val="none" w:sz="0" w:space="0" w:color="auto"/>
          </w:divBdr>
        </w:div>
        <w:div w:id="99304768">
          <w:marLeft w:val="1080"/>
          <w:marRight w:val="0"/>
          <w:marTop w:val="0"/>
          <w:marBottom w:val="101"/>
          <w:divBdr>
            <w:top w:val="none" w:sz="0" w:space="0" w:color="auto"/>
            <w:left w:val="none" w:sz="0" w:space="0" w:color="auto"/>
            <w:bottom w:val="none" w:sz="0" w:space="0" w:color="auto"/>
            <w:right w:val="none" w:sz="0" w:space="0" w:color="auto"/>
          </w:divBdr>
        </w:div>
        <w:div w:id="1010716847">
          <w:marLeft w:val="0"/>
          <w:marRight w:val="0"/>
          <w:marTop w:val="0"/>
          <w:marBottom w:val="101"/>
          <w:divBdr>
            <w:top w:val="none" w:sz="0" w:space="0" w:color="auto"/>
            <w:left w:val="none" w:sz="0" w:space="0" w:color="auto"/>
            <w:bottom w:val="none" w:sz="0" w:space="0" w:color="auto"/>
            <w:right w:val="none" w:sz="0" w:space="0" w:color="auto"/>
          </w:divBdr>
        </w:div>
        <w:div w:id="1502696032">
          <w:marLeft w:val="0"/>
          <w:marRight w:val="0"/>
          <w:marTop w:val="0"/>
          <w:marBottom w:val="101"/>
          <w:divBdr>
            <w:top w:val="none" w:sz="0" w:space="0" w:color="auto"/>
            <w:left w:val="none" w:sz="0" w:space="0" w:color="auto"/>
            <w:bottom w:val="none" w:sz="0" w:space="0" w:color="auto"/>
            <w:right w:val="none" w:sz="0" w:space="0" w:color="auto"/>
          </w:divBdr>
        </w:div>
        <w:div w:id="1526364594">
          <w:marLeft w:val="0"/>
          <w:marRight w:val="0"/>
          <w:marTop w:val="0"/>
          <w:marBottom w:val="101"/>
          <w:divBdr>
            <w:top w:val="none" w:sz="0" w:space="0" w:color="auto"/>
            <w:left w:val="none" w:sz="0" w:space="0" w:color="auto"/>
            <w:bottom w:val="none" w:sz="0" w:space="0" w:color="auto"/>
            <w:right w:val="none" w:sz="0" w:space="0" w:color="auto"/>
          </w:divBdr>
        </w:div>
        <w:div w:id="1428577978">
          <w:marLeft w:val="0"/>
          <w:marRight w:val="0"/>
          <w:marTop w:val="0"/>
          <w:marBottom w:val="101"/>
          <w:divBdr>
            <w:top w:val="none" w:sz="0" w:space="0" w:color="auto"/>
            <w:left w:val="none" w:sz="0" w:space="0" w:color="auto"/>
            <w:bottom w:val="none" w:sz="0" w:space="0" w:color="auto"/>
            <w:right w:val="none" w:sz="0" w:space="0" w:color="auto"/>
          </w:divBdr>
        </w:div>
        <w:div w:id="668555444">
          <w:marLeft w:val="0"/>
          <w:marRight w:val="0"/>
          <w:marTop w:val="0"/>
          <w:marBottom w:val="101"/>
          <w:divBdr>
            <w:top w:val="none" w:sz="0" w:space="0" w:color="auto"/>
            <w:left w:val="none" w:sz="0" w:space="0" w:color="auto"/>
            <w:bottom w:val="none" w:sz="0" w:space="0" w:color="auto"/>
            <w:right w:val="none" w:sz="0" w:space="0" w:color="auto"/>
          </w:divBdr>
        </w:div>
        <w:div w:id="546379702">
          <w:marLeft w:val="0"/>
          <w:marRight w:val="0"/>
          <w:marTop w:val="0"/>
          <w:marBottom w:val="101"/>
          <w:divBdr>
            <w:top w:val="none" w:sz="0" w:space="0" w:color="auto"/>
            <w:left w:val="none" w:sz="0" w:space="0" w:color="auto"/>
            <w:bottom w:val="none" w:sz="0" w:space="0" w:color="auto"/>
            <w:right w:val="none" w:sz="0" w:space="0" w:color="auto"/>
          </w:divBdr>
        </w:div>
        <w:div w:id="1093741507">
          <w:marLeft w:val="0"/>
          <w:marRight w:val="0"/>
          <w:marTop w:val="0"/>
          <w:marBottom w:val="101"/>
          <w:divBdr>
            <w:top w:val="none" w:sz="0" w:space="0" w:color="auto"/>
            <w:left w:val="none" w:sz="0" w:space="0" w:color="auto"/>
            <w:bottom w:val="none" w:sz="0" w:space="0" w:color="auto"/>
            <w:right w:val="none" w:sz="0" w:space="0" w:color="auto"/>
          </w:divBdr>
        </w:div>
        <w:div w:id="1832401461">
          <w:marLeft w:val="1080"/>
          <w:marRight w:val="0"/>
          <w:marTop w:val="0"/>
          <w:marBottom w:val="101"/>
          <w:divBdr>
            <w:top w:val="none" w:sz="0" w:space="0" w:color="auto"/>
            <w:left w:val="none" w:sz="0" w:space="0" w:color="auto"/>
            <w:bottom w:val="none" w:sz="0" w:space="0" w:color="auto"/>
            <w:right w:val="none" w:sz="0" w:space="0" w:color="auto"/>
          </w:divBdr>
        </w:div>
        <w:div w:id="580338720">
          <w:marLeft w:val="1080"/>
          <w:marRight w:val="0"/>
          <w:marTop w:val="0"/>
          <w:marBottom w:val="101"/>
          <w:divBdr>
            <w:top w:val="none" w:sz="0" w:space="0" w:color="auto"/>
            <w:left w:val="none" w:sz="0" w:space="0" w:color="auto"/>
            <w:bottom w:val="none" w:sz="0" w:space="0" w:color="auto"/>
            <w:right w:val="none" w:sz="0" w:space="0" w:color="auto"/>
          </w:divBdr>
        </w:div>
        <w:div w:id="200823902">
          <w:marLeft w:val="1080"/>
          <w:marRight w:val="0"/>
          <w:marTop w:val="0"/>
          <w:marBottom w:val="101"/>
          <w:divBdr>
            <w:top w:val="none" w:sz="0" w:space="0" w:color="auto"/>
            <w:left w:val="none" w:sz="0" w:space="0" w:color="auto"/>
            <w:bottom w:val="none" w:sz="0" w:space="0" w:color="auto"/>
            <w:right w:val="none" w:sz="0" w:space="0" w:color="auto"/>
          </w:divBdr>
        </w:div>
        <w:div w:id="1217670286">
          <w:marLeft w:val="1080"/>
          <w:marRight w:val="0"/>
          <w:marTop w:val="0"/>
          <w:marBottom w:val="101"/>
          <w:divBdr>
            <w:top w:val="none" w:sz="0" w:space="0" w:color="auto"/>
            <w:left w:val="none" w:sz="0" w:space="0" w:color="auto"/>
            <w:bottom w:val="none" w:sz="0" w:space="0" w:color="auto"/>
            <w:right w:val="none" w:sz="0" w:space="0" w:color="auto"/>
          </w:divBdr>
        </w:div>
        <w:div w:id="1756586434">
          <w:marLeft w:val="1080"/>
          <w:marRight w:val="0"/>
          <w:marTop w:val="0"/>
          <w:marBottom w:val="101"/>
          <w:divBdr>
            <w:top w:val="none" w:sz="0" w:space="0" w:color="auto"/>
            <w:left w:val="none" w:sz="0" w:space="0" w:color="auto"/>
            <w:bottom w:val="none" w:sz="0" w:space="0" w:color="auto"/>
            <w:right w:val="none" w:sz="0" w:space="0" w:color="auto"/>
          </w:divBdr>
        </w:div>
        <w:div w:id="1937594161">
          <w:marLeft w:val="1080"/>
          <w:marRight w:val="0"/>
          <w:marTop w:val="0"/>
          <w:marBottom w:val="101"/>
          <w:divBdr>
            <w:top w:val="none" w:sz="0" w:space="0" w:color="auto"/>
            <w:left w:val="none" w:sz="0" w:space="0" w:color="auto"/>
            <w:bottom w:val="none" w:sz="0" w:space="0" w:color="auto"/>
            <w:right w:val="none" w:sz="0" w:space="0" w:color="auto"/>
          </w:divBdr>
        </w:div>
        <w:div w:id="285284624">
          <w:marLeft w:val="1080"/>
          <w:marRight w:val="0"/>
          <w:marTop w:val="0"/>
          <w:marBottom w:val="101"/>
          <w:divBdr>
            <w:top w:val="none" w:sz="0" w:space="0" w:color="auto"/>
            <w:left w:val="none" w:sz="0" w:space="0" w:color="auto"/>
            <w:bottom w:val="none" w:sz="0" w:space="0" w:color="auto"/>
            <w:right w:val="none" w:sz="0" w:space="0" w:color="auto"/>
          </w:divBdr>
        </w:div>
        <w:div w:id="248344280">
          <w:marLeft w:val="1080"/>
          <w:marRight w:val="0"/>
          <w:marTop w:val="0"/>
          <w:marBottom w:val="101"/>
          <w:divBdr>
            <w:top w:val="none" w:sz="0" w:space="0" w:color="auto"/>
            <w:left w:val="none" w:sz="0" w:space="0" w:color="auto"/>
            <w:bottom w:val="none" w:sz="0" w:space="0" w:color="auto"/>
            <w:right w:val="none" w:sz="0" w:space="0" w:color="auto"/>
          </w:divBdr>
        </w:div>
        <w:div w:id="188765478">
          <w:marLeft w:val="1080"/>
          <w:marRight w:val="0"/>
          <w:marTop w:val="0"/>
          <w:marBottom w:val="101"/>
          <w:divBdr>
            <w:top w:val="none" w:sz="0" w:space="0" w:color="auto"/>
            <w:left w:val="none" w:sz="0" w:space="0" w:color="auto"/>
            <w:bottom w:val="none" w:sz="0" w:space="0" w:color="auto"/>
            <w:right w:val="none" w:sz="0" w:space="0" w:color="auto"/>
          </w:divBdr>
        </w:div>
        <w:div w:id="1193764142">
          <w:marLeft w:val="1080"/>
          <w:marRight w:val="0"/>
          <w:marTop w:val="0"/>
          <w:marBottom w:val="101"/>
          <w:divBdr>
            <w:top w:val="none" w:sz="0" w:space="0" w:color="auto"/>
            <w:left w:val="none" w:sz="0" w:space="0" w:color="auto"/>
            <w:bottom w:val="none" w:sz="0" w:space="0" w:color="auto"/>
            <w:right w:val="none" w:sz="0" w:space="0" w:color="auto"/>
          </w:divBdr>
        </w:div>
        <w:div w:id="779027033">
          <w:marLeft w:val="1080"/>
          <w:marRight w:val="0"/>
          <w:marTop w:val="0"/>
          <w:marBottom w:val="101"/>
          <w:divBdr>
            <w:top w:val="none" w:sz="0" w:space="0" w:color="auto"/>
            <w:left w:val="none" w:sz="0" w:space="0" w:color="auto"/>
            <w:bottom w:val="none" w:sz="0" w:space="0" w:color="auto"/>
            <w:right w:val="none" w:sz="0" w:space="0" w:color="auto"/>
          </w:divBdr>
        </w:div>
        <w:div w:id="732653563">
          <w:marLeft w:val="1080"/>
          <w:marRight w:val="0"/>
          <w:marTop w:val="0"/>
          <w:marBottom w:val="101"/>
          <w:divBdr>
            <w:top w:val="none" w:sz="0" w:space="0" w:color="auto"/>
            <w:left w:val="none" w:sz="0" w:space="0" w:color="auto"/>
            <w:bottom w:val="none" w:sz="0" w:space="0" w:color="auto"/>
            <w:right w:val="none" w:sz="0" w:space="0" w:color="auto"/>
          </w:divBdr>
        </w:div>
        <w:div w:id="667706813">
          <w:marLeft w:val="1080"/>
          <w:marRight w:val="0"/>
          <w:marTop w:val="0"/>
          <w:marBottom w:val="101"/>
          <w:divBdr>
            <w:top w:val="none" w:sz="0" w:space="0" w:color="auto"/>
            <w:left w:val="none" w:sz="0" w:space="0" w:color="auto"/>
            <w:bottom w:val="none" w:sz="0" w:space="0" w:color="auto"/>
            <w:right w:val="none" w:sz="0" w:space="0" w:color="auto"/>
          </w:divBdr>
        </w:div>
        <w:div w:id="862329588">
          <w:marLeft w:val="0"/>
          <w:marRight w:val="0"/>
          <w:marTop w:val="0"/>
          <w:marBottom w:val="101"/>
          <w:divBdr>
            <w:top w:val="none" w:sz="0" w:space="0" w:color="auto"/>
            <w:left w:val="none" w:sz="0" w:space="0" w:color="auto"/>
            <w:bottom w:val="none" w:sz="0" w:space="0" w:color="auto"/>
            <w:right w:val="none" w:sz="0" w:space="0" w:color="auto"/>
          </w:divBdr>
        </w:div>
        <w:div w:id="394477539">
          <w:marLeft w:val="0"/>
          <w:marRight w:val="0"/>
          <w:marTop w:val="0"/>
          <w:marBottom w:val="101"/>
          <w:divBdr>
            <w:top w:val="none" w:sz="0" w:space="0" w:color="auto"/>
            <w:left w:val="none" w:sz="0" w:space="0" w:color="auto"/>
            <w:bottom w:val="none" w:sz="0" w:space="0" w:color="auto"/>
            <w:right w:val="none" w:sz="0" w:space="0" w:color="auto"/>
          </w:divBdr>
        </w:div>
        <w:div w:id="252475126">
          <w:marLeft w:val="1080"/>
          <w:marRight w:val="0"/>
          <w:marTop w:val="0"/>
          <w:marBottom w:val="101"/>
          <w:divBdr>
            <w:top w:val="none" w:sz="0" w:space="0" w:color="auto"/>
            <w:left w:val="none" w:sz="0" w:space="0" w:color="auto"/>
            <w:bottom w:val="none" w:sz="0" w:space="0" w:color="auto"/>
            <w:right w:val="none" w:sz="0" w:space="0" w:color="auto"/>
          </w:divBdr>
        </w:div>
        <w:div w:id="1504709401">
          <w:marLeft w:val="1080"/>
          <w:marRight w:val="0"/>
          <w:marTop w:val="0"/>
          <w:marBottom w:val="101"/>
          <w:divBdr>
            <w:top w:val="none" w:sz="0" w:space="0" w:color="auto"/>
            <w:left w:val="none" w:sz="0" w:space="0" w:color="auto"/>
            <w:bottom w:val="none" w:sz="0" w:space="0" w:color="auto"/>
            <w:right w:val="none" w:sz="0" w:space="0" w:color="auto"/>
          </w:divBdr>
        </w:div>
        <w:div w:id="1363899263">
          <w:marLeft w:val="0"/>
          <w:marRight w:val="0"/>
          <w:marTop w:val="0"/>
          <w:marBottom w:val="101"/>
          <w:divBdr>
            <w:top w:val="none" w:sz="0" w:space="0" w:color="auto"/>
            <w:left w:val="none" w:sz="0" w:space="0" w:color="auto"/>
            <w:bottom w:val="none" w:sz="0" w:space="0" w:color="auto"/>
            <w:right w:val="none" w:sz="0" w:space="0" w:color="auto"/>
          </w:divBdr>
        </w:div>
        <w:div w:id="1930698576">
          <w:marLeft w:val="0"/>
          <w:marRight w:val="0"/>
          <w:marTop w:val="0"/>
          <w:marBottom w:val="101"/>
          <w:divBdr>
            <w:top w:val="none" w:sz="0" w:space="0" w:color="auto"/>
            <w:left w:val="none" w:sz="0" w:space="0" w:color="auto"/>
            <w:bottom w:val="none" w:sz="0" w:space="0" w:color="auto"/>
            <w:right w:val="none" w:sz="0" w:space="0" w:color="auto"/>
          </w:divBdr>
        </w:div>
        <w:div w:id="1421293274">
          <w:marLeft w:val="0"/>
          <w:marRight w:val="0"/>
          <w:marTop w:val="0"/>
          <w:marBottom w:val="101"/>
          <w:divBdr>
            <w:top w:val="none" w:sz="0" w:space="0" w:color="auto"/>
            <w:left w:val="none" w:sz="0" w:space="0" w:color="auto"/>
            <w:bottom w:val="none" w:sz="0" w:space="0" w:color="auto"/>
            <w:right w:val="none" w:sz="0" w:space="0" w:color="auto"/>
          </w:divBdr>
        </w:div>
        <w:div w:id="1581523074">
          <w:marLeft w:val="0"/>
          <w:marRight w:val="0"/>
          <w:marTop w:val="0"/>
          <w:marBottom w:val="101"/>
          <w:divBdr>
            <w:top w:val="none" w:sz="0" w:space="0" w:color="auto"/>
            <w:left w:val="none" w:sz="0" w:space="0" w:color="auto"/>
            <w:bottom w:val="none" w:sz="0" w:space="0" w:color="auto"/>
            <w:right w:val="none" w:sz="0" w:space="0" w:color="auto"/>
          </w:divBdr>
        </w:div>
        <w:div w:id="754981160">
          <w:marLeft w:val="0"/>
          <w:marRight w:val="0"/>
          <w:marTop w:val="0"/>
          <w:marBottom w:val="101"/>
          <w:divBdr>
            <w:top w:val="none" w:sz="0" w:space="0" w:color="auto"/>
            <w:left w:val="none" w:sz="0" w:space="0" w:color="auto"/>
            <w:bottom w:val="none" w:sz="0" w:space="0" w:color="auto"/>
            <w:right w:val="none" w:sz="0" w:space="0" w:color="auto"/>
          </w:divBdr>
        </w:div>
        <w:div w:id="577060934">
          <w:marLeft w:val="0"/>
          <w:marRight w:val="0"/>
          <w:marTop w:val="0"/>
          <w:marBottom w:val="101"/>
          <w:divBdr>
            <w:top w:val="none" w:sz="0" w:space="0" w:color="auto"/>
            <w:left w:val="none" w:sz="0" w:space="0" w:color="auto"/>
            <w:bottom w:val="none" w:sz="0" w:space="0" w:color="auto"/>
            <w:right w:val="none" w:sz="0" w:space="0" w:color="auto"/>
          </w:divBdr>
        </w:div>
        <w:div w:id="1577549792">
          <w:marLeft w:val="1080"/>
          <w:marRight w:val="0"/>
          <w:marTop w:val="0"/>
          <w:marBottom w:val="101"/>
          <w:divBdr>
            <w:top w:val="none" w:sz="0" w:space="0" w:color="auto"/>
            <w:left w:val="none" w:sz="0" w:space="0" w:color="auto"/>
            <w:bottom w:val="none" w:sz="0" w:space="0" w:color="auto"/>
            <w:right w:val="none" w:sz="0" w:space="0" w:color="auto"/>
          </w:divBdr>
        </w:div>
        <w:div w:id="1613902250">
          <w:marLeft w:val="1080"/>
          <w:marRight w:val="0"/>
          <w:marTop w:val="0"/>
          <w:marBottom w:val="101"/>
          <w:divBdr>
            <w:top w:val="none" w:sz="0" w:space="0" w:color="auto"/>
            <w:left w:val="none" w:sz="0" w:space="0" w:color="auto"/>
            <w:bottom w:val="none" w:sz="0" w:space="0" w:color="auto"/>
            <w:right w:val="none" w:sz="0" w:space="0" w:color="auto"/>
          </w:divBdr>
        </w:div>
        <w:div w:id="1721708088">
          <w:marLeft w:val="1080"/>
          <w:marRight w:val="0"/>
          <w:marTop w:val="0"/>
          <w:marBottom w:val="101"/>
          <w:divBdr>
            <w:top w:val="none" w:sz="0" w:space="0" w:color="auto"/>
            <w:left w:val="none" w:sz="0" w:space="0" w:color="auto"/>
            <w:bottom w:val="none" w:sz="0" w:space="0" w:color="auto"/>
            <w:right w:val="none" w:sz="0" w:space="0" w:color="auto"/>
          </w:divBdr>
        </w:div>
        <w:div w:id="792090863">
          <w:marLeft w:val="1080"/>
          <w:marRight w:val="0"/>
          <w:marTop w:val="0"/>
          <w:marBottom w:val="101"/>
          <w:divBdr>
            <w:top w:val="none" w:sz="0" w:space="0" w:color="auto"/>
            <w:left w:val="none" w:sz="0" w:space="0" w:color="auto"/>
            <w:bottom w:val="none" w:sz="0" w:space="0" w:color="auto"/>
            <w:right w:val="none" w:sz="0" w:space="0" w:color="auto"/>
          </w:divBdr>
        </w:div>
        <w:div w:id="2075621126">
          <w:marLeft w:val="0"/>
          <w:marRight w:val="0"/>
          <w:marTop w:val="0"/>
          <w:marBottom w:val="101"/>
          <w:divBdr>
            <w:top w:val="none" w:sz="0" w:space="0" w:color="auto"/>
            <w:left w:val="none" w:sz="0" w:space="0" w:color="auto"/>
            <w:bottom w:val="none" w:sz="0" w:space="0" w:color="auto"/>
            <w:right w:val="none" w:sz="0" w:space="0" w:color="auto"/>
          </w:divBdr>
        </w:div>
        <w:div w:id="1227228573">
          <w:marLeft w:val="0"/>
          <w:marRight w:val="0"/>
          <w:marTop w:val="0"/>
          <w:marBottom w:val="101"/>
          <w:divBdr>
            <w:top w:val="none" w:sz="0" w:space="0" w:color="auto"/>
            <w:left w:val="none" w:sz="0" w:space="0" w:color="auto"/>
            <w:bottom w:val="none" w:sz="0" w:space="0" w:color="auto"/>
            <w:right w:val="none" w:sz="0" w:space="0" w:color="auto"/>
          </w:divBdr>
        </w:div>
        <w:div w:id="1556240882">
          <w:marLeft w:val="0"/>
          <w:marRight w:val="0"/>
          <w:marTop w:val="0"/>
          <w:marBottom w:val="101"/>
          <w:divBdr>
            <w:top w:val="none" w:sz="0" w:space="0" w:color="auto"/>
            <w:left w:val="none" w:sz="0" w:space="0" w:color="auto"/>
            <w:bottom w:val="none" w:sz="0" w:space="0" w:color="auto"/>
            <w:right w:val="none" w:sz="0" w:space="0" w:color="auto"/>
          </w:divBdr>
        </w:div>
        <w:div w:id="1276449270">
          <w:marLeft w:val="0"/>
          <w:marRight w:val="0"/>
          <w:marTop w:val="0"/>
          <w:marBottom w:val="101"/>
          <w:divBdr>
            <w:top w:val="none" w:sz="0" w:space="0" w:color="auto"/>
            <w:left w:val="none" w:sz="0" w:space="0" w:color="auto"/>
            <w:bottom w:val="none" w:sz="0" w:space="0" w:color="auto"/>
            <w:right w:val="none" w:sz="0" w:space="0" w:color="auto"/>
          </w:divBdr>
        </w:div>
        <w:div w:id="496263361">
          <w:marLeft w:val="0"/>
          <w:marRight w:val="0"/>
          <w:marTop w:val="0"/>
          <w:marBottom w:val="101"/>
          <w:divBdr>
            <w:top w:val="none" w:sz="0" w:space="0" w:color="auto"/>
            <w:left w:val="none" w:sz="0" w:space="0" w:color="auto"/>
            <w:bottom w:val="none" w:sz="0" w:space="0" w:color="auto"/>
            <w:right w:val="none" w:sz="0" w:space="0" w:color="auto"/>
          </w:divBdr>
        </w:div>
        <w:div w:id="2141603541">
          <w:marLeft w:val="1080"/>
          <w:marRight w:val="0"/>
          <w:marTop w:val="0"/>
          <w:marBottom w:val="101"/>
          <w:divBdr>
            <w:top w:val="none" w:sz="0" w:space="0" w:color="auto"/>
            <w:left w:val="none" w:sz="0" w:space="0" w:color="auto"/>
            <w:bottom w:val="none" w:sz="0" w:space="0" w:color="auto"/>
            <w:right w:val="none" w:sz="0" w:space="0" w:color="auto"/>
          </w:divBdr>
        </w:div>
        <w:div w:id="1714035288">
          <w:marLeft w:val="1080"/>
          <w:marRight w:val="0"/>
          <w:marTop w:val="0"/>
          <w:marBottom w:val="101"/>
          <w:divBdr>
            <w:top w:val="none" w:sz="0" w:space="0" w:color="auto"/>
            <w:left w:val="none" w:sz="0" w:space="0" w:color="auto"/>
            <w:bottom w:val="none" w:sz="0" w:space="0" w:color="auto"/>
            <w:right w:val="none" w:sz="0" w:space="0" w:color="auto"/>
          </w:divBdr>
        </w:div>
        <w:div w:id="532422406">
          <w:marLeft w:val="1080"/>
          <w:marRight w:val="0"/>
          <w:marTop w:val="0"/>
          <w:marBottom w:val="101"/>
          <w:divBdr>
            <w:top w:val="none" w:sz="0" w:space="0" w:color="auto"/>
            <w:left w:val="none" w:sz="0" w:space="0" w:color="auto"/>
            <w:bottom w:val="none" w:sz="0" w:space="0" w:color="auto"/>
            <w:right w:val="none" w:sz="0" w:space="0" w:color="auto"/>
          </w:divBdr>
        </w:div>
        <w:div w:id="1285962365">
          <w:marLeft w:val="1080"/>
          <w:marRight w:val="0"/>
          <w:marTop w:val="0"/>
          <w:marBottom w:val="101"/>
          <w:divBdr>
            <w:top w:val="none" w:sz="0" w:space="0" w:color="auto"/>
            <w:left w:val="none" w:sz="0" w:space="0" w:color="auto"/>
            <w:bottom w:val="none" w:sz="0" w:space="0" w:color="auto"/>
            <w:right w:val="none" w:sz="0" w:space="0" w:color="auto"/>
          </w:divBdr>
        </w:div>
        <w:div w:id="1760442439">
          <w:marLeft w:val="1080"/>
          <w:marRight w:val="0"/>
          <w:marTop w:val="0"/>
          <w:marBottom w:val="101"/>
          <w:divBdr>
            <w:top w:val="none" w:sz="0" w:space="0" w:color="auto"/>
            <w:left w:val="none" w:sz="0" w:space="0" w:color="auto"/>
            <w:bottom w:val="none" w:sz="0" w:space="0" w:color="auto"/>
            <w:right w:val="none" w:sz="0" w:space="0" w:color="auto"/>
          </w:divBdr>
        </w:div>
        <w:div w:id="267007536">
          <w:marLeft w:val="0"/>
          <w:marRight w:val="0"/>
          <w:marTop w:val="0"/>
          <w:marBottom w:val="101"/>
          <w:divBdr>
            <w:top w:val="none" w:sz="0" w:space="0" w:color="auto"/>
            <w:left w:val="none" w:sz="0" w:space="0" w:color="auto"/>
            <w:bottom w:val="none" w:sz="0" w:space="0" w:color="auto"/>
            <w:right w:val="none" w:sz="0" w:space="0" w:color="auto"/>
          </w:divBdr>
        </w:div>
        <w:div w:id="1457025327">
          <w:marLeft w:val="0"/>
          <w:marRight w:val="0"/>
          <w:marTop w:val="0"/>
          <w:marBottom w:val="101"/>
          <w:divBdr>
            <w:top w:val="none" w:sz="0" w:space="0" w:color="auto"/>
            <w:left w:val="none" w:sz="0" w:space="0" w:color="auto"/>
            <w:bottom w:val="none" w:sz="0" w:space="0" w:color="auto"/>
            <w:right w:val="none" w:sz="0" w:space="0" w:color="auto"/>
          </w:divBdr>
        </w:div>
        <w:div w:id="1371807617">
          <w:marLeft w:val="0"/>
          <w:marRight w:val="0"/>
          <w:marTop w:val="0"/>
          <w:marBottom w:val="101"/>
          <w:divBdr>
            <w:top w:val="none" w:sz="0" w:space="0" w:color="auto"/>
            <w:left w:val="none" w:sz="0" w:space="0" w:color="auto"/>
            <w:bottom w:val="none" w:sz="0" w:space="0" w:color="auto"/>
            <w:right w:val="none" w:sz="0" w:space="0" w:color="auto"/>
          </w:divBdr>
        </w:div>
        <w:div w:id="773861298">
          <w:marLeft w:val="1080"/>
          <w:marRight w:val="0"/>
          <w:marTop w:val="0"/>
          <w:marBottom w:val="101"/>
          <w:divBdr>
            <w:top w:val="none" w:sz="0" w:space="0" w:color="auto"/>
            <w:left w:val="none" w:sz="0" w:space="0" w:color="auto"/>
            <w:bottom w:val="none" w:sz="0" w:space="0" w:color="auto"/>
            <w:right w:val="none" w:sz="0" w:space="0" w:color="auto"/>
          </w:divBdr>
        </w:div>
        <w:div w:id="1169490667">
          <w:marLeft w:val="1080"/>
          <w:marRight w:val="0"/>
          <w:marTop w:val="0"/>
          <w:marBottom w:val="101"/>
          <w:divBdr>
            <w:top w:val="none" w:sz="0" w:space="0" w:color="auto"/>
            <w:left w:val="none" w:sz="0" w:space="0" w:color="auto"/>
            <w:bottom w:val="none" w:sz="0" w:space="0" w:color="auto"/>
            <w:right w:val="none" w:sz="0" w:space="0" w:color="auto"/>
          </w:divBdr>
        </w:div>
        <w:div w:id="151214784">
          <w:marLeft w:val="0"/>
          <w:marRight w:val="0"/>
          <w:marTop w:val="0"/>
          <w:marBottom w:val="101"/>
          <w:divBdr>
            <w:top w:val="none" w:sz="0" w:space="0" w:color="auto"/>
            <w:left w:val="none" w:sz="0" w:space="0" w:color="auto"/>
            <w:bottom w:val="none" w:sz="0" w:space="0" w:color="auto"/>
            <w:right w:val="none" w:sz="0" w:space="0" w:color="auto"/>
          </w:divBdr>
        </w:div>
        <w:div w:id="437331986">
          <w:marLeft w:val="0"/>
          <w:marRight w:val="0"/>
          <w:marTop w:val="0"/>
          <w:marBottom w:val="101"/>
          <w:divBdr>
            <w:top w:val="none" w:sz="0" w:space="0" w:color="auto"/>
            <w:left w:val="none" w:sz="0" w:space="0" w:color="auto"/>
            <w:bottom w:val="none" w:sz="0" w:space="0" w:color="auto"/>
            <w:right w:val="none" w:sz="0" w:space="0" w:color="auto"/>
          </w:divBdr>
        </w:div>
        <w:div w:id="1264918481">
          <w:marLeft w:val="0"/>
          <w:marRight w:val="0"/>
          <w:marTop w:val="0"/>
          <w:marBottom w:val="101"/>
          <w:divBdr>
            <w:top w:val="none" w:sz="0" w:space="0" w:color="auto"/>
            <w:left w:val="none" w:sz="0" w:space="0" w:color="auto"/>
            <w:bottom w:val="none" w:sz="0" w:space="0" w:color="auto"/>
            <w:right w:val="none" w:sz="0" w:space="0" w:color="auto"/>
          </w:divBdr>
        </w:div>
        <w:div w:id="568465679">
          <w:marLeft w:val="0"/>
          <w:marRight w:val="0"/>
          <w:marTop w:val="0"/>
          <w:marBottom w:val="101"/>
          <w:divBdr>
            <w:top w:val="none" w:sz="0" w:space="0" w:color="auto"/>
            <w:left w:val="none" w:sz="0" w:space="0" w:color="auto"/>
            <w:bottom w:val="none" w:sz="0" w:space="0" w:color="auto"/>
            <w:right w:val="none" w:sz="0" w:space="0" w:color="auto"/>
          </w:divBdr>
        </w:div>
        <w:div w:id="1827819284">
          <w:marLeft w:val="0"/>
          <w:marRight w:val="0"/>
          <w:marTop w:val="0"/>
          <w:marBottom w:val="101"/>
          <w:divBdr>
            <w:top w:val="none" w:sz="0" w:space="0" w:color="auto"/>
            <w:left w:val="none" w:sz="0" w:space="0" w:color="auto"/>
            <w:bottom w:val="none" w:sz="0" w:space="0" w:color="auto"/>
            <w:right w:val="none" w:sz="0" w:space="0" w:color="auto"/>
          </w:divBdr>
        </w:div>
        <w:div w:id="1502506657">
          <w:marLeft w:val="0"/>
          <w:marRight w:val="0"/>
          <w:marTop w:val="0"/>
          <w:marBottom w:val="101"/>
          <w:divBdr>
            <w:top w:val="none" w:sz="0" w:space="0" w:color="auto"/>
            <w:left w:val="none" w:sz="0" w:space="0" w:color="auto"/>
            <w:bottom w:val="none" w:sz="0" w:space="0" w:color="auto"/>
            <w:right w:val="none" w:sz="0" w:space="0" w:color="auto"/>
          </w:divBdr>
        </w:div>
        <w:div w:id="1214267084">
          <w:marLeft w:val="0"/>
          <w:marRight w:val="0"/>
          <w:marTop w:val="0"/>
          <w:marBottom w:val="101"/>
          <w:divBdr>
            <w:top w:val="none" w:sz="0" w:space="0" w:color="auto"/>
            <w:left w:val="none" w:sz="0" w:space="0" w:color="auto"/>
            <w:bottom w:val="none" w:sz="0" w:space="0" w:color="auto"/>
            <w:right w:val="none" w:sz="0" w:space="0" w:color="auto"/>
          </w:divBdr>
        </w:div>
        <w:div w:id="906888394">
          <w:marLeft w:val="0"/>
          <w:marRight w:val="0"/>
          <w:marTop w:val="0"/>
          <w:marBottom w:val="101"/>
          <w:divBdr>
            <w:top w:val="none" w:sz="0" w:space="0" w:color="auto"/>
            <w:left w:val="none" w:sz="0" w:space="0" w:color="auto"/>
            <w:bottom w:val="none" w:sz="0" w:space="0" w:color="auto"/>
            <w:right w:val="none" w:sz="0" w:space="0" w:color="auto"/>
          </w:divBdr>
        </w:div>
        <w:div w:id="931624153">
          <w:marLeft w:val="0"/>
          <w:marRight w:val="0"/>
          <w:marTop w:val="0"/>
          <w:marBottom w:val="101"/>
          <w:divBdr>
            <w:top w:val="none" w:sz="0" w:space="0" w:color="auto"/>
            <w:left w:val="none" w:sz="0" w:space="0" w:color="auto"/>
            <w:bottom w:val="none" w:sz="0" w:space="0" w:color="auto"/>
            <w:right w:val="none" w:sz="0" w:space="0" w:color="auto"/>
          </w:divBdr>
        </w:div>
        <w:div w:id="1135373268">
          <w:marLeft w:val="0"/>
          <w:marRight w:val="0"/>
          <w:marTop w:val="0"/>
          <w:marBottom w:val="101"/>
          <w:divBdr>
            <w:top w:val="none" w:sz="0" w:space="0" w:color="auto"/>
            <w:left w:val="none" w:sz="0" w:space="0" w:color="auto"/>
            <w:bottom w:val="none" w:sz="0" w:space="0" w:color="auto"/>
            <w:right w:val="none" w:sz="0" w:space="0" w:color="auto"/>
          </w:divBdr>
        </w:div>
        <w:div w:id="983318117">
          <w:marLeft w:val="0"/>
          <w:marRight w:val="0"/>
          <w:marTop w:val="0"/>
          <w:marBottom w:val="101"/>
          <w:divBdr>
            <w:top w:val="none" w:sz="0" w:space="0" w:color="auto"/>
            <w:left w:val="none" w:sz="0" w:space="0" w:color="auto"/>
            <w:bottom w:val="none" w:sz="0" w:space="0" w:color="auto"/>
            <w:right w:val="none" w:sz="0" w:space="0" w:color="auto"/>
          </w:divBdr>
        </w:div>
        <w:div w:id="1078134446">
          <w:marLeft w:val="0"/>
          <w:marRight w:val="0"/>
          <w:marTop w:val="0"/>
          <w:marBottom w:val="101"/>
          <w:divBdr>
            <w:top w:val="none" w:sz="0" w:space="0" w:color="auto"/>
            <w:left w:val="none" w:sz="0" w:space="0" w:color="auto"/>
            <w:bottom w:val="none" w:sz="0" w:space="0" w:color="auto"/>
            <w:right w:val="none" w:sz="0" w:space="0" w:color="auto"/>
          </w:divBdr>
        </w:div>
        <w:div w:id="1291743795">
          <w:marLeft w:val="0"/>
          <w:marRight w:val="0"/>
          <w:marTop w:val="0"/>
          <w:marBottom w:val="101"/>
          <w:divBdr>
            <w:top w:val="none" w:sz="0" w:space="0" w:color="auto"/>
            <w:left w:val="none" w:sz="0" w:space="0" w:color="auto"/>
            <w:bottom w:val="none" w:sz="0" w:space="0" w:color="auto"/>
            <w:right w:val="none" w:sz="0" w:space="0" w:color="auto"/>
          </w:divBdr>
        </w:div>
        <w:div w:id="681201471">
          <w:marLeft w:val="0"/>
          <w:marRight w:val="0"/>
          <w:marTop w:val="0"/>
          <w:marBottom w:val="101"/>
          <w:divBdr>
            <w:top w:val="none" w:sz="0" w:space="0" w:color="auto"/>
            <w:left w:val="none" w:sz="0" w:space="0" w:color="auto"/>
            <w:bottom w:val="none" w:sz="0" w:space="0" w:color="auto"/>
            <w:right w:val="none" w:sz="0" w:space="0" w:color="auto"/>
          </w:divBdr>
        </w:div>
        <w:div w:id="1149982860">
          <w:marLeft w:val="0"/>
          <w:marRight w:val="0"/>
          <w:marTop w:val="0"/>
          <w:marBottom w:val="101"/>
          <w:divBdr>
            <w:top w:val="none" w:sz="0" w:space="0" w:color="auto"/>
            <w:left w:val="none" w:sz="0" w:space="0" w:color="auto"/>
            <w:bottom w:val="none" w:sz="0" w:space="0" w:color="auto"/>
            <w:right w:val="none" w:sz="0" w:space="0" w:color="auto"/>
          </w:divBdr>
        </w:div>
        <w:div w:id="265582682">
          <w:marLeft w:val="0"/>
          <w:marRight w:val="0"/>
          <w:marTop w:val="0"/>
          <w:marBottom w:val="101"/>
          <w:divBdr>
            <w:top w:val="none" w:sz="0" w:space="0" w:color="auto"/>
            <w:left w:val="none" w:sz="0" w:space="0" w:color="auto"/>
            <w:bottom w:val="none" w:sz="0" w:space="0" w:color="auto"/>
            <w:right w:val="none" w:sz="0" w:space="0" w:color="auto"/>
          </w:divBdr>
        </w:div>
        <w:div w:id="1345861318">
          <w:marLeft w:val="0"/>
          <w:marRight w:val="0"/>
          <w:marTop w:val="0"/>
          <w:marBottom w:val="101"/>
          <w:divBdr>
            <w:top w:val="none" w:sz="0" w:space="0" w:color="auto"/>
            <w:left w:val="none" w:sz="0" w:space="0" w:color="auto"/>
            <w:bottom w:val="none" w:sz="0" w:space="0" w:color="auto"/>
            <w:right w:val="none" w:sz="0" w:space="0" w:color="auto"/>
          </w:divBdr>
        </w:div>
        <w:div w:id="1544635231">
          <w:marLeft w:val="0"/>
          <w:marRight w:val="0"/>
          <w:marTop w:val="0"/>
          <w:marBottom w:val="101"/>
          <w:divBdr>
            <w:top w:val="none" w:sz="0" w:space="0" w:color="auto"/>
            <w:left w:val="none" w:sz="0" w:space="0" w:color="auto"/>
            <w:bottom w:val="none" w:sz="0" w:space="0" w:color="auto"/>
            <w:right w:val="none" w:sz="0" w:space="0" w:color="auto"/>
          </w:divBdr>
        </w:div>
        <w:div w:id="648020717">
          <w:marLeft w:val="0"/>
          <w:marRight w:val="0"/>
          <w:marTop w:val="0"/>
          <w:marBottom w:val="101"/>
          <w:divBdr>
            <w:top w:val="none" w:sz="0" w:space="0" w:color="auto"/>
            <w:left w:val="none" w:sz="0" w:space="0" w:color="auto"/>
            <w:bottom w:val="none" w:sz="0" w:space="0" w:color="auto"/>
            <w:right w:val="none" w:sz="0" w:space="0" w:color="auto"/>
          </w:divBdr>
        </w:div>
        <w:div w:id="1355233971">
          <w:marLeft w:val="0"/>
          <w:marRight w:val="0"/>
          <w:marTop w:val="0"/>
          <w:marBottom w:val="101"/>
          <w:divBdr>
            <w:top w:val="none" w:sz="0" w:space="0" w:color="auto"/>
            <w:left w:val="none" w:sz="0" w:space="0" w:color="auto"/>
            <w:bottom w:val="none" w:sz="0" w:space="0" w:color="auto"/>
            <w:right w:val="none" w:sz="0" w:space="0" w:color="auto"/>
          </w:divBdr>
        </w:div>
        <w:div w:id="2010668871">
          <w:marLeft w:val="0"/>
          <w:marRight w:val="0"/>
          <w:marTop w:val="0"/>
          <w:marBottom w:val="101"/>
          <w:divBdr>
            <w:top w:val="none" w:sz="0" w:space="0" w:color="auto"/>
            <w:left w:val="none" w:sz="0" w:space="0" w:color="auto"/>
            <w:bottom w:val="none" w:sz="0" w:space="0" w:color="auto"/>
            <w:right w:val="none" w:sz="0" w:space="0" w:color="auto"/>
          </w:divBdr>
        </w:div>
        <w:div w:id="1482575566">
          <w:marLeft w:val="0"/>
          <w:marRight w:val="0"/>
          <w:marTop w:val="0"/>
          <w:marBottom w:val="101"/>
          <w:divBdr>
            <w:top w:val="none" w:sz="0" w:space="0" w:color="auto"/>
            <w:left w:val="none" w:sz="0" w:space="0" w:color="auto"/>
            <w:bottom w:val="none" w:sz="0" w:space="0" w:color="auto"/>
            <w:right w:val="none" w:sz="0" w:space="0" w:color="auto"/>
          </w:divBdr>
        </w:div>
        <w:div w:id="1232084309">
          <w:marLeft w:val="0"/>
          <w:marRight w:val="0"/>
          <w:marTop w:val="0"/>
          <w:marBottom w:val="101"/>
          <w:divBdr>
            <w:top w:val="none" w:sz="0" w:space="0" w:color="auto"/>
            <w:left w:val="none" w:sz="0" w:space="0" w:color="auto"/>
            <w:bottom w:val="none" w:sz="0" w:space="0" w:color="auto"/>
            <w:right w:val="none" w:sz="0" w:space="0" w:color="auto"/>
          </w:divBdr>
        </w:div>
        <w:div w:id="1378354240">
          <w:marLeft w:val="0"/>
          <w:marRight w:val="0"/>
          <w:marTop w:val="0"/>
          <w:marBottom w:val="101"/>
          <w:divBdr>
            <w:top w:val="none" w:sz="0" w:space="0" w:color="auto"/>
            <w:left w:val="none" w:sz="0" w:space="0" w:color="auto"/>
            <w:bottom w:val="none" w:sz="0" w:space="0" w:color="auto"/>
            <w:right w:val="none" w:sz="0" w:space="0" w:color="auto"/>
          </w:divBdr>
        </w:div>
        <w:div w:id="229074961">
          <w:marLeft w:val="0"/>
          <w:marRight w:val="0"/>
          <w:marTop w:val="0"/>
          <w:marBottom w:val="101"/>
          <w:divBdr>
            <w:top w:val="none" w:sz="0" w:space="0" w:color="auto"/>
            <w:left w:val="none" w:sz="0" w:space="0" w:color="auto"/>
            <w:bottom w:val="none" w:sz="0" w:space="0" w:color="auto"/>
            <w:right w:val="none" w:sz="0" w:space="0" w:color="auto"/>
          </w:divBdr>
        </w:div>
        <w:div w:id="2054455141">
          <w:marLeft w:val="0"/>
          <w:marRight w:val="0"/>
          <w:marTop w:val="0"/>
          <w:marBottom w:val="101"/>
          <w:divBdr>
            <w:top w:val="none" w:sz="0" w:space="0" w:color="auto"/>
            <w:left w:val="none" w:sz="0" w:space="0" w:color="auto"/>
            <w:bottom w:val="none" w:sz="0" w:space="0" w:color="auto"/>
            <w:right w:val="none" w:sz="0" w:space="0" w:color="auto"/>
          </w:divBdr>
        </w:div>
        <w:div w:id="76370097">
          <w:marLeft w:val="1080"/>
          <w:marRight w:val="0"/>
          <w:marTop w:val="0"/>
          <w:marBottom w:val="101"/>
          <w:divBdr>
            <w:top w:val="none" w:sz="0" w:space="0" w:color="auto"/>
            <w:left w:val="none" w:sz="0" w:space="0" w:color="auto"/>
            <w:bottom w:val="none" w:sz="0" w:space="0" w:color="auto"/>
            <w:right w:val="none" w:sz="0" w:space="0" w:color="auto"/>
          </w:divBdr>
        </w:div>
        <w:div w:id="1121145361">
          <w:marLeft w:val="1080"/>
          <w:marRight w:val="0"/>
          <w:marTop w:val="0"/>
          <w:marBottom w:val="101"/>
          <w:divBdr>
            <w:top w:val="none" w:sz="0" w:space="0" w:color="auto"/>
            <w:left w:val="none" w:sz="0" w:space="0" w:color="auto"/>
            <w:bottom w:val="none" w:sz="0" w:space="0" w:color="auto"/>
            <w:right w:val="none" w:sz="0" w:space="0" w:color="auto"/>
          </w:divBdr>
        </w:div>
        <w:div w:id="70543173">
          <w:marLeft w:val="0"/>
          <w:marRight w:val="0"/>
          <w:marTop w:val="0"/>
          <w:marBottom w:val="101"/>
          <w:divBdr>
            <w:top w:val="none" w:sz="0" w:space="0" w:color="auto"/>
            <w:left w:val="none" w:sz="0" w:space="0" w:color="auto"/>
            <w:bottom w:val="none" w:sz="0" w:space="0" w:color="auto"/>
            <w:right w:val="none" w:sz="0" w:space="0" w:color="auto"/>
          </w:divBdr>
        </w:div>
        <w:div w:id="1885867240">
          <w:marLeft w:val="0"/>
          <w:marRight w:val="0"/>
          <w:marTop w:val="0"/>
          <w:marBottom w:val="101"/>
          <w:divBdr>
            <w:top w:val="none" w:sz="0" w:space="0" w:color="auto"/>
            <w:left w:val="none" w:sz="0" w:space="0" w:color="auto"/>
            <w:bottom w:val="none" w:sz="0" w:space="0" w:color="auto"/>
            <w:right w:val="none" w:sz="0" w:space="0" w:color="auto"/>
          </w:divBdr>
        </w:div>
        <w:div w:id="860317008">
          <w:marLeft w:val="0"/>
          <w:marRight w:val="0"/>
          <w:marTop w:val="0"/>
          <w:marBottom w:val="101"/>
          <w:divBdr>
            <w:top w:val="none" w:sz="0" w:space="0" w:color="auto"/>
            <w:left w:val="none" w:sz="0" w:space="0" w:color="auto"/>
            <w:bottom w:val="none" w:sz="0" w:space="0" w:color="auto"/>
            <w:right w:val="none" w:sz="0" w:space="0" w:color="auto"/>
          </w:divBdr>
        </w:div>
        <w:div w:id="1194004369">
          <w:marLeft w:val="0"/>
          <w:marRight w:val="0"/>
          <w:marTop w:val="0"/>
          <w:marBottom w:val="101"/>
          <w:divBdr>
            <w:top w:val="none" w:sz="0" w:space="0" w:color="auto"/>
            <w:left w:val="none" w:sz="0" w:space="0" w:color="auto"/>
            <w:bottom w:val="none" w:sz="0" w:space="0" w:color="auto"/>
            <w:right w:val="none" w:sz="0" w:space="0" w:color="auto"/>
          </w:divBdr>
        </w:div>
        <w:div w:id="669141129">
          <w:marLeft w:val="0"/>
          <w:marRight w:val="0"/>
          <w:marTop w:val="0"/>
          <w:marBottom w:val="101"/>
          <w:divBdr>
            <w:top w:val="none" w:sz="0" w:space="0" w:color="auto"/>
            <w:left w:val="none" w:sz="0" w:space="0" w:color="auto"/>
            <w:bottom w:val="none" w:sz="0" w:space="0" w:color="auto"/>
            <w:right w:val="none" w:sz="0" w:space="0" w:color="auto"/>
          </w:divBdr>
        </w:div>
        <w:div w:id="1509171892">
          <w:marLeft w:val="0"/>
          <w:marRight w:val="0"/>
          <w:marTop w:val="0"/>
          <w:marBottom w:val="101"/>
          <w:divBdr>
            <w:top w:val="none" w:sz="0" w:space="0" w:color="auto"/>
            <w:left w:val="none" w:sz="0" w:space="0" w:color="auto"/>
            <w:bottom w:val="none" w:sz="0" w:space="0" w:color="auto"/>
            <w:right w:val="none" w:sz="0" w:space="0" w:color="auto"/>
          </w:divBdr>
        </w:div>
        <w:div w:id="1580486193">
          <w:marLeft w:val="1080"/>
          <w:marRight w:val="0"/>
          <w:marTop w:val="0"/>
          <w:marBottom w:val="101"/>
          <w:divBdr>
            <w:top w:val="none" w:sz="0" w:space="0" w:color="auto"/>
            <w:left w:val="none" w:sz="0" w:space="0" w:color="auto"/>
            <w:bottom w:val="none" w:sz="0" w:space="0" w:color="auto"/>
            <w:right w:val="none" w:sz="0" w:space="0" w:color="auto"/>
          </w:divBdr>
        </w:div>
        <w:div w:id="1444038044">
          <w:marLeft w:val="1440"/>
          <w:marRight w:val="0"/>
          <w:marTop w:val="0"/>
          <w:marBottom w:val="101"/>
          <w:divBdr>
            <w:top w:val="none" w:sz="0" w:space="0" w:color="auto"/>
            <w:left w:val="none" w:sz="0" w:space="0" w:color="auto"/>
            <w:bottom w:val="none" w:sz="0" w:space="0" w:color="auto"/>
            <w:right w:val="none" w:sz="0" w:space="0" w:color="auto"/>
          </w:divBdr>
        </w:div>
        <w:div w:id="42490970">
          <w:marLeft w:val="1800"/>
          <w:marRight w:val="0"/>
          <w:marTop w:val="0"/>
          <w:marBottom w:val="101"/>
          <w:divBdr>
            <w:top w:val="none" w:sz="0" w:space="0" w:color="auto"/>
            <w:left w:val="none" w:sz="0" w:space="0" w:color="auto"/>
            <w:bottom w:val="none" w:sz="0" w:space="0" w:color="auto"/>
            <w:right w:val="none" w:sz="0" w:space="0" w:color="auto"/>
          </w:divBdr>
        </w:div>
        <w:div w:id="242908710">
          <w:marLeft w:val="1800"/>
          <w:marRight w:val="0"/>
          <w:marTop w:val="0"/>
          <w:marBottom w:val="101"/>
          <w:divBdr>
            <w:top w:val="none" w:sz="0" w:space="0" w:color="auto"/>
            <w:left w:val="none" w:sz="0" w:space="0" w:color="auto"/>
            <w:bottom w:val="none" w:sz="0" w:space="0" w:color="auto"/>
            <w:right w:val="none" w:sz="0" w:space="0" w:color="auto"/>
          </w:divBdr>
        </w:div>
        <w:div w:id="431319350">
          <w:marLeft w:val="1800"/>
          <w:marRight w:val="0"/>
          <w:marTop w:val="0"/>
          <w:marBottom w:val="101"/>
          <w:divBdr>
            <w:top w:val="none" w:sz="0" w:space="0" w:color="auto"/>
            <w:left w:val="none" w:sz="0" w:space="0" w:color="auto"/>
            <w:bottom w:val="none" w:sz="0" w:space="0" w:color="auto"/>
            <w:right w:val="none" w:sz="0" w:space="0" w:color="auto"/>
          </w:divBdr>
        </w:div>
        <w:div w:id="1438015975">
          <w:marLeft w:val="1800"/>
          <w:marRight w:val="0"/>
          <w:marTop w:val="0"/>
          <w:marBottom w:val="101"/>
          <w:divBdr>
            <w:top w:val="none" w:sz="0" w:space="0" w:color="auto"/>
            <w:left w:val="none" w:sz="0" w:space="0" w:color="auto"/>
            <w:bottom w:val="none" w:sz="0" w:space="0" w:color="auto"/>
            <w:right w:val="none" w:sz="0" w:space="0" w:color="auto"/>
          </w:divBdr>
        </w:div>
        <w:div w:id="175193494">
          <w:marLeft w:val="1800"/>
          <w:marRight w:val="0"/>
          <w:marTop w:val="0"/>
          <w:marBottom w:val="101"/>
          <w:divBdr>
            <w:top w:val="none" w:sz="0" w:space="0" w:color="auto"/>
            <w:left w:val="none" w:sz="0" w:space="0" w:color="auto"/>
            <w:bottom w:val="none" w:sz="0" w:space="0" w:color="auto"/>
            <w:right w:val="none" w:sz="0" w:space="0" w:color="auto"/>
          </w:divBdr>
        </w:div>
        <w:div w:id="1216430715">
          <w:marLeft w:val="1800"/>
          <w:marRight w:val="0"/>
          <w:marTop w:val="0"/>
          <w:marBottom w:val="101"/>
          <w:divBdr>
            <w:top w:val="none" w:sz="0" w:space="0" w:color="auto"/>
            <w:left w:val="none" w:sz="0" w:space="0" w:color="auto"/>
            <w:bottom w:val="none" w:sz="0" w:space="0" w:color="auto"/>
            <w:right w:val="none" w:sz="0" w:space="0" w:color="auto"/>
          </w:divBdr>
        </w:div>
        <w:div w:id="1910652800">
          <w:marLeft w:val="1800"/>
          <w:marRight w:val="0"/>
          <w:marTop w:val="0"/>
          <w:marBottom w:val="101"/>
          <w:divBdr>
            <w:top w:val="none" w:sz="0" w:space="0" w:color="auto"/>
            <w:left w:val="none" w:sz="0" w:space="0" w:color="auto"/>
            <w:bottom w:val="none" w:sz="0" w:space="0" w:color="auto"/>
            <w:right w:val="none" w:sz="0" w:space="0" w:color="auto"/>
          </w:divBdr>
        </w:div>
        <w:div w:id="558442137">
          <w:marLeft w:val="1440"/>
          <w:marRight w:val="0"/>
          <w:marTop w:val="0"/>
          <w:marBottom w:val="101"/>
          <w:divBdr>
            <w:top w:val="none" w:sz="0" w:space="0" w:color="auto"/>
            <w:left w:val="none" w:sz="0" w:space="0" w:color="auto"/>
            <w:bottom w:val="none" w:sz="0" w:space="0" w:color="auto"/>
            <w:right w:val="none" w:sz="0" w:space="0" w:color="auto"/>
          </w:divBdr>
        </w:div>
        <w:div w:id="1152523041">
          <w:marLeft w:val="1440"/>
          <w:marRight w:val="0"/>
          <w:marTop w:val="0"/>
          <w:marBottom w:val="101"/>
          <w:divBdr>
            <w:top w:val="none" w:sz="0" w:space="0" w:color="auto"/>
            <w:left w:val="none" w:sz="0" w:space="0" w:color="auto"/>
            <w:bottom w:val="none" w:sz="0" w:space="0" w:color="auto"/>
            <w:right w:val="none" w:sz="0" w:space="0" w:color="auto"/>
          </w:divBdr>
        </w:div>
        <w:div w:id="1042175199">
          <w:marLeft w:val="1440"/>
          <w:marRight w:val="0"/>
          <w:marTop w:val="0"/>
          <w:marBottom w:val="101"/>
          <w:divBdr>
            <w:top w:val="none" w:sz="0" w:space="0" w:color="auto"/>
            <w:left w:val="none" w:sz="0" w:space="0" w:color="auto"/>
            <w:bottom w:val="none" w:sz="0" w:space="0" w:color="auto"/>
            <w:right w:val="none" w:sz="0" w:space="0" w:color="auto"/>
          </w:divBdr>
        </w:div>
        <w:div w:id="397869752">
          <w:marLeft w:val="1440"/>
          <w:marRight w:val="0"/>
          <w:marTop w:val="0"/>
          <w:marBottom w:val="101"/>
          <w:divBdr>
            <w:top w:val="none" w:sz="0" w:space="0" w:color="auto"/>
            <w:left w:val="none" w:sz="0" w:space="0" w:color="auto"/>
            <w:bottom w:val="none" w:sz="0" w:space="0" w:color="auto"/>
            <w:right w:val="none" w:sz="0" w:space="0" w:color="auto"/>
          </w:divBdr>
        </w:div>
        <w:div w:id="1460537950">
          <w:marLeft w:val="1440"/>
          <w:marRight w:val="0"/>
          <w:marTop w:val="0"/>
          <w:marBottom w:val="101"/>
          <w:divBdr>
            <w:top w:val="none" w:sz="0" w:space="0" w:color="auto"/>
            <w:left w:val="none" w:sz="0" w:space="0" w:color="auto"/>
            <w:bottom w:val="none" w:sz="0" w:space="0" w:color="auto"/>
            <w:right w:val="none" w:sz="0" w:space="0" w:color="auto"/>
          </w:divBdr>
        </w:div>
        <w:div w:id="889922878">
          <w:marLeft w:val="1440"/>
          <w:marRight w:val="0"/>
          <w:marTop w:val="0"/>
          <w:marBottom w:val="101"/>
          <w:divBdr>
            <w:top w:val="none" w:sz="0" w:space="0" w:color="auto"/>
            <w:left w:val="none" w:sz="0" w:space="0" w:color="auto"/>
            <w:bottom w:val="none" w:sz="0" w:space="0" w:color="auto"/>
            <w:right w:val="none" w:sz="0" w:space="0" w:color="auto"/>
          </w:divBdr>
        </w:div>
        <w:div w:id="1187448259">
          <w:marLeft w:val="1800"/>
          <w:marRight w:val="0"/>
          <w:marTop w:val="0"/>
          <w:marBottom w:val="101"/>
          <w:divBdr>
            <w:top w:val="none" w:sz="0" w:space="0" w:color="auto"/>
            <w:left w:val="none" w:sz="0" w:space="0" w:color="auto"/>
            <w:bottom w:val="none" w:sz="0" w:space="0" w:color="auto"/>
            <w:right w:val="none" w:sz="0" w:space="0" w:color="auto"/>
          </w:divBdr>
        </w:div>
        <w:div w:id="139225395">
          <w:marLeft w:val="1800"/>
          <w:marRight w:val="0"/>
          <w:marTop w:val="0"/>
          <w:marBottom w:val="101"/>
          <w:divBdr>
            <w:top w:val="none" w:sz="0" w:space="0" w:color="auto"/>
            <w:left w:val="none" w:sz="0" w:space="0" w:color="auto"/>
            <w:bottom w:val="none" w:sz="0" w:space="0" w:color="auto"/>
            <w:right w:val="none" w:sz="0" w:space="0" w:color="auto"/>
          </w:divBdr>
        </w:div>
        <w:div w:id="1789927702">
          <w:marLeft w:val="1800"/>
          <w:marRight w:val="0"/>
          <w:marTop w:val="0"/>
          <w:marBottom w:val="101"/>
          <w:divBdr>
            <w:top w:val="none" w:sz="0" w:space="0" w:color="auto"/>
            <w:left w:val="none" w:sz="0" w:space="0" w:color="auto"/>
            <w:bottom w:val="none" w:sz="0" w:space="0" w:color="auto"/>
            <w:right w:val="none" w:sz="0" w:space="0" w:color="auto"/>
          </w:divBdr>
        </w:div>
        <w:div w:id="1457723464">
          <w:marLeft w:val="1800"/>
          <w:marRight w:val="0"/>
          <w:marTop w:val="0"/>
          <w:marBottom w:val="101"/>
          <w:divBdr>
            <w:top w:val="none" w:sz="0" w:space="0" w:color="auto"/>
            <w:left w:val="none" w:sz="0" w:space="0" w:color="auto"/>
            <w:bottom w:val="none" w:sz="0" w:space="0" w:color="auto"/>
            <w:right w:val="none" w:sz="0" w:space="0" w:color="auto"/>
          </w:divBdr>
        </w:div>
        <w:div w:id="487522334">
          <w:marLeft w:val="1800"/>
          <w:marRight w:val="0"/>
          <w:marTop w:val="0"/>
          <w:marBottom w:val="101"/>
          <w:divBdr>
            <w:top w:val="none" w:sz="0" w:space="0" w:color="auto"/>
            <w:left w:val="none" w:sz="0" w:space="0" w:color="auto"/>
            <w:bottom w:val="none" w:sz="0" w:space="0" w:color="auto"/>
            <w:right w:val="none" w:sz="0" w:space="0" w:color="auto"/>
          </w:divBdr>
        </w:div>
        <w:div w:id="138155194">
          <w:marLeft w:val="1800"/>
          <w:marRight w:val="0"/>
          <w:marTop w:val="0"/>
          <w:marBottom w:val="101"/>
          <w:divBdr>
            <w:top w:val="none" w:sz="0" w:space="0" w:color="auto"/>
            <w:left w:val="none" w:sz="0" w:space="0" w:color="auto"/>
            <w:bottom w:val="none" w:sz="0" w:space="0" w:color="auto"/>
            <w:right w:val="none" w:sz="0" w:space="0" w:color="auto"/>
          </w:divBdr>
        </w:div>
        <w:div w:id="717432835">
          <w:marLeft w:val="1800"/>
          <w:marRight w:val="0"/>
          <w:marTop w:val="0"/>
          <w:marBottom w:val="101"/>
          <w:divBdr>
            <w:top w:val="none" w:sz="0" w:space="0" w:color="auto"/>
            <w:left w:val="none" w:sz="0" w:space="0" w:color="auto"/>
            <w:bottom w:val="none" w:sz="0" w:space="0" w:color="auto"/>
            <w:right w:val="none" w:sz="0" w:space="0" w:color="auto"/>
          </w:divBdr>
        </w:div>
        <w:div w:id="64767487">
          <w:marLeft w:val="1800"/>
          <w:marRight w:val="0"/>
          <w:marTop w:val="0"/>
          <w:marBottom w:val="101"/>
          <w:divBdr>
            <w:top w:val="none" w:sz="0" w:space="0" w:color="auto"/>
            <w:left w:val="none" w:sz="0" w:space="0" w:color="auto"/>
            <w:bottom w:val="none" w:sz="0" w:space="0" w:color="auto"/>
            <w:right w:val="none" w:sz="0" w:space="0" w:color="auto"/>
          </w:divBdr>
        </w:div>
        <w:div w:id="1702364763">
          <w:marLeft w:val="1800"/>
          <w:marRight w:val="0"/>
          <w:marTop w:val="0"/>
          <w:marBottom w:val="101"/>
          <w:divBdr>
            <w:top w:val="none" w:sz="0" w:space="0" w:color="auto"/>
            <w:left w:val="none" w:sz="0" w:space="0" w:color="auto"/>
            <w:bottom w:val="none" w:sz="0" w:space="0" w:color="auto"/>
            <w:right w:val="none" w:sz="0" w:space="0" w:color="auto"/>
          </w:divBdr>
        </w:div>
        <w:div w:id="1295985460">
          <w:marLeft w:val="1440"/>
          <w:marRight w:val="0"/>
          <w:marTop w:val="0"/>
          <w:marBottom w:val="101"/>
          <w:divBdr>
            <w:top w:val="none" w:sz="0" w:space="0" w:color="auto"/>
            <w:left w:val="none" w:sz="0" w:space="0" w:color="auto"/>
            <w:bottom w:val="none" w:sz="0" w:space="0" w:color="auto"/>
            <w:right w:val="none" w:sz="0" w:space="0" w:color="auto"/>
          </w:divBdr>
        </w:div>
        <w:div w:id="231082292">
          <w:marLeft w:val="1440"/>
          <w:marRight w:val="0"/>
          <w:marTop w:val="0"/>
          <w:marBottom w:val="80"/>
          <w:divBdr>
            <w:top w:val="none" w:sz="0" w:space="0" w:color="auto"/>
            <w:left w:val="none" w:sz="0" w:space="0" w:color="auto"/>
            <w:bottom w:val="none" w:sz="0" w:space="0" w:color="auto"/>
            <w:right w:val="none" w:sz="0" w:space="0" w:color="auto"/>
          </w:divBdr>
        </w:div>
        <w:div w:id="541865800">
          <w:marLeft w:val="1440"/>
          <w:marRight w:val="0"/>
          <w:marTop w:val="0"/>
          <w:marBottom w:val="80"/>
          <w:divBdr>
            <w:top w:val="none" w:sz="0" w:space="0" w:color="auto"/>
            <w:left w:val="none" w:sz="0" w:space="0" w:color="auto"/>
            <w:bottom w:val="none" w:sz="0" w:space="0" w:color="auto"/>
            <w:right w:val="none" w:sz="0" w:space="0" w:color="auto"/>
          </w:divBdr>
        </w:div>
        <w:div w:id="1351755926">
          <w:marLeft w:val="1440"/>
          <w:marRight w:val="0"/>
          <w:marTop w:val="0"/>
          <w:marBottom w:val="80"/>
          <w:divBdr>
            <w:top w:val="none" w:sz="0" w:space="0" w:color="auto"/>
            <w:left w:val="none" w:sz="0" w:space="0" w:color="auto"/>
            <w:bottom w:val="none" w:sz="0" w:space="0" w:color="auto"/>
            <w:right w:val="none" w:sz="0" w:space="0" w:color="auto"/>
          </w:divBdr>
        </w:div>
        <w:div w:id="489250995">
          <w:marLeft w:val="1440"/>
          <w:marRight w:val="0"/>
          <w:marTop w:val="0"/>
          <w:marBottom w:val="80"/>
          <w:divBdr>
            <w:top w:val="none" w:sz="0" w:space="0" w:color="auto"/>
            <w:left w:val="none" w:sz="0" w:space="0" w:color="auto"/>
            <w:bottom w:val="none" w:sz="0" w:space="0" w:color="auto"/>
            <w:right w:val="none" w:sz="0" w:space="0" w:color="auto"/>
          </w:divBdr>
        </w:div>
        <w:div w:id="1272394052">
          <w:marLeft w:val="2160"/>
          <w:marRight w:val="0"/>
          <w:marTop w:val="0"/>
          <w:marBottom w:val="80"/>
          <w:divBdr>
            <w:top w:val="none" w:sz="0" w:space="0" w:color="auto"/>
            <w:left w:val="none" w:sz="0" w:space="0" w:color="auto"/>
            <w:bottom w:val="none" w:sz="0" w:space="0" w:color="auto"/>
            <w:right w:val="none" w:sz="0" w:space="0" w:color="auto"/>
          </w:divBdr>
        </w:div>
        <w:div w:id="549464354">
          <w:marLeft w:val="2160"/>
          <w:marRight w:val="0"/>
          <w:marTop w:val="0"/>
          <w:marBottom w:val="80"/>
          <w:divBdr>
            <w:top w:val="none" w:sz="0" w:space="0" w:color="auto"/>
            <w:left w:val="none" w:sz="0" w:space="0" w:color="auto"/>
            <w:bottom w:val="none" w:sz="0" w:space="0" w:color="auto"/>
            <w:right w:val="none" w:sz="0" w:space="0" w:color="auto"/>
          </w:divBdr>
        </w:div>
        <w:div w:id="46413451">
          <w:marLeft w:val="1080"/>
          <w:marRight w:val="0"/>
          <w:marTop w:val="0"/>
          <w:marBottom w:val="80"/>
          <w:divBdr>
            <w:top w:val="none" w:sz="0" w:space="0" w:color="auto"/>
            <w:left w:val="none" w:sz="0" w:space="0" w:color="auto"/>
            <w:bottom w:val="none" w:sz="0" w:space="0" w:color="auto"/>
            <w:right w:val="none" w:sz="0" w:space="0" w:color="auto"/>
          </w:divBdr>
        </w:div>
        <w:div w:id="418988501">
          <w:marLeft w:val="1440"/>
          <w:marRight w:val="0"/>
          <w:marTop w:val="0"/>
          <w:marBottom w:val="80"/>
          <w:divBdr>
            <w:top w:val="none" w:sz="0" w:space="0" w:color="auto"/>
            <w:left w:val="none" w:sz="0" w:space="0" w:color="auto"/>
            <w:bottom w:val="none" w:sz="0" w:space="0" w:color="auto"/>
            <w:right w:val="none" w:sz="0" w:space="0" w:color="auto"/>
          </w:divBdr>
        </w:div>
        <w:div w:id="627903658">
          <w:marLeft w:val="1440"/>
          <w:marRight w:val="0"/>
          <w:marTop w:val="0"/>
          <w:marBottom w:val="80"/>
          <w:divBdr>
            <w:top w:val="none" w:sz="0" w:space="0" w:color="auto"/>
            <w:left w:val="none" w:sz="0" w:space="0" w:color="auto"/>
            <w:bottom w:val="none" w:sz="0" w:space="0" w:color="auto"/>
            <w:right w:val="none" w:sz="0" w:space="0" w:color="auto"/>
          </w:divBdr>
        </w:div>
        <w:div w:id="1776054806">
          <w:marLeft w:val="1440"/>
          <w:marRight w:val="0"/>
          <w:marTop w:val="0"/>
          <w:marBottom w:val="80"/>
          <w:divBdr>
            <w:top w:val="none" w:sz="0" w:space="0" w:color="auto"/>
            <w:left w:val="none" w:sz="0" w:space="0" w:color="auto"/>
            <w:bottom w:val="none" w:sz="0" w:space="0" w:color="auto"/>
            <w:right w:val="none" w:sz="0" w:space="0" w:color="auto"/>
          </w:divBdr>
        </w:div>
        <w:div w:id="1629239927">
          <w:marLeft w:val="1080"/>
          <w:marRight w:val="0"/>
          <w:marTop w:val="0"/>
          <w:marBottom w:val="80"/>
          <w:divBdr>
            <w:top w:val="none" w:sz="0" w:space="0" w:color="auto"/>
            <w:left w:val="none" w:sz="0" w:space="0" w:color="auto"/>
            <w:bottom w:val="none" w:sz="0" w:space="0" w:color="auto"/>
            <w:right w:val="none" w:sz="0" w:space="0" w:color="auto"/>
          </w:divBdr>
        </w:div>
        <w:div w:id="69936765">
          <w:marLeft w:val="1080"/>
          <w:marRight w:val="0"/>
          <w:marTop w:val="0"/>
          <w:marBottom w:val="80"/>
          <w:divBdr>
            <w:top w:val="none" w:sz="0" w:space="0" w:color="auto"/>
            <w:left w:val="none" w:sz="0" w:space="0" w:color="auto"/>
            <w:bottom w:val="none" w:sz="0" w:space="0" w:color="auto"/>
            <w:right w:val="none" w:sz="0" w:space="0" w:color="auto"/>
          </w:divBdr>
        </w:div>
        <w:div w:id="213200052">
          <w:marLeft w:val="0"/>
          <w:marRight w:val="0"/>
          <w:marTop w:val="0"/>
          <w:marBottom w:val="80"/>
          <w:divBdr>
            <w:top w:val="none" w:sz="0" w:space="0" w:color="auto"/>
            <w:left w:val="none" w:sz="0" w:space="0" w:color="auto"/>
            <w:bottom w:val="none" w:sz="0" w:space="0" w:color="auto"/>
            <w:right w:val="none" w:sz="0" w:space="0" w:color="auto"/>
          </w:divBdr>
        </w:div>
        <w:div w:id="456074022">
          <w:marLeft w:val="0"/>
          <w:marRight w:val="0"/>
          <w:marTop w:val="0"/>
          <w:marBottom w:val="101"/>
          <w:divBdr>
            <w:top w:val="none" w:sz="0" w:space="0" w:color="auto"/>
            <w:left w:val="none" w:sz="0" w:space="0" w:color="auto"/>
            <w:bottom w:val="none" w:sz="0" w:space="0" w:color="auto"/>
            <w:right w:val="none" w:sz="0" w:space="0" w:color="auto"/>
          </w:divBdr>
        </w:div>
        <w:div w:id="2006276525">
          <w:marLeft w:val="0"/>
          <w:marRight w:val="0"/>
          <w:marTop w:val="0"/>
          <w:marBottom w:val="101"/>
          <w:divBdr>
            <w:top w:val="none" w:sz="0" w:space="0" w:color="auto"/>
            <w:left w:val="none" w:sz="0" w:space="0" w:color="auto"/>
            <w:bottom w:val="none" w:sz="0" w:space="0" w:color="auto"/>
            <w:right w:val="none" w:sz="0" w:space="0" w:color="auto"/>
          </w:divBdr>
        </w:div>
        <w:div w:id="1512405371">
          <w:marLeft w:val="0"/>
          <w:marRight w:val="0"/>
          <w:marTop w:val="0"/>
          <w:marBottom w:val="101"/>
          <w:divBdr>
            <w:top w:val="none" w:sz="0" w:space="0" w:color="auto"/>
            <w:left w:val="none" w:sz="0" w:space="0" w:color="auto"/>
            <w:bottom w:val="none" w:sz="0" w:space="0" w:color="auto"/>
            <w:right w:val="none" w:sz="0" w:space="0" w:color="auto"/>
          </w:divBdr>
        </w:div>
        <w:div w:id="2097509667">
          <w:marLeft w:val="0"/>
          <w:marRight w:val="0"/>
          <w:marTop w:val="0"/>
          <w:marBottom w:val="101"/>
          <w:divBdr>
            <w:top w:val="none" w:sz="0" w:space="0" w:color="auto"/>
            <w:left w:val="none" w:sz="0" w:space="0" w:color="auto"/>
            <w:bottom w:val="none" w:sz="0" w:space="0" w:color="auto"/>
            <w:right w:val="none" w:sz="0" w:space="0" w:color="auto"/>
          </w:divBdr>
        </w:div>
        <w:div w:id="2075156430">
          <w:marLeft w:val="0"/>
          <w:marRight w:val="0"/>
          <w:marTop w:val="0"/>
          <w:marBottom w:val="101"/>
          <w:divBdr>
            <w:top w:val="none" w:sz="0" w:space="0" w:color="auto"/>
            <w:left w:val="none" w:sz="0" w:space="0" w:color="auto"/>
            <w:bottom w:val="none" w:sz="0" w:space="0" w:color="auto"/>
            <w:right w:val="none" w:sz="0" w:space="0" w:color="auto"/>
          </w:divBdr>
        </w:div>
        <w:div w:id="110826051">
          <w:marLeft w:val="0"/>
          <w:marRight w:val="0"/>
          <w:marTop w:val="0"/>
          <w:marBottom w:val="101"/>
          <w:divBdr>
            <w:top w:val="none" w:sz="0" w:space="0" w:color="auto"/>
            <w:left w:val="none" w:sz="0" w:space="0" w:color="auto"/>
            <w:bottom w:val="none" w:sz="0" w:space="0" w:color="auto"/>
            <w:right w:val="none" w:sz="0" w:space="0" w:color="auto"/>
          </w:divBdr>
        </w:div>
        <w:div w:id="419327931">
          <w:marLeft w:val="0"/>
          <w:marRight w:val="0"/>
          <w:marTop w:val="0"/>
          <w:marBottom w:val="101"/>
          <w:divBdr>
            <w:top w:val="none" w:sz="0" w:space="0" w:color="auto"/>
            <w:left w:val="none" w:sz="0" w:space="0" w:color="auto"/>
            <w:bottom w:val="none" w:sz="0" w:space="0" w:color="auto"/>
            <w:right w:val="none" w:sz="0" w:space="0" w:color="auto"/>
          </w:divBdr>
        </w:div>
        <w:div w:id="63452394">
          <w:marLeft w:val="0"/>
          <w:marRight w:val="0"/>
          <w:marTop w:val="0"/>
          <w:marBottom w:val="101"/>
          <w:divBdr>
            <w:top w:val="none" w:sz="0" w:space="0" w:color="auto"/>
            <w:left w:val="none" w:sz="0" w:space="0" w:color="auto"/>
            <w:bottom w:val="none" w:sz="0" w:space="0" w:color="auto"/>
            <w:right w:val="none" w:sz="0" w:space="0" w:color="auto"/>
          </w:divBdr>
        </w:div>
        <w:div w:id="2081514152">
          <w:marLeft w:val="0"/>
          <w:marRight w:val="0"/>
          <w:marTop w:val="0"/>
          <w:marBottom w:val="101"/>
          <w:divBdr>
            <w:top w:val="none" w:sz="0" w:space="0" w:color="auto"/>
            <w:left w:val="none" w:sz="0" w:space="0" w:color="auto"/>
            <w:bottom w:val="none" w:sz="0" w:space="0" w:color="auto"/>
            <w:right w:val="none" w:sz="0" w:space="0" w:color="auto"/>
          </w:divBdr>
        </w:div>
        <w:div w:id="1965961091">
          <w:marLeft w:val="0"/>
          <w:marRight w:val="0"/>
          <w:marTop w:val="0"/>
          <w:marBottom w:val="101"/>
          <w:divBdr>
            <w:top w:val="none" w:sz="0" w:space="0" w:color="auto"/>
            <w:left w:val="none" w:sz="0" w:space="0" w:color="auto"/>
            <w:bottom w:val="none" w:sz="0" w:space="0" w:color="auto"/>
            <w:right w:val="none" w:sz="0" w:space="0" w:color="auto"/>
          </w:divBdr>
        </w:div>
        <w:div w:id="1412314747">
          <w:marLeft w:val="0"/>
          <w:marRight w:val="0"/>
          <w:marTop w:val="0"/>
          <w:marBottom w:val="101"/>
          <w:divBdr>
            <w:top w:val="none" w:sz="0" w:space="0" w:color="auto"/>
            <w:left w:val="none" w:sz="0" w:space="0" w:color="auto"/>
            <w:bottom w:val="none" w:sz="0" w:space="0" w:color="auto"/>
            <w:right w:val="none" w:sz="0" w:space="0" w:color="auto"/>
          </w:divBdr>
        </w:div>
        <w:div w:id="811023378">
          <w:marLeft w:val="0"/>
          <w:marRight w:val="0"/>
          <w:marTop w:val="0"/>
          <w:marBottom w:val="101"/>
          <w:divBdr>
            <w:top w:val="none" w:sz="0" w:space="0" w:color="auto"/>
            <w:left w:val="none" w:sz="0" w:space="0" w:color="auto"/>
            <w:bottom w:val="none" w:sz="0" w:space="0" w:color="auto"/>
            <w:right w:val="none" w:sz="0" w:space="0" w:color="auto"/>
          </w:divBdr>
        </w:div>
        <w:div w:id="250357934">
          <w:marLeft w:val="0"/>
          <w:marRight w:val="0"/>
          <w:marTop w:val="0"/>
          <w:marBottom w:val="101"/>
          <w:divBdr>
            <w:top w:val="none" w:sz="0" w:space="0" w:color="auto"/>
            <w:left w:val="none" w:sz="0" w:space="0" w:color="auto"/>
            <w:bottom w:val="none" w:sz="0" w:space="0" w:color="auto"/>
            <w:right w:val="none" w:sz="0" w:space="0" w:color="auto"/>
          </w:divBdr>
        </w:div>
        <w:div w:id="1001086665">
          <w:marLeft w:val="0"/>
          <w:marRight w:val="0"/>
          <w:marTop w:val="0"/>
          <w:marBottom w:val="101"/>
          <w:divBdr>
            <w:top w:val="none" w:sz="0" w:space="0" w:color="auto"/>
            <w:left w:val="none" w:sz="0" w:space="0" w:color="auto"/>
            <w:bottom w:val="none" w:sz="0" w:space="0" w:color="auto"/>
            <w:right w:val="none" w:sz="0" w:space="0" w:color="auto"/>
          </w:divBdr>
        </w:div>
        <w:div w:id="1752193285">
          <w:marLeft w:val="0"/>
          <w:marRight w:val="0"/>
          <w:marTop w:val="0"/>
          <w:marBottom w:val="101"/>
          <w:divBdr>
            <w:top w:val="none" w:sz="0" w:space="0" w:color="auto"/>
            <w:left w:val="none" w:sz="0" w:space="0" w:color="auto"/>
            <w:bottom w:val="none" w:sz="0" w:space="0" w:color="auto"/>
            <w:right w:val="none" w:sz="0" w:space="0" w:color="auto"/>
          </w:divBdr>
        </w:div>
        <w:div w:id="798959770">
          <w:marLeft w:val="0"/>
          <w:marRight w:val="0"/>
          <w:marTop w:val="0"/>
          <w:marBottom w:val="101"/>
          <w:divBdr>
            <w:top w:val="none" w:sz="0" w:space="0" w:color="auto"/>
            <w:left w:val="none" w:sz="0" w:space="0" w:color="auto"/>
            <w:bottom w:val="none" w:sz="0" w:space="0" w:color="auto"/>
            <w:right w:val="none" w:sz="0" w:space="0" w:color="auto"/>
          </w:divBdr>
        </w:div>
        <w:div w:id="829635327">
          <w:marLeft w:val="1080"/>
          <w:marRight w:val="0"/>
          <w:marTop w:val="0"/>
          <w:marBottom w:val="101"/>
          <w:divBdr>
            <w:top w:val="none" w:sz="0" w:space="0" w:color="auto"/>
            <w:left w:val="none" w:sz="0" w:space="0" w:color="auto"/>
            <w:bottom w:val="none" w:sz="0" w:space="0" w:color="auto"/>
            <w:right w:val="none" w:sz="0" w:space="0" w:color="auto"/>
          </w:divBdr>
        </w:div>
        <w:div w:id="1340277372">
          <w:marLeft w:val="1080"/>
          <w:marRight w:val="0"/>
          <w:marTop w:val="0"/>
          <w:marBottom w:val="101"/>
          <w:divBdr>
            <w:top w:val="none" w:sz="0" w:space="0" w:color="auto"/>
            <w:left w:val="none" w:sz="0" w:space="0" w:color="auto"/>
            <w:bottom w:val="none" w:sz="0" w:space="0" w:color="auto"/>
            <w:right w:val="none" w:sz="0" w:space="0" w:color="auto"/>
          </w:divBdr>
        </w:div>
        <w:div w:id="1313409170">
          <w:marLeft w:val="1080"/>
          <w:marRight w:val="0"/>
          <w:marTop w:val="0"/>
          <w:marBottom w:val="101"/>
          <w:divBdr>
            <w:top w:val="none" w:sz="0" w:space="0" w:color="auto"/>
            <w:left w:val="none" w:sz="0" w:space="0" w:color="auto"/>
            <w:bottom w:val="none" w:sz="0" w:space="0" w:color="auto"/>
            <w:right w:val="none" w:sz="0" w:space="0" w:color="auto"/>
          </w:divBdr>
        </w:div>
        <w:div w:id="1321931869">
          <w:marLeft w:val="1080"/>
          <w:marRight w:val="0"/>
          <w:marTop w:val="0"/>
          <w:marBottom w:val="101"/>
          <w:divBdr>
            <w:top w:val="none" w:sz="0" w:space="0" w:color="auto"/>
            <w:left w:val="none" w:sz="0" w:space="0" w:color="auto"/>
            <w:bottom w:val="none" w:sz="0" w:space="0" w:color="auto"/>
            <w:right w:val="none" w:sz="0" w:space="0" w:color="auto"/>
          </w:divBdr>
        </w:div>
        <w:div w:id="1396199892">
          <w:marLeft w:val="1080"/>
          <w:marRight w:val="0"/>
          <w:marTop w:val="0"/>
          <w:marBottom w:val="101"/>
          <w:divBdr>
            <w:top w:val="none" w:sz="0" w:space="0" w:color="auto"/>
            <w:left w:val="none" w:sz="0" w:space="0" w:color="auto"/>
            <w:bottom w:val="none" w:sz="0" w:space="0" w:color="auto"/>
            <w:right w:val="none" w:sz="0" w:space="0" w:color="auto"/>
          </w:divBdr>
        </w:div>
        <w:div w:id="1110786101">
          <w:marLeft w:val="1080"/>
          <w:marRight w:val="0"/>
          <w:marTop w:val="0"/>
          <w:marBottom w:val="101"/>
          <w:divBdr>
            <w:top w:val="none" w:sz="0" w:space="0" w:color="auto"/>
            <w:left w:val="none" w:sz="0" w:space="0" w:color="auto"/>
            <w:bottom w:val="none" w:sz="0" w:space="0" w:color="auto"/>
            <w:right w:val="none" w:sz="0" w:space="0" w:color="auto"/>
          </w:divBdr>
        </w:div>
        <w:div w:id="1054742307">
          <w:marLeft w:val="1080"/>
          <w:marRight w:val="0"/>
          <w:marTop w:val="0"/>
          <w:marBottom w:val="101"/>
          <w:divBdr>
            <w:top w:val="none" w:sz="0" w:space="0" w:color="auto"/>
            <w:left w:val="none" w:sz="0" w:space="0" w:color="auto"/>
            <w:bottom w:val="none" w:sz="0" w:space="0" w:color="auto"/>
            <w:right w:val="none" w:sz="0" w:space="0" w:color="auto"/>
          </w:divBdr>
        </w:div>
        <w:div w:id="845052131">
          <w:marLeft w:val="1080"/>
          <w:marRight w:val="0"/>
          <w:marTop w:val="0"/>
          <w:marBottom w:val="101"/>
          <w:divBdr>
            <w:top w:val="none" w:sz="0" w:space="0" w:color="auto"/>
            <w:left w:val="none" w:sz="0" w:space="0" w:color="auto"/>
            <w:bottom w:val="none" w:sz="0" w:space="0" w:color="auto"/>
            <w:right w:val="none" w:sz="0" w:space="0" w:color="auto"/>
          </w:divBdr>
        </w:div>
        <w:div w:id="1519081991">
          <w:marLeft w:val="1080"/>
          <w:marRight w:val="0"/>
          <w:marTop w:val="0"/>
          <w:marBottom w:val="101"/>
          <w:divBdr>
            <w:top w:val="none" w:sz="0" w:space="0" w:color="auto"/>
            <w:left w:val="none" w:sz="0" w:space="0" w:color="auto"/>
            <w:bottom w:val="none" w:sz="0" w:space="0" w:color="auto"/>
            <w:right w:val="none" w:sz="0" w:space="0" w:color="auto"/>
          </w:divBdr>
        </w:div>
        <w:div w:id="1951819050">
          <w:marLeft w:val="1080"/>
          <w:marRight w:val="0"/>
          <w:marTop w:val="0"/>
          <w:marBottom w:val="101"/>
          <w:divBdr>
            <w:top w:val="none" w:sz="0" w:space="0" w:color="auto"/>
            <w:left w:val="none" w:sz="0" w:space="0" w:color="auto"/>
            <w:bottom w:val="none" w:sz="0" w:space="0" w:color="auto"/>
            <w:right w:val="none" w:sz="0" w:space="0" w:color="auto"/>
          </w:divBdr>
        </w:div>
        <w:div w:id="754859349">
          <w:marLeft w:val="1080"/>
          <w:marRight w:val="0"/>
          <w:marTop w:val="0"/>
          <w:marBottom w:val="101"/>
          <w:divBdr>
            <w:top w:val="none" w:sz="0" w:space="0" w:color="auto"/>
            <w:left w:val="none" w:sz="0" w:space="0" w:color="auto"/>
            <w:bottom w:val="none" w:sz="0" w:space="0" w:color="auto"/>
            <w:right w:val="none" w:sz="0" w:space="0" w:color="auto"/>
          </w:divBdr>
        </w:div>
        <w:div w:id="255410806">
          <w:marLeft w:val="1080"/>
          <w:marRight w:val="0"/>
          <w:marTop w:val="0"/>
          <w:marBottom w:val="101"/>
          <w:divBdr>
            <w:top w:val="none" w:sz="0" w:space="0" w:color="auto"/>
            <w:left w:val="none" w:sz="0" w:space="0" w:color="auto"/>
            <w:bottom w:val="none" w:sz="0" w:space="0" w:color="auto"/>
            <w:right w:val="none" w:sz="0" w:space="0" w:color="auto"/>
          </w:divBdr>
        </w:div>
        <w:div w:id="1023440589">
          <w:marLeft w:val="0"/>
          <w:marRight w:val="0"/>
          <w:marTop w:val="0"/>
          <w:marBottom w:val="101"/>
          <w:divBdr>
            <w:top w:val="none" w:sz="0" w:space="0" w:color="auto"/>
            <w:left w:val="none" w:sz="0" w:space="0" w:color="auto"/>
            <w:bottom w:val="none" w:sz="0" w:space="0" w:color="auto"/>
            <w:right w:val="none" w:sz="0" w:space="0" w:color="auto"/>
          </w:divBdr>
        </w:div>
        <w:div w:id="1035037028">
          <w:marLeft w:val="0"/>
          <w:marRight w:val="0"/>
          <w:marTop w:val="0"/>
          <w:marBottom w:val="101"/>
          <w:divBdr>
            <w:top w:val="none" w:sz="0" w:space="0" w:color="auto"/>
            <w:left w:val="none" w:sz="0" w:space="0" w:color="auto"/>
            <w:bottom w:val="none" w:sz="0" w:space="0" w:color="auto"/>
            <w:right w:val="none" w:sz="0" w:space="0" w:color="auto"/>
          </w:divBdr>
        </w:div>
        <w:div w:id="1489977724">
          <w:marLeft w:val="0"/>
          <w:marRight w:val="0"/>
          <w:marTop w:val="0"/>
          <w:marBottom w:val="101"/>
          <w:divBdr>
            <w:top w:val="none" w:sz="0" w:space="0" w:color="auto"/>
            <w:left w:val="none" w:sz="0" w:space="0" w:color="auto"/>
            <w:bottom w:val="none" w:sz="0" w:space="0" w:color="auto"/>
            <w:right w:val="none" w:sz="0" w:space="0" w:color="auto"/>
          </w:divBdr>
        </w:div>
        <w:div w:id="1350566879">
          <w:marLeft w:val="0"/>
          <w:marRight w:val="0"/>
          <w:marTop w:val="0"/>
          <w:marBottom w:val="101"/>
          <w:divBdr>
            <w:top w:val="none" w:sz="0" w:space="0" w:color="auto"/>
            <w:left w:val="none" w:sz="0" w:space="0" w:color="auto"/>
            <w:bottom w:val="none" w:sz="0" w:space="0" w:color="auto"/>
            <w:right w:val="none" w:sz="0" w:space="0" w:color="auto"/>
          </w:divBdr>
        </w:div>
        <w:div w:id="2147161168">
          <w:marLeft w:val="0"/>
          <w:marRight w:val="0"/>
          <w:marTop w:val="0"/>
          <w:marBottom w:val="101"/>
          <w:divBdr>
            <w:top w:val="none" w:sz="0" w:space="0" w:color="auto"/>
            <w:left w:val="none" w:sz="0" w:space="0" w:color="auto"/>
            <w:bottom w:val="none" w:sz="0" w:space="0" w:color="auto"/>
            <w:right w:val="none" w:sz="0" w:space="0" w:color="auto"/>
          </w:divBdr>
        </w:div>
        <w:div w:id="1355502919">
          <w:marLeft w:val="0"/>
          <w:marRight w:val="0"/>
          <w:marTop w:val="0"/>
          <w:marBottom w:val="101"/>
          <w:divBdr>
            <w:top w:val="none" w:sz="0" w:space="0" w:color="auto"/>
            <w:left w:val="none" w:sz="0" w:space="0" w:color="auto"/>
            <w:bottom w:val="none" w:sz="0" w:space="0" w:color="auto"/>
            <w:right w:val="none" w:sz="0" w:space="0" w:color="auto"/>
          </w:divBdr>
        </w:div>
        <w:div w:id="525339081">
          <w:marLeft w:val="0"/>
          <w:marRight w:val="0"/>
          <w:marTop w:val="0"/>
          <w:marBottom w:val="101"/>
          <w:divBdr>
            <w:top w:val="none" w:sz="0" w:space="0" w:color="auto"/>
            <w:left w:val="none" w:sz="0" w:space="0" w:color="auto"/>
            <w:bottom w:val="none" w:sz="0" w:space="0" w:color="auto"/>
            <w:right w:val="none" w:sz="0" w:space="0" w:color="auto"/>
          </w:divBdr>
        </w:div>
        <w:div w:id="1648168122">
          <w:marLeft w:val="0"/>
          <w:marRight w:val="0"/>
          <w:marTop w:val="0"/>
          <w:marBottom w:val="101"/>
          <w:divBdr>
            <w:top w:val="none" w:sz="0" w:space="0" w:color="auto"/>
            <w:left w:val="none" w:sz="0" w:space="0" w:color="auto"/>
            <w:bottom w:val="none" w:sz="0" w:space="0" w:color="auto"/>
            <w:right w:val="none" w:sz="0" w:space="0" w:color="auto"/>
          </w:divBdr>
        </w:div>
        <w:div w:id="1206484896">
          <w:marLeft w:val="0"/>
          <w:marRight w:val="0"/>
          <w:marTop w:val="0"/>
          <w:marBottom w:val="101"/>
          <w:divBdr>
            <w:top w:val="none" w:sz="0" w:space="0" w:color="auto"/>
            <w:left w:val="none" w:sz="0" w:space="0" w:color="auto"/>
            <w:bottom w:val="none" w:sz="0" w:space="0" w:color="auto"/>
            <w:right w:val="none" w:sz="0" w:space="0" w:color="auto"/>
          </w:divBdr>
        </w:div>
        <w:div w:id="1006640891">
          <w:marLeft w:val="1080"/>
          <w:marRight w:val="0"/>
          <w:marTop w:val="0"/>
          <w:marBottom w:val="101"/>
          <w:divBdr>
            <w:top w:val="none" w:sz="0" w:space="0" w:color="auto"/>
            <w:left w:val="none" w:sz="0" w:space="0" w:color="auto"/>
            <w:bottom w:val="none" w:sz="0" w:space="0" w:color="auto"/>
            <w:right w:val="none" w:sz="0" w:space="0" w:color="auto"/>
          </w:divBdr>
        </w:div>
        <w:div w:id="248194725">
          <w:marLeft w:val="1080"/>
          <w:marRight w:val="0"/>
          <w:marTop w:val="0"/>
          <w:marBottom w:val="101"/>
          <w:divBdr>
            <w:top w:val="none" w:sz="0" w:space="0" w:color="auto"/>
            <w:left w:val="none" w:sz="0" w:space="0" w:color="auto"/>
            <w:bottom w:val="none" w:sz="0" w:space="0" w:color="auto"/>
            <w:right w:val="none" w:sz="0" w:space="0" w:color="auto"/>
          </w:divBdr>
        </w:div>
        <w:div w:id="203718377">
          <w:marLeft w:val="1080"/>
          <w:marRight w:val="0"/>
          <w:marTop w:val="0"/>
          <w:marBottom w:val="101"/>
          <w:divBdr>
            <w:top w:val="none" w:sz="0" w:space="0" w:color="auto"/>
            <w:left w:val="none" w:sz="0" w:space="0" w:color="auto"/>
            <w:bottom w:val="none" w:sz="0" w:space="0" w:color="auto"/>
            <w:right w:val="none" w:sz="0" w:space="0" w:color="auto"/>
          </w:divBdr>
        </w:div>
        <w:div w:id="1427964347">
          <w:marLeft w:val="0"/>
          <w:marRight w:val="0"/>
          <w:marTop w:val="0"/>
          <w:marBottom w:val="101"/>
          <w:divBdr>
            <w:top w:val="none" w:sz="0" w:space="0" w:color="auto"/>
            <w:left w:val="none" w:sz="0" w:space="0" w:color="auto"/>
            <w:bottom w:val="none" w:sz="0" w:space="0" w:color="auto"/>
            <w:right w:val="none" w:sz="0" w:space="0" w:color="auto"/>
          </w:divBdr>
        </w:div>
        <w:div w:id="1522932306">
          <w:marLeft w:val="0"/>
          <w:marRight w:val="0"/>
          <w:marTop w:val="0"/>
          <w:marBottom w:val="101"/>
          <w:divBdr>
            <w:top w:val="none" w:sz="0" w:space="0" w:color="auto"/>
            <w:left w:val="none" w:sz="0" w:space="0" w:color="auto"/>
            <w:bottom w:val="none" w:sz="0" w:space="0" w:color="auto"/>
            <w:right w:val="none" w:sz="0" w:space="0" w:color="auto"/>
          </w:divBdr>
        </w:div>
        <w:div w:id="1366564101">
          <w:marLeft w:val="0"/>
          <w:marRight w:val="0"/>
          <w:marTop w:val="0"/>
          <w:marBottom w:val="101"/>
          <w:divBdr>
            <w:top w:val="none" w:sz="0" w:space="0" w:color="auto"/>
            <w:left w:val="none" w:sz="0" w:space="0" w:color="auto"/>
            <w:bottom w:val="none" w:sz="0" w:space="0" w:color="auto"/>
            <w:right w:val="none" w:sz="0" w:space="0" w:color="auto"/>
          </w:divBdr>
        </w:div>
        <w:div w:id="1336692197">
          <w:marLeft w:val="0"/>
          <w:marRight w:val="0"/>
          <w:marTop w:val="0"/>
          <w:marBottom w:val="101"/>
          <w:divBdr>
            <w:top w:val="none" w:sz="0" w:space="0" w:color="auto"/>
            <w:left w:val="none" w:sz="0" w:space="0" w:color="auto"/>
            <w:bottom w:val="none" w:sz="0" w:space="0" w:color="auto"/>
            <w:right w:val="none" w:sz="0" w:space="0" w:color="auto"/>
          </w:divBdr>
        </w:div>
        <w:div w:id="1813057520">
          <w:marLeft w:val="0"/>
          <w:marRight w:val="0"/>
          <w:marTop w:val="0"/>
          <w:marBottom w:val="101"/>
          <w:divBdr>
            <w:top w:val="none" w:sz="0" w:space="0" w:color="auto"/>
            <w:left w:val="none" w:sz="0" w:space="0" w:color="auto"/>
            <w:bottom w:val="none" w:sz="0" w:space="0" w:color="auto"/>
            <w:right w:val="none" w:sz="0" w:space="0" w:color="auto"/>
          </w:divBdr>
        </w:div>
        <w:div w:id="2098552310">
          <w:marLeft w:val="1080"/>
          <w:marRight w:val="0"/>
          <w:marTop w:val="0"/>
          <w:marBottom w:val="101"/>
          <w:divBdr>
            <w:top w:val="none" w:sz="0" w:space="0" w:color="auto"/>
            <w:left w:val="none" w:sz="0" w:space="0" w:color="auto"/>
            <w:bottom w:val="none" w:sz="0" w:space="0" w:color="auto"/>
            <w:right w:val="none" w:sz="0" w:space="0" w:color="auto"/>
          </w:divBdr>
        </w:div>
        <w:div w:id="1186870036">
          <w:marLeft w:val="1080"/>
          <w:marRight w:val="0"/>
          <w:marTop w:val="0"/>
          <w:marBottom w:val="101"/>
          <w:divBdr>
            <w:top w:val="none" w:sz="0" w:space="0" w:color="auto"/>
            <w:left w:val="none" w:sz="0" w:space="0" w:color="auto"/>
            <w:bottom w:val="none" w:sz="0" w:space="0" w:color="auto"/>
            <w:right w:val="none" w:sz="0" w:space="0" w:color="auto"/>
          </w:divBdr>
        </w:div>
        <w:div w:id="801264338">
          <w:marLeft w:val="1080"/>
          <w:marRight w:val="0"/>
          <w:marTop w:val="0"/>
          <w:marBottom w:val="101"/>
          <w:divBdr>
            <w:top w:val="none" w:sz="0" w:space="0" w:color="auto"/>
            <w:left w:val="none" w:sz="0" w:space="0" w:color="auto"/>
            <w:bottom w:val="none" w:sz="0" w:space="0" w:color="auto"/>
            <w:right w:val="none" w:sz="0" w:space="0" w:color="auto"/>
          </w:divBdr>
        </w:div>
        <w:div w:id="1588541354">
          <w:marLeft w:val="1080"/>
          <w:marRight w:val="0"/>
          <w:marTop w:val="0"/>
          <w:marBottom w:val="101"/>
          <w:divBdr>
            <w:top w:val="none" w:sz="0" w:space="0" w:color="auto"/>
            <w:left w:val="none" w:sz="0" w:space="0" w:color="auto"/>
            <w:bottom w:val="none" w:sz="0" w:space="0" w:color="auto"/>
            <w:right w:val="none" w:sz="0" w:space="0" w:color="auto"/>
          </w:divBdr>
        </w:div>
        <w:div w:id="345210434">
          <w:marLeft w:val="0"/>
          <w:marRight w:val="0"/>
          <w:marTop w:val="0"/>
          <w:marBottom w:val="101"/>
          <w:divBdr>
            <w:top w:val="none" w:sz="0" w:space="0" w:color="auto"/>
            <w:left w:val="none" w:sz="0" w:space="0" w:color="auto"/>
            <w:bottom w:val="none" w:sz="0" w:space="0" w:color="auto"/>
            <w:right w:val="none" w:sz="0" w:space="0" w:color="auto"/>
          </w:divBdr>
        </w:div>
        <w:div w:id="1529752709">
          <w:marLeft w:val="0"/>
          <w:marRight w:val="0"/>
          <w:marTop w:val="0"/>
          <w:marBottom w:val="101"/>
          <w:divBdr>
            <w:top w:val="none" w:sz="0" w:space="0" w:color="auto"/>
            <w:left w:val="none" w:sz="0" w:space="0" w:color="auto"/>
            <w:bottom w:val="none" w:sz="0" w:space="0" w:color="auto"/>
            <w:right w:val="none" w:sz="0" w:space="0" w:color="auto"/>
          </w:divBdr>
        </w:div>
        <w:div w:id="2015378212">
          <w:marLeft w:val="0"/>
          <w:marRight w:val="0"/>
          <w:marTop w:val="0"/>
          <w:marBottom w:val="101"/>
          <w:divBdr>
            <w:top w:val="none" w:sz="0" w:space="0" w:color="auto"/>
            <w:left w:val="none" w:sz="0" w:space="0" w:color="auto"/>
            <w:bottom w:val="none" w:sz="0" w:space="0" w:color="auto"/>
            <w:right w:val="none" w:sz="0" w:space="0" w:color="auto"/>
          </w:divBdr>
        </w:div>
        <w:div w:id="1633751850">
          <w:marLeft w:val="1080"/>
          <w:marRight w:val="0"/>
          <w:marTop w:val="0"/>
          <w:marBottom w:val="101"/>
          <w:divBdr>
            <w:top w:val="none" w:sz="0" w:space="0" w:color="auto"/>
            <w:left w:val="none" w:sz="0" w:space="0" w:color="auto"/>
            <w:bottom w:val="none" w:sz="0" w:space="0" w:color="auto"/>
            <w:right w:val="none" w:sz="0" w:space="0" w:color="auto"/>
          </w:divBdr>
        </w:div>
        <w:div w:id="1375807716">
          <w:marLeft w:val="1080"/>
          <w:marRight w:val="0"/>
          <w:marTop w:val="0"/>
          <w:marBottom w:val="101"/>
          <w:divBdr>
            <w:top w:val="none" w:sz="0" w:space="0" w:color="auto"/>
            <w:left w:val="none" w:sz="0" w:space="0" w:color="auto"/>
            <w:bottom w:val="none" w:sz="0" w:space="0" w:color="auto"/>
            <w:right w:val="none" w:sz="0" w:space="0" w:color="auto"/>
          </w:divBdr>
        </w:div>
        <w:div w:id="1075057608">
          <w:marLeft w:val="0"/>
          <w:marRight w:val="0"/>
          <w:marTop w:val="0"/>
          <w:marBottom w:val="101"/>
          <w:divBdr>
            <w:top w:val="none" w:sz="0" w:space="0" w:color="auto"/>
            <w:left w:val="none" w:sz="0" w:space="0" w:color="auto"/>
            <w:bottom w:val="none" w:sz="0" w:space="0" w:color="auto"/>
            <w:right w:val="none" w:sz="0" w:space="0" w:color="auto"/>
          </w:divBdr>
        </w:div>
        <w:div w:id="1877770188">
          <w:marLeft w:val="0"/>
          <w:marRight w:val="0"/>
          <w:marTop w:val="0"/>
          <w:marBottom w:val="101"/>
          <w:divBdr>
            <w:top w:val="none" w:sz="0" w:space="0" w:color="auto"/>
            <w:left w:val="none" w:sz="0" w:space="0" w:color="auto"/>
            <w:bottom w:val="none" w:sz="0" w:space="0" w:color="auto"/>
            <w:right w:val="none" w:sz="0" w:space="0" w:color="auto"/>
          </w:divBdr>
        </w:div>
        <w:div w:id="1503013694">
          <w:marLeft w:val="0"/>
          <w:marRight w:val="0"/>
          <w:marTop w:val="0"/>
          <w:marBottom w:val="101"/>
          <w:divBdr>
            <w:top w:val="none" w:sz="0" w:space="0" w:color="auto"/>
            <w:left w:val="none" w:sz="0" w:space="0" w:color="auto"/>
            <w:bottom w:val="none" w:sz="0" w:space="0" w:color="auto"/>
            <w:right w:val="none" w:sz="0" w:space="0" w:color="auto"/>
          </w:divBdr>
        </w:div>
        <w:div w:id="2144079902">
          <w:marLeft w:val="1080"/>
          <w:marRight w:val="0"/>
          <w:marTop w:val="0"/>
          <w:marBottom w:val="101"/>
          <w:divBdr>
            <w:top w:val="none" w:sz="0" w:space="0" w:color="auto"/>
            <w:left w:val="none" w:sz="0" w:space="0" w:color="auto"/>
            <w:bottom w:val="none" w:sz="0" w:space="0" w:color="auto"/>
            <w:right w:val="none" w:sz="0" w:space="0" w:color="auto"/>
          </w:divBdr>
        </w:div>
        <w:div w:id="1618296764">
          <w:marLeft w:val="1080"/>
          <w:marRight w:val="0"/>
          <w:marTop w:val="0"/>
          <w:marBottom w:val="101"/>
          <w:divBdr>
            <w:top w:val="none" w:sz="0" w:space="0" w:color="auto"/>
            <w:left w:val="none" w:sz="0" w:space="0" w:color="auto"/>
            <w:bottom w:val="none" w:sz="0" w:space="0" w:color="auto"/>
            <w:right w:val="none" w:sz="0" w:space="0" w:color="auto"/>
          </w:divBdr>
        </w:div>
        <w:div w:id="597176470">
          <w:marLeft w:val="1080"/>
          <w:marRight w:val="0"/>
          <w:marTop w:val="0"/>
          <w:marBottom w:val="101"/>
          <w:divBdr>
            <w:top w:val="none" w:sz="0" w:space="0" w:color="auto"/>
            <w:left w:val="none" w:sz="0" w:space="0" w:color="auto"/>
            <w:bottom w:val="none" w:sz="0" w:space="0" w:color="auto"/>
            <w:right w:val="none" w:sz="0" w:space="0" w:color="auto"/>
          </w:divBdr>
        </w:div>
        <w:div w:id="292295570">
          <w:marLeft w:val="1080"/>
          <w:marRight w:val="0"/>
          <w:marTop w:val="0"/>
          <w:marBottom w:val="101"/>
          <w:divBdr>
            <w:top w:val="none" w:sz="0" w:space="0" w:color="auto"/>
            <w:left w:val="none" w:sz="0" w:space="0" w:color="auto"/>
            <w:bottom w:val="none" w:sz="0" w:space="0" w:color="auto"/>
            <w:right w:val="none" w:sz="0" w:space="0" w:color="auto"/>
          </w:divBdr>
        </w:div>
        <w:div w:id="1558542400">
          <w:marLeft w:val="0"/>
          <w:marRight w:val="0"/>
          <w:marTop w:val="0"/>
          <w:marBottom w:val="101"/>
          <w:divBdr>
            <w:top w:val="none" w:sz="0" w:space="0" w:color="auto"/>
            <w:left w:val="none" w:sz="0" w:space="0" w:color="auto"/>
            <w:bottom w:val="none" w:sz="0" w:space="0" w:color="auto"/>
            <w:right w:val="none" w:sz="0" w:space="0" w:color="auto"/>
          </w:divBdr>
        </w:div>
        <w:div w:id="1633516884">
          <w:marLeft w:val="0"/>
          <w:marRight w:val="0"/>
          <w:marTop w:val="0"/>
          <w:marBottom w:val="101"/>
          <w:divBdr>
            <w:top w:val="none" w:sz="0" w:space="0" w:color="auto"/>
            <w:left w:val="none" w:sz="0" w:space="0" w:color="auto"/>
            <w:bottom w:val="none" w:sz="0" w:space="0" w:color="auto"/>
            <w:right w:val="none" w:sz="0" w:space="0" w:color="auto"/>
          </w:divBdr>
        </w:div>
        <w:div w:id="883370138">
          <w:marLeft w:val="0"/>
          <w:marRight w:val="0"/>
          <w:marTop w:val="0"/>
          <w:marBottom w:val="101"/>
          <w:divBdr>
            <w:top w:val="none" w:sz="0" w:space="0" w:color="auto"/>
            <w:left w:val="none" w:sz="0" w:space="0" w:color="auto"/>
            <w:bottom w:val="none" w:sz="0" w:space="0" w:color="auto"/>
            <w:right w:val="none" w:sz="0" w:space="0" w:color="auto"/>
          </w:divBdr>
        </w:div>
        <w:div w:id="743572857">
          <w:marLeft w:val="0"/>
          <w:marRight w:val="0"/>
          <w:marTop w:val="0"/>
          <w:marBottom w:val="101"/>
          <w:divBdr>
            <w:top w:val="none" w:sz="0" w:space="0" w:color="auto"/>
            <w:left w:val="none" w:sz="0" w:space="0" w:color="auto"/>
            <w:bottom w:val="none" w:sz="0" w:space="0" w:color="auto"/>
            <w:right w:val="none" w:sz="0" w:space="0" w:color="auto"/>
          </w:divBdr>
        </w:div>
        <w:div w:id="64453348">
          <w:marLeft w:val="1080"/>
          <w:marRight w:val="0"/>
          <w:marTop w:val="0"/>
          <w:marBottom w:val="101"/>
          <w:divBdr>
            <w:top w:val="none" w:sz="0" w:space="0" w:color="auto"/>
            <w:left w:val="none" w:sz="0" w:space="0" w:color="auto"/>
            <w:bottom w:val="none" w:sz="0" w:space="0" w:color="auto"/>
            <w:right w:val="none" w:sz="0" w:space="0" w:color="auto"/>
          </w:divBdr>
        </w:div>
        <w:div w:id="401104559">
          <w:marLeft w:val="1080"/>
          <w:marRight w:val="0"/>
          <w:marTop w:val="0"/>
          <w:marBottom w:val="101"/>
          <w:divBdr>
            <w:top w:val="none" w:sz="0" w:space="0" w:color="auto"/>
            <w:left w:val="none" w:sz="0" w:space="0" w:color="auto"/>
            <w:bottom w:val="none" w:sz="0" w:space="0" w:color="auto"/>
            <w:right w:val="none" w:sz="0" w:space="0" w:color="auto"/>
          </w:divBdr>
        </w:div>
        <w:div w:id="2070763474">
          <w:marLeft w:val="0"/>
          <w:marRight w:val="0"/>
          <w:marTop w:val="0"/>
          <w:marBottom w:val="101"/>
          <w:divBdr>
            <w:top w:val="none" w:sz="0" w:space="0" w:color="auto"/>
            <w:left w:val="none" w:sz="0" w:space="0" w:color="auto"/>
            <w:bottom w:val="none" w:sz="0" w:space="0" w:color="auto"/>
            <w:right w:val="none" w:sz="0" w:space="0" w:color="auto"/>
          </w:divBdr>
        </w:div>
        <w:div w:id="701247262">
          <w:marLeft w:val="0"/>
          <w:marRight w:val="0"/>
          <w:marTop w:val="0"/>
          <w:marBottom w:val="101"/>
          <w:divBdr>
            <w:top w:val="none" w:sz="0" w:space="0" w:color="auto"/>
            <w:left w:val="none" w:sz="0" w:space="0" w:color="auto"/>
            <w:bottom w:val="none" w:sz="0" w:space="0" w:color="auto"/>
            <w:right w:val="none" w:sz="0" w:space="0" w:color="auto"/>
          </w:divBdr>
        </w:div>
        <w:div w:id="684984688">
          <w:marLeft w:val="0"/>
          <w:marRight w:val="0"/>
          <w:marTop w:val="0"/>
          <w:marBottom w:val="101"/>
          <w:divBdr>
            <w:top w:val="none" w:sz="0" w:space="0" w:color="auto"/>
            <w:left w:val="none" w:sz="0" w:space="0" w:color="auto"/>
            <w:bottom w:val="none" w:sz="0" w:space="0" w:color="auto"/>
            <w:right w:val="none" w:sz="0" w:space="0" w:color="auto"/>
          </w:divBdr>
        </w:div>
        <w:div w:id="706953730">
          <w:marLeft w:val="0"/>
          <w:marRight w:val="0"/>
          <w:marTop w:val="0"/>
          <w:marBottom w:val="101"/>
          <w:divBdr>
            <w:top w:val="none" w:sz="0" w:space="0" w:color="auto"/>
            <w:left w:val="none" w:sz="0" w:space="0" w:color="auto"/>
            <w:bottom w:val="none" w:sz="0" w:space="0" w:color="auto"/>
            <w:right w:val="none" w:sz="0" w:space="0" w:color="auto"/>
          </w:divBdr>
        </w:div>
        <w:div w:id="1470511814">
          <w:marLeft w:val="0"/>
          <w:marRight w:val="0"/>
          <w:marTop w:val="0"/>
          <w:marBottom w:val="101"/>
          <w:divBdr>
            <w:top w:val="none" w:sz="0" w:space="0" w:color="auto"/>
            <w:left w:val="none" w:sz="0" w:space="0" w:color="auto"/>
            <w:bottom w:val="none" w:sz="0" w:space="0" w:color="auto"/>
            <w:right w:val="none" w:sz="0" w:space="0" w:color="auto"/>
          </w:divBdr>
        </w:div>
        <w:div w:id="1480075761">
          <w:marLeft w:val="0"/>
          <w:marRight w:val="0"/>
          <w:marTop w:val="0"/>
          <w:marBottom w:val="101"/>
          <w:divBdr>
            <w:top w:val="none" w:sz="0" w:space="0" w:color="auto"/>
            <w:left w:val="none" w:sz="0" w:space="0" w:color="auto"/>
            <w:bottom w:val="none" w:sz="0" w:space="0" w:color="auto"/>
            <w:right w:val="none" w:sz="0" w:space="0" w:color="auto"/>
          </w:divBdr>
        </w:div>
        <w:div w:id="598177995">
          <w:marLeft w:val="0"/>
          <w:marRight w:val="0"/>
          <w:marTop w:val="0"/>
          <w:marBottom w:val="101"/>
          <w:divBdr>
            <w:top w:val="none" w:sz="0" w:space="0" w:color="auto"/>
            <w:left w:val="none" w:sz="0" w:space="0" w:color="auto"/>
            <w:bottom w:val="none" w:sz="0" w:space="0" w:color="auto"/>
            <w:right w:val="none" w:sz="0" w:space="0" w:color="auto"/>
          </w:divBdr>
        </w:div>
        <w:div w:id="904726634">
          <w:marLeft w:val="1080"/>
          <w:marRight w:val="0"/>
          <w:marTop w:val="0"/>
          <w:marBottom w:val="101"/>
          <w:divBdr>
            <w:top w:val="none" w:sz="0" w:space="0" w:color="auto"/>
            <w:left w:val="none" w:sz="0" w:space="0" w:color="auto"/>
            <w:bottom w:val="none" w:sz="0" w:space="0" w:color="auto"/>
            <w:right w:val="none" w:sz="0" w:space="0" w:color="auto"/>
          </w:divBdr>
        </w:div>
        <w:div w:id="1660887577">
          <w:marLeft w:val="1080"/>
          <w:marRight w:val="0"/>
          <w:marTop w:val="0"/>
          <w:marBottom w:val="101"/>
          <w:divBdr>
            <w:top w:val="none" w:sz="0" w:space="0" w:color="auto"/>
            <w:left w:val="none" w:sz="0" w:space="0" w:color="auto"/>
            <w:bottom w:val="none" w:sz="0" w:space="0" w:color="auto"/>
            <w:right w:val="none" w:sz="0" w:space="0" w:color="auto"/>
          </w:divBdr>
        </w:div>
        <w:div w:id="419565012">
          <w:marLeft w:val="1080"/>
          <w:marRight w:val="0"/>
          <w:marTop w:val="0"/>
          <w:marBottom w:val="101"/>
          <w:divBdr>
            <w:top w:val="none" w:sz="0" w:space="0" w:color="auto"/>
            <w:left w:val="none" w:sz="0" w:space="0" w:color="auto"/>
            <w:bottom w:val="none" w:sz="0" w:space="0" w:color="auto"/>
            <w:right w:val="none" w:sz="0" w:space="0" w:color="auto"/>
          </w:divBdr>
        </w:div>
        <w:div w:id="280383148">
          <w:marLeft w:val="1080"/>
          <w:marRight w:val="0"/>
          <w:marTop w:val="0"/>
          <w:marBottom w:val="101"/>
          <w:divBdr>
            <w:top w:val="none" w:sz="0" w:space="0" w:color="auto"/>
            <w:left w:val="none" w:sz="0" w:space="0" w:color="auto"/>
            <w:bottom w:val="none" w:sz="0" w:space="0" w:color="auto"/>
            <w:right w:val="none" w:sz="0" w:space="0" w:color="auto"/>
          </w:divBdr>
        </w:div>
        <w:div w:id="1294940629">
          <w:marLeft w:val="1080"/>
          <w:marRight w:val="0"/>
          <w:marTop w:val="0"/>
          <w:marBottom w:val="101"/>
          <w:divBdr>
            <w:top w:val="none" w:sz="0" w:space="0" w:color="auto"/>
            <w:left w:val="none" w:sz="0" w:space="0" w:color="auto"/>
            <w:bottom w:val="none" w:sz="0" w:space="0" w:color="auto"/>
            <w:right w:val="none" w:sz="0" w:space="0" w:color="auto"/>
          </w:divBdr>
        </w:div>
        <w:div w:id="1042247925">
          <w:marLeft w:val="1080"/>
          <w:marRight w:val="0"/>
          <w:marTop w:val="0"/>
          <w:marBottom w:val="101"/>
          <w:divBdr>
            <w:top w:val="none" w:sz="0" w:space="0" w:color="auto"/>
            <w:left w:val="none" w:sz="0" w:space="0" w:color="auto"/>
            <w:bottom w:val="none" w:sz="0" w:space="0" w:color="auto"/>
            <w:right w:val="none" w:sz="0" w:space="0" w:color="auto"/>
          </w:divBdr>
        </w:div>
        <w:div w:id="265189510">
          <w:marLeft w:val="0"/>
          <w:marRight w:val="0"/>
          <w:marTop w:val="0"/>
          <w:marBottom w:val="101"/>
          <w:divBdr>
            <w:top w:val="none" w:sz="0" w:space="0" w:color="auto"/>
            <w:left w:val="none" w:sz="0" w:space="0" w:color="auto"/>
            <w:bottom w:val="none" w:sz="0" w:space="0" w:color="auto"/>
            <w:right w:val="none" w:sz="0" w:space="0" w:color="auto"/>
          </w:divBdr>
        </w:div>
        <w:div w:id="1339426423">
          <w:marLeft w:val="1440"/>
          <w:marRight w:val="0"/>
          <w:marTop w:val="0"/>
          <w:marBottom w:val="101"/>
          <w:divBdr>
            <w:top w:val="none" w:sz="0" w:space="0" w:color="auto"/>
            <w:left w:val="none" w:sz="0" w:space="0" w:color="auto"/>
            <w:bottom w:val="none" w:sz="0" w:space="0" w:color="auto"/>
            <w:right w:val="none" w:sz="0" w:space="0" w:color="auto"/>
          </w:divBdr>
        </w:div>
        <w:div w:id="223764091">
          <w:marLeft w:val="1440"/>
          <w:marRight w:val="0"/>
          <w:marTop w:val="0"/>
          <w:marBottom w:val="101"/>
          <w:divBdr>
            <w:top w:val="none" w:sz="0" w:space="0" w:color="auto"/>
            <w:left w:val="none" w:sz="0" w:space="0" w:color="auto"/>
            <w:bottom w:val="none" w:sz="0" w:space="0" w:color="auto"/>
            <w:right w:val="none" w:sz="0" w:space="0" w:color="auto"/>
          </w:divBdr>
        </w:div>
        <w:div w:id="699471771">
          <w:marLeft w:val="0"/>
          <w:marRight w:val="0"/>
          <w:marTop w:val="0"/>
          <w:marBottom w:val="101"/>
          <w:divBdr>
            <w:top w:val="none" w:sz="0" w:space="0" w:color="auto"/>
            <w:left w:val="none" w:sz="0" w:space="0" w:color="auto"/>
            <w:bottom w:val="none" w:sz="0" w:space="0" w:color="auto"/>
            <w:right w:val="none" w:sz="0" w:space="0" w:color="auto"/>
          </w:divBdr>
        </w:div>
        <w:div w:id="377822368">
          <w:marLeft w:val="1440"/>
          <w:marRight w:val="0"/>
          <w:marTop w:val="0"/>
          <w:marBottom w:val="101"/>
          <w:divBdr>
            <w:top w:val="none" w:sz="0" w:space="0" w:color="auto"/>
            <w:left w:val="none" w:sz="0" w:space="0" w:color="auto"/>
            <w:bottom w:val="none" w:sz="0" w:space="0" w:color="auto"/>
            <w:right w:val="none" w:sz="0" w:space="0" w:color="auto"/>
          </w:divBdr>
        </w:div>
        <w:div w:id="604725459">
          <w:marLeft w:val="1440"/>
          <w:marRight w:val="0"/>
          <w:marTop w:val="0"/>
          <w:marBottom w:val="101"/>
          <w:divBdr>
            <w:top w:val="none" w:sz="0" w:space="0" w:color="auto"/>
            <w:left w:val="none" w:sz="0" w:space="0" w:color="auto"/>
            <w:bottom w:val="none" w:sz="0" w:space="0" w:color="auto"/>
            <w:right w:val="none" w:sz="0" w:space="0" w:color="auto"/>
          </w:divBdr>
        </w:div>
        <w:div w:id="708575475">
          <w:marLeft w:val="0"/>
          <w:marRight w:val="0"/>
          <w:marTop w:val="0"/>
          <w:marBottom w:val="101"/>
          <w:divBdr>
            <w:top w:val="none" w:sz="0" w:space="0" w:color="auto"/>
            <w:left w:val="none" w:sz="0" w:space="0" w:color="auto"/>
            <w:bottom w:val="none" w:sz="0" w:space="0" w:color="auto"/>
            <w:right w:val="none" w:sz="0" w:space="0" w:color="auto"/>
          </w:divBdr>
        </w:div>
        <w:div w:id="1665013651">
          <w:marLeft w:val="0"/>
          <w:marRight w:val="0"/>
          <w:marTop w:val="0"/>
          <w:marBottom w:val="101"/>
          <w:divBdr>
            <w:top w:val="none" w:sz="0" w:space="0" w:color="auto"/>
            <w:left w:val="none" w:sz="0" w:space="0" w:color="auto"/>
            <w:bottom w:val="none" w:sz="0" w:space="0" w:color="auto"/>
            <w:right w:val="none" w:sz="0" w:space="0" w:color="auto"/>
          </w:divBdr>
        </w:div>
        <w:div w:id="1698382519">
          <w:marLeft w:val="0"/>
          <w:marRight w:val="0"/>
          <w:marTop w:val="0"/>
          <w:marBottom w:val="101"/>
          <w:divBdr>
            <w:top w:val="none" w:sz="0" w:space="0" w:color="auto"/>
            <w:left w:val="none" w:sz="0" w:space="0" w:color="auto"/>
            <w:bottom w:val="none" w:sz="0" w:space="0" w:color="auto"/>
            <w:right w:val="none" w:sz="0" w:space="0" w:color="auto"/>
          </w:divBdr>
        </w:div>
        <w:div w:id="93061813">
          <w:marLeft w:val="0"/>
          <w:marRight w:val="0"/>
          <w:marTop w:val="0"/>
          <w:marBottom w:val="101"/>
          <w:divBdr>
            <w:top w:val="none" w:sz="0" w:space="0" w:color="auto"/>
            <w:left w:val="none" w:sz="0" w:space="0" w:color="auto"/>
            <w:bottom w:val="none" w:sz="0" w:space="0" w:color="auto"/>
            <w:right w:val="none" w:sz="0" w:space="0" w:color="auto"/>
          </w:divBdr>
        </w:div>
        <w:div w:id="1823885829">
          <w:marLeft w:val="0"/>
          <w:marRight w:val="0"/>
          <w:marTop w:val="0"/>
          <w:marBottom w:val="101"/>
          <w:divBdr>
            <w:top w:val="none" w:sz="0" w:space="0" w:color="auto"/>
            <w:left w:val="none" w:sz="0" w:space="0" w:color="auto"/>
            <w:bottom w:val="none" w:sz="0" w:space="0" w:color="auto"/>
            <w:right w:val="none" w:sz="0" w:space="0" w:color="auto"/>
          </w:divBdr>
        </w:div>
        <w:div w:id="1251044064">
          <w:marLeft w:val="0"/>
          <w:marRight w:val="0"/>
          <w:marTop w:val="0"/>
          <w:marBottom w:val="101"/>
          <w:divBdr>
            <w:top w:val="none" w:sz="0" w:space="0" w:color="auto"/>
            <w:left w:val="none" w:sz="0" w:space="0" w:color="auto"/>
            <w:bottom w:val="none" w:sz="0" w:space="0" w:color="auto"/>
            <w:right w:val="none" w:sz="0" w:space="0" w:color="auto"/>
          </w:divBdr>
        </w:div>
        <w:div w:id="776367521">
          <w:marLeft w:val="0"/>
          <w:marRight w:val="0"/>
          <w:marTop w:val="0"/>
          <w:marBottom w:val="101"/>
          <w:divBdr>
            <w:top w:val="none" w:sz="0" w:space="0" w:color="auto"/>
            <w:left w:val="none" w:sz="0" w:space="0" w:color="auto"/>
            <w:bottom w:val="none" w:sz="0" w:space="0" w:color="auto"/>
            <w:right w:val="none" w:sz="0" w:space="0" w:color="auto"/>
          </w:divBdr>
        </w:div>
        <w:div w:id="1434746076">
          <w:marLeft w:val="0"/>
          <w:marRight w:val="0"/>
          <w:marTop w:val="0"/>
          <w:marBottom w:val="101"/>
          <w:divBdr>
            <w:top w:val="none" w:sz="0" w:space="0" w:color="auto"/>
            <w:left w:val="none" w:sz="0" w:space="0" w:color="auto"/>
            <w:bottom w:val="none" w:sz="0" w:space="0" w:color="auto"/>
            <w:right w:val="none" w:sz="0" w:space="0" w:color="auto"/>
          </w:divBdr>
        </w:div>
        <w:div w:id="636495669">
          <w:marLeft w:val="0"/>
          <w:marRight w:val="0"/>
          <w:marTop w:val="0"/>
          <w:marBottom w:val="101"/>
          <w:divBdr>
            <w:top w:val="none" w:sz="0" w:space="0" w:color="auto"/>
            <w:left w:val="none" w:sz="0" w:space="0" w:color="auto"/>
            <w:bottom w:val="none" w:sz="0" w:space="0" w:color="auto"/>
            <w:right w:val="none" w:sz="0" w:space="0" w:color="auto"/>
          </w:divBdr>
        </w:div>
        <w:div w:id="715785595">
          <w:marLeft w:val="1080"/>
          <w:marRight w:val="0"/>
          <w:marTop w:val="0"/>
          <w:marBottom w:val="101"/>
          <w:divBdr>
            <w:top w:val="none" w:sz="0" w:space="0" w:color="auto"/>
            <w:left w:val="none" w:sz="0" w:space="0" w:color="auto"/>
            <w:bottom w:val="none" w:sz="0" w:space="0" w:color="auto"/>
            <w:right w:val="none" w:sz="0" w:space="0" w:color="auto"/>
          </w:divBdr>
        </w:div>
        <w:div w:id="1174031679">
          <w:marLeft w:val="1080"/>
          <w:marRight w:val="0"/>
          <w:marTop w:val="0"/>
          <w:marBottom w:val="101"/>
          <w:divBdr>
            <w:top w:val="none" w:sz="0" w:space="0" w:color="auto"/>
            <w:left w:val="none" w:sz="0" w:space="0" w:color="auto"/>
            <w:bottom w:val="none" w:sz="0" w:space="0" w:color="auto"/>
            <w:right w:val="none" w:sz="0" w:space="0" w:color="auto"/>
          </w:divBdr>
        </w:div>
        <w:div w:id="96024495">
          <w:marLeft w:val="1080"/>
          <w:marRight w:val="0"/>
          <w:marTop w:val="0"/>
          <w:marBottom w:val="101"/>
          <w:divBdr>
            <w:top w:val="none" w:sz="0" w:space="0" w:color="auto"/>
            <w:left w:val="none" w:sz="0" w:space="0" w:color="auto"/>
            <w:bottom w:val="none" w:sz="0" w:space="0" w:color="auto"/>
            <w:right w:val="none" w:sz="0" w:space="0" w:color="auto"/>
          </w:divBdr>
        </w:div>
        <w:div w:id="1325400741">
          <w:marLeft w:val="1080"/>
          <w:marRight w:val="0"/>
          <w:marTop w:val="0"/>
          <w:marBottom w:val="101"/>
          <w:divBdr>
            <w:top w:val="none" w:sz="0" w:space="0" w:color="auto"/>
            <w:left w:val="none" w:sz="0" w:space="0" w:color="auto"/>
            <w:bottom w:val="none" w:sz="0" w:space="0" w:color="auto"/>
            <w:right w:val="none" w:sz="0" w:space="0" w:color="auto"/>
          </w:divBdr>
        </w:div>
        <w:div w:id="1936203834">
          <w:marLeft w:val="0"/>
          <w:marRight w:val="0"/>
          <w:marTop w:val="0"/>
          <w:marBottom w:val="101"/>
          <w:divBdr>
            <w:top w:val="none" w:sz="0" w:space="0" w:color="auto"/>
            <w:left w:val="none" w:sz="0" w:space="0" w:color="auto"/>
            <w:bottom w:val="none" w:sz="0" w:space="0" w:color="auto"/>
            <w:right w:val="none" w:sz="0" w:space="0" w:color="auto"/>
          </w:divBdr>
        </w:div>
        <w:div w:id="1427457780">
          <w:marLeft w:val="0"/>
          <w:marRight w:val="0"/>
          <w:marTop w:val="0"/>
          <w:marBottom w:val="101"/>
          <w:divBdr>
            <w:top w:val="none" w:sz="0" w:space="0" w:color="auto"/>
            <w:left w:val="none" w:sz="0" w:space="0" w:color="auto"/>
            <w:bottom w:val="none" w:sz="0" w:space="0" w:color="auto"/>
            <w:right w:val="none" w:sz="0" w:space="0" w:color="auto"/>
          </w:divBdr>
        </w:div>
        <w:div w:id="338511166">
          <w:marLeft w:val="1080"/>
          <w:marRight w:val="0"/>
          <w:marTop w:val="0"/>
          <w:marBottom w:val="101"/>
          <w:divBdr>
            <w:top w:val="none" w:sz="0" w:space="0" w:color="auto"/>
            <w:left w:val="none" w:sz="0" w:space="0" w:color="auto"/>
            <w:bottom w:val="none" w:sz="0" w:space="0" w:color="auto"/>
            <w:right w:val="none" w:sz="0" w:space="0" w:color="auto"/>
          </w:divBdr>
        </w:div>
        <w:div w:id="1780565138">
          <w:marLeft w:val="1080"/>
          <w:marRight w:val="0"/>
          <w:marTop w:val="0"/>
          <w:marBottom w:val="101"/>
          <w:divBdr>
            <w:top w:val="none" w:sz="0" w:space="0" w:color="auto"/>
            <w:left w:val="none" w:sz="0" w:space="0" w:color="auto"/>
            <w:bottom w:val="none" w:sz="0" w:space="0" w:color="auto"/>
            <w:right w:val="none" w:sz="0" w:space="0" w:color="auto"/>
          </w:divBdr>
        </w:div>
        <w:div w:id="630138611">
          <w:marLeft w:val="0"/>
          <w:marRight w:val="0"/>
          <w:marTop w:val="0"/>
          <w:marBottom w:val="101"/>
          <w:divBdr>
            <w:top w:val="none" w:sz="0" w:space="0" w:color="auto"/>
            <w:left w:val="none" w:sz="0" w:space="0" w:color="auto"/>
            <w:bottom w:val="none" w:sz="0" w:space="0" w:color="auto"/>
            <w:right w:val="none" w:sz="0" w:space="0" w:color="auto"/>
          </w:divBdr>
        </w:div>
        <w:div w:id="1477722653">
          <w:marLeft w:val="0"/>
          <w:marRight w:val="0"/>
          <w:marTop w:val="0"/>
          <w:marBottom w:val="101"/>
          <w:divBdr>
            <w:top w:val="none" w:sz="0" w:space="0" w:color="auto"/>
            <w:left w:val="none" w:sz="0" w:space="0" w:color="auto"/>
            <w:bottom w:val="none" w:sz="0" w:space="0" w:color="auto"/>
            <w:right w:val="none" w:sz="0" w:space="0" w:color="auto"/>
          </w:divBdr>
        </w:div>
        <w:div w:id="1614633737">
          <w:marLeft w:val="0"/>
          <w:marRight w:val="0"/>
          <w:marTop w:val="0"/>
          <w:marBottom w:val="101"/>
          <w:divBdr>
            <w:top w:val="none" w:sz="0" w:space="0" w:color="auto"/>
            <w:left w:val="none" w:sz="0" w:space="0" w:color="auto"/>
            <w:bottom w:val="none" w:sz="0" w:space="0" w:color="auto"/>
            <w:right w:val="none" w:sz="0" w:space="0" w:color="auto"/>
          </w:divBdr>
        </w:div>
        <w:div w:id="311373117">
          <w:marLeft w:val="0"/>
          <w:marRight w:val="0"/>
          <w:marTop w:val="0"/>
          <w:marBottom w:val="80"/>
          <w:divBdr>
            <w:top w:val="none" w:sz="0" w:space="0" w:color="auto"/>
            <w:left w:val="none" w:sz="0" w:space="0" w:color="auto"/>
            <w:bottom w:val="none" w:sz="0" w:space="0" w:color="auto"/>
            <w:right w:val="none" w:sz="0" w:space="0" w:color="auto"/>
          </w:divBdr>
        </w:div>
        <w:div w:id="293368173">
          <w:marLeft w:val="0"/>
          <w:marRight w:val="0"/>
          <w:marTop w:val="0"/>
          <w:marBottom w:val="80"/>
          <w:divBdr>
            <w:top w:val="none" w:sz="0" w:space="0" w:color="auto"/>
            <w:left w:val="none" w:sz="0" w:space="0" w:color="auto"/>
            <w:bottom w:val="none" w:sz="0" w:space="0" w:color="auto"/>
            <w:right w:val="none" w:sz="0" w:space="0" w:color="auto"/>
          </w:divBdr>
        </w:div>
        <w:div w:id="32772333">
          <w:marLeft w:val="0"/>
          <w:marRight w:val="0"/>
          <w:marTop w:val="0"/>
          <w:marBottom w:val="80"/>
          <w:divBdr>
            <w:top w:val="none" w:sz="0" w:space="0" w:color="auto"/>
            <w:left w:val="none" w:sz="0" w:space="0" w:color="auto"/>
            <w:bottom w:val="none" w:sz="0" w:space="0" w:color="auto"/>
            <w:right w:val="none" w:sz="0" w:space="0" w:color="auto"/>
          </w:divBdr>
        </w:div>
        <w:div w:id="1347247953">
          <w:marLeft w:val="0"/>
          <w:marRight w:val="0"/>
          <w:marTop w:val="0"/>
          <w:marBottom w:val="80"/>
          <w:divBdr>
            <w:top w:val="none" w:sz="0" w:space="0" w:color="auto"/>
            <w:left w:val="none" w:sz="0" w:space="0" w:color="auto"/>
            <w:bottom w:val="none" w:sz="0" w:space="0" w:color="auto"/>
            <w:right w:val="none" w:sz="0" w:space="0" w:color="auto"/>
          </w:divBdr>
        </w:div>
        <w:div w:id="1169249964">
          <w:marLeft w:val="0"/>
          <w:marRight w:val="0"/>
          <w:marTop w:val="0"/>
          <w:marBottom w:val="80"/>
          <w:divBdr>
            <w:top w:val="none" w:sz="0" w:space="0" w:color="auto"/>
            <w:left w:val="none" w:sz="0" w:space="0" w:color="auto"/>
            <w:bottom w:val="none" w:sz="0" w:space="0" w:color="auto"/>
            <w:right w:val="none" w:sz="0" w:space="0" w:color="auto"/>
          </w:divBdr>
        </w:div>
        <w:div w:id="934362323">
          <w:marLeft w:val="0"/>
          <w:marRight w:val="0"/>
          <w:marTop w:val="0"/>
          <w:marBottom w:val="80"/>
          <w:divBdr>
            <w:top w:val="none" w:sz="0" w:space="0" w:color="auto"/>
            <w:left w:val="none" w:sz="0" w:space="0" w:color="auto"/>
            <w:bottom w:val="none" w:sz="0" w:space="0" w:color="auto"/>
            <w:right w:val="none" w:sz="0" w:space="0" w:color="auto"/>
          </w:divBdr>
        </w:div>
        <w:div w:id="318920211">
          <w:marLeft w:val="1080"/>
          <w:marRight w:val="0"/>
          <w:marTop w:val="0"/>
          <w:marBottom w:val="80"/>
          <w:divBdr>
            <w:top w:val="none" w:sz="0" w:space="0" w:color="auto"/>
            <w:left w:val="none" w:sz="0" w:space="0" w:color="auto"/>
            <w:bottom w:val="none" w:sz="0" w:space="0" w:color="auto"/>
            <w:right w:val="none" w:sz="0" w:space="0" w:color="auto"/>
          </w:divBdr>
        </w:div>
        <w:div w:id="866715826">
          <w:marLeft w:val="1080"/>
          <w:marRight w:val="0"/>
          <w:marTop w:val="0"/>
          <w:marBottom w:val="80"/>
          <w:divBdr>
            <w:top w:val="none" w:sz="0" w:space="0" w:color="auto"/>
            <w:left w:val="none" w:sz="0" w:space="0" w:color="auto"/>
            <w:bottom w:val="none" w:sz="0" w:space="0" w:color="auto"/>
            <w:right w:val="none" w:sz="0" w:space="0" w:color="auto"/>
          </w:divBdr>
        </w:div>
        <w:div w:id="631138536">
          <w:marLeft w:val="1080"/>
          <w:marRight w:val="0"/>
          <w:marTop w:val="0"/>
          <w:marBottom w:val="80"/>
          <w:divBdr>
            <w:top w:val="none" w:sz="0" w:space="0" w:color="auto"/>
            <w:left w:val="none" w:sz="0" w:space="0" w:color="auto"/>
            <w:bottom w:val="none" w:sz="0" w:space="0" w:color="auto"/>
            <w:right w:val="none" w:sz="0" w:space="0" w:color="auto"/>
          </w:divBdr>
        </w:div>
        <w:div w:id="772897944">
          <w:marLeft w:val="0"/>
          <w:marRight w:val="0"/>
          <w:marTop w:val="0"/>
          <w:marBottom w:val="80"/>
          <w:divBdr>
            <w:top w:val="none" w:sz="0" w:space="0" w:color="auto"/>
            <w:left w:val="none" w:sz="0" w:space="0" w:color="auto"/>
            <w:bottom w:val="none" w:sz="0" w:space="0" w:color="auto"/>
            <w:right w:val="none" w:sz="0" w:space="0" w:color="auto"/>
          </w:divBdr>
        </w:div>
        <w:div w:id="2065985292">
          <w:marLeft w:val="0"/>
          <w:marRight w:val="0"/>
          <w:marTop w:val="0"/>
          <w:marBottom w:val="80"/>
          <w:divBdr>
            <w:top w:val="none" w:sz="0" w:space="0" w:color="auto"/>
            <w:left w:val="none" w:sz="0" w:space="0" w:color="auto"/>
            <w:bottom w:val="none" w:sz="0" w:space="0" w:color="auto"/>
            <w:right w:val="none" w:sz="0" w:space="0" w:color="auto"/>
          </w:divBdr>
        </w:div>
        <w:div w:id="1033266494">
          <w:marLeft w:val="0"/>
          <w:marRight w:val="0"/>
          <w:marTop w:val="0"/>
          <w:marBottom w:val="80"/>
          <w:divBdr>
            <w:top w:val="none" w:sz="0" w:space="0" w:color="auto"/>
            <w:left w:val="none" w:sz="0" w:space="0" w:color="auto"/>
            <w:bottom w:val="none" w:sz="0" w:space="0" w:color="auto"/>
            <w:right w:val="none" w:sz="0" w:space="0" w:color="auto"/>
          </w:divBdr>
        </w:div>
        <w:div w:id="467404291">
          <w:marLeft w:val="0"/>
          <w:marRight w:val="0"/>
          <w:marTop w:val="0"/>
          <w:marBottom w:val="80"/>
          <w:divBdr>
            <w:top w:val="none" w:sz="0" w:space="0" w:color="auto"/>
            <w:left w:val="none" w:sz="0" w:space="0" w:color="auto"/>
            <w:bottom w:val="none" w:sz="0" w:space="0" w:color="auto"/>
            <w:right w:val="none" w:sz="0" w:space="0" w:color="auto"/>
          </w:divBdr>
        </w:div>
        <w:div w:id="587346036">
          <w:marLeft w:val="0"/>
          <w:marRight w:val="0"/>
          <w:marTop w:val="0"/>
          <w:marBottom w:val="101"/>
          <w:divBdr>
            <w:top w:val="none" w:sz="0" w:space="0" w:color="auto"/>
            <w:left w:val="none" w:sz="0" w:space="0" w:color="auto"/>
            <w:bottom w:val="none" w:sz="0" w:space="0" w:color="auto"/>
            <w:right w:val="none" w:sz="0" w:space="0" w:color="auto"/>
          </w:divBdr>
        </w:div>
        <w:div w:id="1990477933">
          <w:marLeft w:val="0"/>
          <w:marRight w:val="0"/>
          <w:marTop w:val="0"/>
          <w:marBottom w:val="101"/>
          <w:divBdr>
            <w:top w:val="none" w:sz="0" w:space="0" w:color="auto"/>
            <w:left w:val="none" w:sz="0" w:space="0" w:color="auto"/>
            <w:bottom w:val="none" w:sz="0" w:space="0" w:color="auto"/>
            <w:right w:val="none" w:sz="0" w:space="0" w:color="auto"/>
          </w:divBdr>
        </w:div>
        <w:div w:id="326593731">
          <w:marLeft w:val="0"/>
          <w:marRight w:val="0"/>
          <w:marTop w:val="0"/>
          <w:marBottom w:val="101"/>
          <w:divBdr>
            <w:top w:val="none" w:sz="0" w:space="0" w:color="auto"/>
            <w:left w:val="none" w:sz="0" w:space="0" w:color="auto"/>
            <w:bottom w:val="none" w:sz="0" w:space="0" w:color="auto"/>
            <w:right w:val="none" w:sz="0" w:space="0" w:color="auto"/>
          </w:divBdr>
        </w:div>
        <w:div w:id="776405794">
          <w:marLeft w:val="0"/>
          <w:marRight w:val="0"/>
          <w:marTop w:val="0"/>
          <w:marBottom w:val="101"/>
          <w:divBdr>
            <w:top w:val="none" w:sz="0" w:space="0" w:color="auto"/>
            <w:left w:val="none" w:sz="0" w:space="0" w:color="auto"/>
            <w:bottom w:val="none" w:sz="0" w:space="0" w:color="auto"/>
            <w:right w:val="none" w:sz="0" w:space="0" w:color="auto"/>
          </w:divBdr>
        </w:div>
        <w:div w:id="1217815563">
          <w:marLeft w:val="1080"/>
          <w:marRight w:val="0"/>
          <w:marTop w:val="0"/>
          <w:marBottom w:val="101"/>
          <w:divBdr>
            <w:top w:val="none" w:sz="0" w:space="0" w:color="auto"/>
            <w:left w:val="none" w:sz="0" w:space="0" w:color="auto"/>
            <w:bottom w:val="none" w:sz="0" w:space="0" w:color="auto"/>
            <w:right w:val="none" w:sz="0" w:space="0" w:color="auto"/>
          </w:divBdr>
        </w:div>
        <w:div w:id="413285304">
          <w:marLeft w:val="1080"/>
          <w:marRight w:val="0"/>
          <w:marTop w:val="0"/>
          <w:marBottom w:val="101"/>
          <w:divBdr>
            <w:top w:val="none" w:sz="0" w:space="0" w:color="auto"/>
            <w:left w:val="none" w:sz="0" w:space="0" w:color="auto"/>
            <w:bottom w:val="none" w:sz="0" w:space="0" w:color="auto"/>
            <w:right w:val="none" w:sz="0" w:space="0" w:color="auto"/>
          </w:divBdr>
        </w:div>
        <w:div w:id="245193754">
          <w:marLeft w:val="1080"/>
          <w:marRight w:val="0"/>
          <w:marTop w:val="0"/>
          <w:marBottom w:val="101"/>
          <w:divBdr>
            <w:top w:val="none" w:sz="0" w:space="0" w:color="auto"/>
            <w:left w:val="none" w:sz="0" w:space="0" w:color="auto"/>
            <w:bottom w:val="none" w:sz="0" w:space="0" w:color="auto"/>
            <w:right w:val="none" w:sz="0" w:space="0" w:color="auto"/>
          </w:divBdr>
        </w:div>
        <w:div w:id="1808236511">
          <w:marLeft w:val="1080"/>
          <w:marRight w:val="0"/>
          <w:marTop w:val="0"/>
          <w:marBottom w:val="101"/>
          <w:divBdr>
            <w:top w:val="none" w:sz="0" w:space="0" w:color="auto"/>
            <w:left w:val="none" w:sz="0" w:space="0" w:color="auto"/>
            <w:bottom w:val="none" w:sz="0" w:space="0" w:color="auto"/>
            <w:right w:val="none" w:sz="0" w:space="0" w:color="auto"/>
          </w:divBdr>
        </w:div>
        <w:div w:id="932006343">
          <w:marLeft w:val="0"/>
          <w:marRight w:val="0"/>
          <w:marTop w:val="0"/>
          <w:marBottom w:val="101"/>
          <w:divBdr>
            <w:top w:val="none" w:sz="0" w:space="0" w:color="auto"/>
            <w:left w:val="none" w:sz="0" w:space="0" w:color="auto"/>
            <w:bottom w:val="none" w:sz="0" w:space="0" w:color="auto"/>
            <w:right w:val="none" w:sz="0" w:space="0" w:color="auto"/>
          </w:divBdr>
        </w:div>
        <w:div w:id="1959556630">
          <w:marLeft w:val="1440"/>
          <w:marRight w:val="0"/>
          <w:marTop w:val="0"/>
          <w:marBottom w:val="101"/>
          <w:divBdr>
            <w:top w:val="none" w:sz="0" w:space="0" w:color="auto"/>
            <w:left w:val="none" w:sz="0" w:space="0" w:color="auto"/>
            <w:bottom w:val="none" w:sz="0" w:space="0" w:color="auto"/>
            <w:right w:val="none" w:sz="0" w:space="0" w:color="auto"/>
          </w:divBdr>
        </w:div>
        <w:div w:id="1255818677">
          <w:marLeft w:val="1440"/>
          <w:marRight w:val="0"/>
          <w:marTop w:val="0"/>
          <w:marBottom w:val="101"/>
          <w:divBdr>
            <w:top w:val="none" w:sz="0" w:space="0" w:color="auto"/>
            <w:left w:val="none" w:sz="0" w:space="0" w:color="auto"/>
            <w:bottom w:val="none" w:sz="0" w:space="0" w:color="auto"/>
            <w:right w:val="none" w:sz="0" w:space="0" w:color="auto"/>
          </w:divBdr>
        </w:div>
        <w:div w:id="1582332536">
          <w:marLeft w:val="0"/>
          <w:marRight w:val="0"/>
          <w:marTop w:val="0"/>
          <w:marBottom w:val="101"/>
          <w:divBdr>
            <w:top w:val="none" w:sz="0" w:space="0" w:color="auto"/>
            <w:left w:val="none" w:sz="0" w:space="0" w:color="auto"/>
            <w:bottom w:val="none" w:sz="0" w:space="0" w:color="auto"/>
            <w:right w:val="none" w:sz="0" w:space="0" w:color="auto"/>
          </w:divBdr>
        </w:div>
        <w:div w:id="1759863836">
          <w:marLeft w:val="0"/>
          <w:marRight w:val="0"/>
          <w:marTop w:val="0"/>
          <w:marBottom w:val="101"/>
          <w:divBdr>
            <w:top w:val="none" w:sz="0" w:space="0" w:color="auto"/>
            <w:left w:val="none" w:sz="0" w:space="0" w:color="auto"/>
            <w:bottom w:val="none" w:sz="0" w:space="0" w:color="auto"/>
            <w:right w:val="none" w:sz="0" w:space="0" w:color="auto"/>
          </w:divBdr>
        </w:div>
        <w:div w:id="957101836">
          <w:marLeft w:val="1080"/>
          <w:marRight w:val="0"/>
          <w:marTop w:val="0"/>
          <w:marBottom w:val="101"/>
          <w:divBdr>
            <w:top w:val="none" w:sz="0" w:space="0" w:color="auto"/>
            <w:left w:val="none" w:sz="0" w:space="0" w:color="auto"/>
            <w:bottom w:val="none" w:sz="0" w:space="0" w:color="auto"/>
            <w:right w:val="none" w:sz="0" w:space="0" w:color="auto"/>
          </w:divBdr>
        </w:div>
        <w:div w:id="1454128981">
          <w:marLeft w:val="1080"/>
          <w:marRight w:val="0"/>
          <w:marTop w:val="0"/>
          <w:marBottom w:val="101"/>
          <w:divBdr>
            <w:top w:val="none" w:sz="0" w:space="0" w:color="auto"/>
            <w:left w:val="none" w:sz="0" w:space="0" w:color="auto"/>
            <w:bottom w:val="none" w:sz="0" w:space="0" w:color="auto"/>
            <w:right w:val="none" w:sz="0" w:space="0" w:color="auto"/>
          </w:divBdr>
        </w:div>
        <w:div w:id="778373580">
          <w:marLeft w:val="0"/>
          <w:marRight w:val="0"/>
          <w:marTop w:val="0"/>
          <w:marBottom w:val="101"/>
          <w:divBdr>
            <w:top w:val="none" w:sz="0" w:space="0" w:color="auto"/>
            <w:left w:val="none" w:sz="0" w:space="0" w:color="auto"/>
            <w:bottom w:val="none" w:sz="0" w:space="0" w:color="auto"/>
            <w:right w:val="none" w:sz="0" w:space="0" w:color="auto"/>
          </w:divBdr>
        </w:div>
        <w:div w:id="1892422901">
          <w:marLeft w:val="0"/>
          <w:marRight w:val="0"/>
          <w:marTop w:val="0"/>
          <w:marBottom w:val="101"/>
          <w:divBdr>
            <w:top w:val="none" w:sz="0" w:space="0" w:color="auto"/>
            <w:left w:val="none" w:sz="0" w:space="0" w:color="auto"/>
            <w:bottom w:val="none" w:sz="0" w:space="0" w:color="auto"/>
            <w:right w:val="none" w:sz="0" w:space="0" w:color="auto"/>
          </w:divBdr>
        </w:div>
        <w:div w:id="273438834">
          <w:marLeft w:val="0"/>
          <w:marRight w:val="0"/>
          <w:marTop w:val="0"/>
          <w:marBottom w:val="101"/>
          <w:divBdr>
            <w:top w:val="none" w:sz="0" w:space="0" w:color="auto"/>
            <w:left w:val="none" w:sz="0" w:space="0" w:color="auto"/>
            <w:bottom w:val="none" w:sz="0" w:space="0" w:color="auto"/>
            <w:right w:val="none" w:sz="0" w:space="0" w:color="auto"/>
          </w:divBdr>
        </w:div>
        <w:div w:id="865293416">
          <w:marLeft w:val="1080"/>
          <w:marRight w:val="0"/>
          <w:marTop w:val="0"/>
          <w:marBottom w:val="101"/>
          <w:divBdr>
            <w:top w:val="none" w:sz="0" w:space="0" w:color="auto"/>
            <w:left w:val="none" w:sz="0" w:space="0" w:color="auto"/>
            <w:bottom w:val="none" w:sz="0" w:space="0" w:color="auto"/>
            <w:right w:val="none" w:sz="0" w:space="0" w:color="auto"/>
          </w:divBdr>
        </w:div>
        <w:div w:id="693112531">
          <w:marLeft w:val="1080"/>
          <w:marRight w:val="0"/>
          <w:marTop w:val="0"/>
          <w:marBottom w:val="101"/>
          <w:divBdr>
            <w:top w:val="none" w:sz="0" w:space="0" w:color="auto"/>
            <w:left w:val="none" w:sz="0" w:space="0" w:color="auto"/>
            <w:bottom w:val="none" w:sz="0" w:space="0" w:color="auto"/>
            <w:right w:val="none" w:sz="0" w:space="0" w:color="auto"/>
          </w:divBdr>
        </w:div>
        <w:div w:id="871386121">
          <w:marLeft w:val="1080"/>
          <w:marRight w:val="0"/>
          <w:marTop w:val="0"/>
          <w:marBottom w:val="101"/>
          <w:divBdr>
            <w:top w:val="none" w:sz="0" w:space="0" w:color="auto"/>
            <w:left w:val="none" w:sz="0" w:space="0" w:color="auto"/>
            <w:bottom w:val="none" w:sz="0" w:space="0" w:color="auto"/>
            <w:right w:val="none" w:sz="0" w:space="0" w:color="auto"/>
          </w:divBdr>
        </w:div>
        <w:div w:id="243032575">
          <w:marLeft w:val="0"/>
          <w:marRight w:val="0"/>
          <w:marTop w:val="0"/>
          <w:marBottom w:val="101"/>
          <w:divBdr>
            <w:top w:val="none" w:sz="0" w:space="0" w:color="auto"/>
            <w:left w:val="none" w:sz="0" w:space="0" w:color="auto"/>
            <w:bottom w:val="none" w:sz="0" w:space="0" w:color="auto"/>
            <w:right w:val="none" w:sz="0" w:space="0" w:color="auto"/>
          </w:divBdr>
        </w:div>
        <w:div w:id="616722184">
          <w:marLeft w:val="0"/>
          <w:marRight w:val="0"/>
          <w:marTop w:val="0"/>
          <w:marBottom w:val="101"/>
          <w:divBdr>
            <w:top w:val="none" w:sz="0" w:space="0" w:color="auto"/>
            <w:left w:val="none" w:sz="0" w:space="0" w:color="auto"/>
            <w:bottom w:val="none" w:sz="0" w:space="0" w:color="auto"/>
            <w:right w:val="none" w:sz="0" w:space="0" w:color="auto"/>
          </w:divBdr>
        </w:div>
        <w:div w:id="837385499">
          <w:marLeft w:val="0"/>
          <w:marRight w:val="0"/>
          <w:marTop w:val="0"/>
          <w:marBottom w:val="101"/>
          <w:divBdr>
            <w:top w:val="none" w:sz="0" w:space="0" w:color="auto"/>
            <w:left w:val="none" w:sz="0" w:space="0" w:color="auto"/>
            <w:bottom w:val="none" w:sz="0" w:space="0" w:color="auto"/>
            <w:right w:val="none" w:sz="0" w:space="0" w:color="auto"/>
          </w:divBdr>
        </w:div>
        <w:div w:id="514077685">
          <w:marLeft w:val="0"/>
          <w:marRight w:val="0"/>
          <w:marTop w:val="0"/>
          <w:marBottom w:val="101"/>
          <w:divBdr>
            <w:top w:val="none" w:sz="0" w:space="0" w:color="auto"/>
            <w:left w:val="none" w:sz="0" w:space="0" w:color="auto"/>
            <w:bottom w:val="none" w:sz="0" w:space="0" w:color="auto"/>
            <w:right w:val="none" w:sz="0" w:space="0" w:color="auto"/>
          </w:divBdr>
        </w:div>
        <w:div w:id="1276984858">
          <w:marLeft w:val="0"/>
          <w:marRight w:val="0"/>
          <w:marTop w:val="0"/>
          <w:marBottom w:val="101"/>
          <w:divBdr>
            <w:top w:val="none" w:sz="0" w:space="0" w:color="auto"/>
            <w:left w:val="none" w:sz="0" w:space="0" w:color="auto"/>
            <w:bottom w:val="none" w:sz="0" w:space="0" w:color="auto"/>
            <w:right w:val="none" w:sz="0" w:space="0" w:color="auto"/>
          </w:divBdr>
        </w:div>
        <w:div w:id="23756438">
          <w:marLeft w:val="0"/>
          <w:marRight w:val="0"/>
          <w:marTop w:val="0"/>
          <w:marBottom w:val="101"/>
          <w:divBdr>
            <w:top w:val="none" w:sz="0" w:space="0" w:color="auto"/>
            <w:left w:val="none" w:sz="0" w:space="0" w:color="auto"/>
            <w:bottom w:val="none" w:sz="0" w:space="0" w:color="auto"/>
            <w:right w:val="none" w:sz="0" w:space="0" w:color="auto"/>
          </w:divBdr>
        </w:div>
        <w:div w:id="1784762399">
          <w:marLeft w:val="0"/>
          <w:marRight w:val="0"/>
          <w:marTop w:val="0"/>
          <w:marBottom w:val="101"/>
          <w:divBdr>
            <w:top w:val="none" w:sz="0" w:space="0" w:color="auto"/>
            <w:left w:val="none" w:sz="0" w:space="0" w:color="auto"/>
            <w:bottom w:val="none" w:sz="0" w:space="0" w:color="auto"/>
            <w:right w:val="none" w:sz="0" w:space="0" w:color="auto"/>
          </w:divBdr>
        </w:div>
        <w:div w:id="1392849922">
          <w:marLeft w:val="0"/>
          <w:marRight w:val="0"/>
          <w:marTop w:val="0"/>
          <w:marBottom w:val="101"/>
          <w:divBdr>
            <w:top w:val="none" w:sz="0" w:space="0" w:color="auto"/>
            <w:left w:val="none" w:sz="0" w:space="0" w:color="auto"/>
            <w:bottom w:val="none" w:sz="0" w:space="0" w:color="auto"/>
            <w:right w:val="none" w:sz="0" w:space="0" w:color="auto"/>
          </w:divBdr>
        </w:div>
        <w:div w:id="1507597283">
          <w:marLeft w:val="0"/>
          <w:marRight w:val="0"/>
          <w:marTop w:val="0"/>
          <w:marBottom w:val="101"/>
          <w:divBdr>
            <w:top w:val="none" w:sz="0" w:space="0" w:color="auto"/>
            <w:left w:val="none" w:sz="0" w:space="0" w:color="auto"/>
            <w:bottom w:val="none" w:sz="0" w:space="0" w:color="auto"/>
            <w:right w:val="none" w:sz="0" w:space="0" w:color="auto"/>
          </w:divBdr>
        </w:div>
        <w:div w:id="1814906106">
          <w:marLeft w:val="0"/>
          <w:marRight w:val="0"/>
          <w:marTop w:val="0"/>
          <w:marBottom w:val="101"/>
          <w:divBdr>
            <w:top w:val="none" w:sz="0" w:space="0" w:color="auto"/>
            <w:left w:val="none" w:sz="0" w:space="0" w:color="auto"/>
            <w:bottom w:val="none" w:sz="0" w:space="0" w:color="auto"/>
            <w:right w:val="none" w:sz="0" w:space="0" w:color="auto"/>
          </w:divBdr>
        </w:div>
        <w:div w:id="1151942894">
          <w:marLeft w:val="0"/>
          <w:marRight w:val="0"/>
          <w:marTop w:val="0"/>
          <w:marBottom w:val="101"/>
          <w:divBdr>
            <w:top w:val="none" w:sz="0" w:space="0" w:color="auto"/>
            <w:left w:val="none" w:sz="0" w:space="0" w:color="auto"/>
            <w:bottom w:val="none" w:sz="0" w:space="0" w:color="auto"/>
            <w:right w:val="none" w:sz="0" w:space="0" w:color="auto"/>
          </w:divBdr>
        </w:div>
        <w:div w:id="1950238424">
          <w:marLeft w:val="0"/>
          <w:marRight w:val="0"/>
          <w:marTop w:val="0"/>
          <w:marBottom w:val="101"/>
          <w:divBdr>
            <w:top w:val="none" w:sz="0" w:space="0" w:color="auto"/>
            <w:left w:val="none" w:sz="0" w:space="0" w:color="auto"/>
            <w:bottom w:val="none" w:sz="0" w:space="0" w:color="auto"/>
            <w:right w:val="none" w:sz="0" w:space="0" w:color="auto"/>
          </w:divBdr>
        </w:div>
        <w:div w:id="2046633697">
          <w:marLeft w:val="0"/>
          <w:marRight w:val="0"/>
          <w:marTop w:val="0"/>
          <w:marBottom w:val="101"/>
          <w:divBdr>
            <w:top w:val="none" w:sz="0" w:space="0" w:color="auto"/>
            <w:left w:val="none" w:sz="0" w:space="0" w:color="auto"/>
            <w:bottom w:val="none" w:sz="0" w:space="0" w:color="auto"/>
            <w:right w:val="none" w:sz="0" w:space="0" w:color="auto"/>
          </w:divBdr>
        </w:div>
        <w:div w:id="283772155">
          <w:marLeft w:val="0"/>
          <w:marRight w:val="0"/>
          <w:marTop w:val="0"/>
          <w:marBottom w:val="101"/>
          <w:divBdr>
            <w:top w:val="none" w:sz="0" w:space="0" w:color="auto"/>
            <w:left w:val="none" w:sz="0" w:space="0" w:color="auto"/>
            <w:bottom w:val="none" w:sz="0" w:space="0" w:color="auto"/>
            <w:right w:val="none" w:sz="0" w:space="0" w:color="auto"/>
          </w:divBdr>
        </w:div>
        <w:div w:id="521015388">
          <w:marLeft w:val="0"/>
          <w:marRight w:val="0"/>
          <w:marTop w:val="0"/>
          <w:marBottom w:val="101"/>
          <w:divBdr>
            <w:top w:val="none" w:sz="0" w:space="0" w:color="auto"/>
            <w:left w:val="none" w:sz="0" w:space="0" w:color="auto"/>
            <w:bottom w:val="none" w:sz="0" w:space="0" w:color="auto"/>
            <w:right w:val="none" w:sz="0" w:space="0" w:color="auto"/>
          </w:divBdr>
        </w:div>
        <w:div w:id="710613665">
          <w:marLeft w:val="0"/>
          <w:marRight w:val="0"/>
          <w:marTop w:val="0"/>
          <w:marBottom w:val="101"/>
          <w:divBdr>
            <w:top w:val="none" w:sz="0" w:space="0" w:color="auto"/>
            <w:left w:val="none" w:sz="0" w:space="0" w:color="auto"/>
            <w:bottom w:val="none" w:sz="0" w:space="0" w:color="auto"/>
            <w:right w:val="none" w:sz="0" w:space="0" w:color="auto"/>
          </w:divBdr>
        </w:div>
        <w:div w:id="279840771">
          <w:marLeft w:val="1080"/>
          <w:marRight w:val="0"/>
          <w:marTop w:val="0"/>
          <w:marBottom w:val="101"/>
          <w:divBdr>
            <w:top w:val="none" w:sz="0" w:space="0" w:color="auto"/>
            <w:left w:val="none" w:sz="0" w:space="0" w:color="auto"/>
            <w:bottom w:val="none" w:sz="0" w:space="0" w:color="auto"/>
            <w:right w:val="none" w:sz="0" w:space="0" w:color="auto"/>
          </w:divBdr>
        </w:div>
        <w:div w:id="1388453302">
          <w:marLeft w:val="1080"/>
          <w:marRight w:val="0"/>
          <w:marTop w:val="0"/>
          <w:marBottom w:val="101"/>
          <w:divBdr>
            <w:top w:val="none" w:sz="0" w:space="0" w:color="auto"/>
            <w:left w:val="none" w:sz="0" w:space="0" w:color="auto"/>
            <w:bottom w:val="none" w:sz="0" w:space="0" w:color="auto"/>
            <w:right w:val="none" w:sz="0" w:space="0" w:color="auto"/>
          </w:divBdr>
        </w:div>
        <w:div w:id="1755710628">
          <w:marLeft w:val="1080"/>
          <w:marRight w:val="0"/>
          <w:marTop w:val="0"/>
          <w:marBottom w:val="101"/>
          <w:divBdr>
            <w:top w:val="none" w:sz="0" w:space="0" w:color="auto"/>
            <w:left w:val="none" w:sz="0" w:space="0" w:color="auto"/>
            <w:bottom w:val="none" w:sz="0" w:space="0" w:color="auto"/>
            <w:right w:val="none" w:sz="0" w:space="0" w:color="auto"/>
          </w:divBdr>
        </w:div>
        <w:div w:id="476608510">
          <w:marLeft w:val="0"/>
          <w:marRight w:val="0"/>
          <w:marTop w:val="0"/>
          <w:marBottom w:val="80"/>
          <w:divBdr>
            <w:top w:val="none" w:sz="0" w:space="0" w:color="auto"/>
            <w:left w:val="none" w:sz="0" w:space="0" w:color="auto"/>
            <w:bottom w:val="none" w:sz="0" w:space="0" w:color="auto"/>
            <w:right w:val="none" w:sz="0" w:space="0" w:color="auto"/>
          </w:divBdr>
        </w:div>
        <w:div w:id="1975016682">
          <w:marLeft w:val="0"/>
          <w:marRight w:val="0"/>
          <w:marTop w:val="0"/>
          <w:marBottom w:val="80"/>
          <w:divBdr>
            <w:top w:val="none" w:sz="0" w:space="0" w:color="auto"/>
            <w:left w:val="none" w:sz="0" w:space="0" w:color="auto"/>
            <w:bottom w:val="none" w:sz="0" w:space="0" w:color="auto"/>
            <w:right w:val="none" w:sz="0" w:space="0" w:color="auto"/>
          </w:divBdr>
        </w:div>
        <w:div w:id="818771291">
          <w:marLeft w:val="0"/>
          <w:marRight w:val="0"/>
          <w:marTop w:val="0"/>
          <w:marBottom w:val="80"/>
          <w:divBdr>
            <w:top w:val="none" w:sz="0" w:space="0" w:color="auto"/>
            <w:left w:val="none" w:sz="0" w:space="0" w:color="auto"/>
            <w:bottom w:val="none" w:sz="0" w:space="0" w:color="auto"/>
            <w:right w:val="none" w:sz="0" w:space="0" w:color="auto"/>
          </w:divBdr>
        </w:div>
        <w:div w:id="1165970996">
          <w:marLeft w:val="1080"/>
          <w:marRight w:val="0"/>
          <w:marTop w:val="0"/>
          <w:marBottom w:val="80"/>
          <w:divBdr>
            <w:top w:val="none" w:sz="0" w:space="0" w:color="auto"/>
            <w:left w:val="none" w:sz="0" w:space="0" w:color="auto"/>
            <w:bottom w:val="none" w:sz="0" w:space="0" w:color="auto"/>
            <w:right w:val="none" w:sz="0" w:space="0" w:color="auto"/>
          </w:divBdr>
        </w:div>
        <w:div w:id="1288973063">
          <w:marLeft w:val="1080"/>
          <w:marRight w:val="0"/>
          <w:marTop w:val="0"/>
          <w:marBottom w:val="80"/>
          <w:divBdr>
            <w:top w:val="none" w:sz="0" w:space="0" w:color="auto"/>
            <w:left w:val="none" w:sz="0" w:space="0" w:color="auto"/>
            <w:bottom w:val="none" w:sz="0" w:space="0" w:color="auto"/>
            <w:right w:val="none" w:sz="0" w:space="0" w:color="auto"/>
          </w:divBdr>
        </w:div>
        <w:div w:id="1279138857">
          <w:marLeft w:val="1080"/>
          <w:marRight w:val="0"/>
          <w:marTop w:val="0"/>
          <w:marBottom w:val="80"/>
          <w:divBdr>
            <w:top w:val="none" w:sz="0" w:space="0" w:color="auto"/>
            <w:left w:val="none" w:sz="0" w:space="0" w:color="auto"/>
            <w:bottom w:val="none" w:sz="0" w:space="0" w:color="auto"/>
            <w:right w:val="none" w:sz="0" w:space="0" w:color="auto"/>
          </w:divBdr>
        </w:div>
        <w:div w:id="1490828968">
          <w:marLeft w:val="0"/>
          <w:marRight w:val="0"/>
          <w:marTop w:val="0"/>
          <w:marBottom w:val="80"/>
          <w:divBdr>
            <w:top w:val="none" w:sz="0" w:space="0" w:color="auto"/>
            <w:left w:val="none" w:sz="0" w:space="0" w:color="auto"/>
            <w:bottom w:val="none" w:sz="0" w:space="0" w:color="auto"/>
            <w:right w:val="none" w:sz="0" w:space="0" w:color="auto"/>
          </w:divBdr>
        </w:div>
        <w:div w:id="1390810682">
          <w:marLeft w:val="0"/>
          <w:marRight w:val="0"/>
          <w:marTop w:val="0"/>
          <w:marBottom w:val="80"/>
          <w:divBdr>
            <w:top w:val="none" w:sz="0" w:space="0" w:color="auto"/>
            <w:left w:val="none" w:sz="0" w:space="0" w:color="auto"/>
            <w:bottom w:val="none" w:sz="0" w:space="0" w:color="auto"/>
            <w:right w:val="none" w:sz="0" w:space="0" w:color="auto"/>
          </w:divBdr>
        </w:div>
        <w:div w:id="756487889">
          <w:marLeft w:val="0"/>
          <w:marRight w:val="0"/>
          <w:marTop w:val="0"/>
          <w:marBottom w:val="80"/>
          <w:divBdr>
            <w:top w:val="none" w:sz="0" w:space="0" w:color="auto"/>
            <w:left w:val="none" w:sz="0" w:space="0" w:color="auto"/>
            <w:bottom w:val="none" w:sz="0" w:space="0" w:color="auto"/>
            <w:right w:val="none" w:sz="0" w:space="0" w:color="auto"/>
          </w:divBdr>
        </w:div>
        <w:div w:id="1895773385">
          <w:marLeft w:val="0"/>
          <w:marRight w:val="0"/>
          <w:marTop w:val="0"/>
          <w:marBottom w:val="80"/>
          <w:divBdr>
            <w:top w:val="none" w:sz="0" w:space="0" w:color="auto"/>
            <w:left w:val="none" w:sz="0" w:space="0" w:color="auto"/>
            <w:bottom w:val="none" w:sz="0" w:space="0" w:color="auto"/>
            <w:right w:val="none" w:sz="0" w:space="0" w:color="auto"/>
          </w:divBdr>
        </w:div>
        <w:div w:id="137771864">
          <w:marLeft w:val="0"/>
          <w:marRight w:val="0"/>
          <w:marTop w:val="0"/>
          <w:marBottom w:val="80"/>
          <w:divBdr>
            <w:top w:val="none" w:sz="0" w:space="0" w:color="auto"/>
            <w:left w:val="none" w:sz="0" w:space="0" w:color="auto"/>
            <w:bottom w:val="none" w:sz="0" w:space="0" w:color="auto"/>
            <w:right w:val="none" w:sz="0" w:space="0" w:color="auto"/>
          </w:divBdr>
        </w:div>
        <w:div w:id="1174495047">
          <w:marLeft w:val="0"/>
          <w:marRight w:val="0"/>
          <w:marTop w:val="0"/>
          <w:marBottom w:val="80"/>
          <w:divBdr>
            <w:top w:val="none" w:sz="0" w:space="0" w:color="auto"/>
            <w:left w:val="none" w:sz="0" w:space="0" w:color="auto"/>
            <w:bottom w:val="none" w:sz="0" w:space="0" w:color="auto"/>
            <w:right w:val="none" w:sz="0" w:space="0" w:color="auto"/>
          </w:divBdr>
        </w:div>
        <w:div w:id="1333606794">
          <w:marLeft w:val="0"/>
          <w:marRight w:val="0"/>
          <w:marTop w:val="0"/>
          <w:marBottom w:val="80"/>
          <w:divBdr>
            <w:top w:val="none" w:sz="0" w:space="0" w:color="auto"/>
            <w:left w:val="none" w:sz="0" w:space="0" w:color="auto"/>
            <w:bottom w:val="none" w:sz="0" w:space="0" w:color="auto"/>
            <w:right w:val="none" w:sz="0" w:space="0" w:color="auto"/>
          </w:divBdr>
        </w:div>
        <w:div w:id="1826165804">
          <w:marLeft w:val="0"/>
          <w:marRight w:val="0"/>
          <w:marTop w:val="0"/>
          <w:marBottom w:val="80"/>
          <w:divBdr>
            <w:top w:val="none" w:sz="0" w:space="0" w:color="auto"/>
            <w:left w:val="none" w:sz="0" w:space="0" w:color="auto"/>
            <w:bottom w:val="none" w:sz="0" w:space="0" w:color="auto"/>
            <w:right w:val="none" w:sz="0" w:space="0" w:color="auto"/>
          </w:divBdr>
        </w:div>
        <w:div w:id="1866752431">
          <w:marLeft w:val="0"/>
          <w:marRight w:val="0"/>
          <w:marTop w:val="0"/>
          <w:marBottom w:val="80"/>
          <w:divBdr>
            <w:top w:val="none" w:sz="0" w:space="0" w:color="auto"/>
            <w:left w:val="none" w:sz="0" w:space="0" w:color="auto"/>
            <w:bottom w:val="none" w:sz="0" w:space="0" w:color="auto"/>
            <w:right w:val="none" w:sz="0" w:space="0" w:color="auto"/>
          </w:divBdr>
        </w:div>
        <w:div w:id="364135146">
          <w:marLeft w:val="0"/>
          <w:marRight w:val="0"/>
          <w:marTop w:val="0"/>
          <w:marBottom w:val="80"/>
          <w:divBdr>
            <w:top w:val="none" w:sz="0" w:space="0" w:color="auto"/>
            <w:left w:val="none" w:sz="0" w:space="0" w:color="auto"/>
            <w:bottom w:val="none" w:sz="0" w:space="0" w:color="auto"/>
            <w:right w:val="none" w:sz="0" w:space="0" w:color="auto"/>
          </w:divBdr>
        </w:div>
        <w:div w:id="681979900">
          <w:marLeft w:val="0"/>
          <w:marRight w:val="0"/>
          <w:marTop w:val="0"/>
          <w:marBottom w:val="80"/>
          <w:divBdr>
            <w:top w:val="none" w:sz="0" w:space="0" w:color="auto"/>
            <w:left w:val="none" w:sz="0" w:space="0" w:color="auto"/>
            <w:bottom w:val="none" w:sz="0" w:space="0" w:color="auto"/>
            <w:right w:val="none" w:sz="0" w:space="0" w:color="auto"/>
          </w:divBdr>
        </w:div>
        <w:div w:id="1918708920">
          <w:marLeft w:val="0"/>
          <w:marRight w:val="0"/>
          <w:marTop w:val="0"/>
          <w:marBottom w:val="80"/>
          <w:divBdr>
            <w:top w:val="none" w:sz="0" w:space="0" w:color="auto"/>
            <w:left w:val="none" w:sz="0" w:space="0" w:color="auto"/>
            <w:bottom w:val="none" w:sz="0" w:space="0" w:color="auto"/>
            <w:right w:val="none" w:sz="0" w:space="0" w:color="auto"/>
          </w:divBdr>
        </w:div>
        <w:div w:id="898174721">
          <w:marLeft w:val="0"/>
          <w:marRight w:val="0"/>
          <w:marTop w:val="0"/>
          <w:marBottom w:val="80"/>
          <w:divBdr>
            <w:top w:val="none" w:sz="0" w:space="0" w:color="auto"/>
            <w:left w:val="none" w:sz="0" w:space="0" w:color="auto"/>
            <w:bottom w:val="none" w:sz="0" w:space="0" w:color="auto"/>
            <w:right w:val="none" w:sz="0" w:space="0" w:color="auto"/>
          </w:divBdr>
        </w:div>
        <w:div w:id="367071213">
          <w:marLeft w:val="0"/>
          <w:marRight w:val="0"/>
          <w:marTop w:val="0"/>
          <w:marBottom w:val="80"/>
          <w:divBdr>
            <w:top w:val="none" w:sz="0" w:space="0" w:color="auto"/>
            <w:left w:val="none" w:sz="0" w:space="0" w:color="auto"/>
            <w:bottom w:val="none" w:sz="0" w:space="0" w:color="auto"/>
            <w:right w:val="none" w:sz="0" w:space="0" w:color="auto"/>
          </w:divBdr>
        </w:div>
        <w:div w:id="1938631272">
          <w:marLeft w:val="0"/>
          <w:marRight w:val="0"/>
          <w:marTop w:val="0"/>
          <w:marBottom w:val="101"/>
          <w:divBdr>
            <w:top w:val="none" w:sz="0" w:space="0" w:color="auto"/>
            <w:left w:val="none" w:sz="0" w:space="0" w:color="auto"/>
            <w:bottom w:val="none" w:sz="0" w:space="0" w:color="auto"/>
            <w:right w:val="none" w:sz="0" w:space="0" w:color="auto"/>
          </w:divBdr>
        </w:div>
        <w:div w:id="1973827934">
          <w:marLeft w:val="0"/>
          <w:marRight w:val="0"/>
          <w:marTop w:val="0"/>
          <w:marBottom w:val="101"/>
          <w:divBdr>
            <w:top w:val="none" w:sz="0" w:space="0" w:color="auto"/>
            <w:left w:val="none" w:sz="0" w:space="0" w:color="auto"/>
            <w:bottom w:val="none" w:sz="0" w:space="0" w:color="auto"/>
            <w:right w:val="none" w:sz="0" w:space="0" w:color="auto"/>
          </w:divBdr>
        </w:div>
        <w:div w:id="1988239792">
          <w:marLeft w:val="0"/>
          <w:marRight w:val="0"/>
          <w:marTop w:val="0"/>
          <w:marBottom w:val="101"/>
          <w:divBdr>
            <w:top w:val="none" w:sz="0" w:space="0" w:color="auto"/>
            <w:left w:val="none" w:sz="0" w:space="0" w:color="auto"/>
            <w:bottom w:val="none" w:sz="0" w:space="0" w:color="auto"/>
            <w:right w:val="none" w:sz="0" w:space="0" w:color="auto"/>
          </w:divBdr>
        </w:div>
        <w:div w:id="2038381975">
          <w:marLeft w:val="1080"/>
          <w:marRight w:val="0"/>
          <w:marTop w:val="0"/>
          <w:marBottom w:val="101"/>
          <w:divBdr>
            <w:top w:val="none" w:sz="0" w:space="0" w:color="auto"/>
            <w:left w:val="none" w:sz="0" w:space="0" w:color="auto"/>
            <w:bottom w:val="none" w:sz="0" w:space="0" w:color="auto"/>
            <w:right w:val="none" w:sz="0" w:space="0" w:color="auto"/>
          </w:divBdr>
        </w:div>
        <w:div w:id="1497188431">
          <w:marLeft w:val="1080"/>
          <w:marRight w:val="0"/>
          <w:marTop w:val="0"/>
          <w:marBottom w:val="101"/>
          <w:divBdr>
            <w:top w:val="none" w:sz="0" w:space="0" w:color="auto"/>
            <w:left w:val="none" w:sz="0" w:space="0" w:color="auto"/>
            <w:bottom w:val="none" w:sz="0" w:space="0" w:color="auto"/>
            <w:right w:val="none" w:sz="0" w:space="0" w:color="auto"/>
          </w:divBdr>
        </w:div>
        <w:div w:id="635987716">
          <w:marLeft w:val="0"/>
          <w:marRight w:val="0"/>
          <w:marTop w:val="0"/>
          <w:marBottom w:val="101"/>
          <w:divBdr>
            <w:top w:val="none" w:sz="0" w:space="0" w:color="auto"/>
            <w:left w:val="none" w:sz="0" w:space="0" w:color="auto"/>
            <w:bottom w:val="none" w:sz="0" w:space="0" w:color="auto"/>
            <w:right w:val="none" w:sz="0" w:space="0" w:color="auto"/>
          </w:divBdr>
        </w:div>
        <w:div w:id="879167756">
          <w:marLeft w:val="0"/>
          <w:marRight w:val="0"/>
          <w:marTop w:val="0"/>
          <w:marBottom w:val="101"/>
          <w:divBdr>
            <w:top w:val="none" w:sz="0" w:space="0" w:color="auto"/>
            <w:left w:val="none" w:sz="0" w:space="0" w:color="auto"/>
            <w:bottom w:val="none" w:sz="0" w:space="0" w:color="auto"/>
            <w:right w:val="none" w:sz="0" w:space="0" w:color="auto"/>
          </w:divBdr>
        </w:div>
        <w:div w:id="321739594">
          <w:marLeft w:val="0"/>
          <w:marRight w:val="0"/>
          <w:marTop w:val="0"/>
          <w:marBottom w:val="101"/>
          <w:divBdr>
            <w:top w:val="none" w:sz="0" w:space="0" w:color="auto"/>
            <w:left w:val="none" w:sz="0" w:space="0" w:color="auto"/>
            <w:bottom w:val="none" w:sz="0" w:space="0" w:color="auto"/>
            <w:right w:val="none" w:sz="0" w:space="0" w:color="auto"/>
          </w:divBdr>
        </w:div>
        <w:div w:id="1142621389">
          <w:marLeft w:val="0"/>
          <w:marRight w:val="0"/>
          <w:marTop w:val="0"/>
          <w:marBottom w:val="101"/>
          <w:divBdr>
            <w:top w:val="none" w:sz="0" w:space="0" w:color="auto"/>
            <w:left w:val="none" w:sz="0" w:space="0" w:color="auto"/>
            <w:bottom w:val="none" w:sz="0" w:space="0" w:color="auto"/>
            <w:right w:val="none" w:sz="0" w:space="0" w:color="auto"/>
          </w:divBdr>
        </w:div>
        <w:div w:id="1018239974">
          <w:marLeft w:val="0"/>
          <w:marRight w:val="0"/>
          <w:marTop w:val="0"/>
          <w:marBottom w:val="101"/>
          <w:divBdr>
            <w:top w:val="none" w:sz="0" w:space="0" w:color="auto"/>
            <w:left w:val="none" w:sz="0" w:space="0" w:color="auto"/>
            <w:bottom w:val="none" w:sz="0" w:space="0" w:color="auto"/>
            <w:right w:val="none" w:sz="0" w:space="0" w:color="auto"/>
          </w:divBdr>
        </w:div>
        <w:div w:id="1607694943">
          <w:marLeft w:val="0"/>
          <w:marRight w:val="0"/>
          <w:marTop w:val="0"/>
          <w:marBottom w:val="101"/>
          <w:divBdr>
            <w:top w:val="none" w:sz="0" w:space="0" w:color="auto"/>
            <w:left w:val="none" w:sz="0" w:space="0" w:color="auto"/>
            <w:bottom w:val="none" w:sz="0" w:space="0" w:color="auto"/>
            <w:right w:val="none" w:sz="0" w:space="0" w:color="auto"/>
          </w:divBdr>
        </w:div>
        <w:div w:id="1271400654">
          <w:marLeft w:val="0"/>
          <w:marRight w:val="0"/>
          <w:marTop w:val="0"/>
          <w:marBottom w:val="101"/>
          <w:divBdr>
            <w:top w:val="none" w:sz="0" w:space="0" w:color="auto"/>
            <w:left w:val="none" w:sz="0" w:space="0" w:color="auto"/>
            <w:bottom w:val="none" w:sz="0" w:space="0" w:color="auto"/>
            <w:right w:val="none" w:sz="0" w:space="0" w:color="auto"/>
          </w:divBdr>
        </w:div>
        <w:div w:id="1134058606">
          <w:marLeft w:val="0"/>
          <w:marRight w:val="0"/>
          <w:marTop w:val="0"/>
          <w:marBottom w:val="101"/>
          <w:divBdr>
            <w:top w:val="none" w:sz="0" w:space="0" w:color="auto"/>
            <w:left w:val="none" w:sz="0" w:space="0" w:color="auto"/>
            <w:bottom w:val="none" w:sz="0" w:space="0" w:color="auto"/>
            <w:right w:val="none" w:sz="0" w:space="0" w:color="auto"/>
          </w:divBdr>
        </w:div>
        <w:div w:id="50278234">
          <w:marLeft w:val="0"/>
          <w:marRight w:val="0"/>
          <w:marTop w:val="0"/>
          <w:marBottom w:val="101"/>
          <w:divBdr>
            <w:top w:val="none" w:sz="0" w:space="0" w:color="auto"/>
            <w:left w:val="none" w:sz="0" w:space="0" w:color="auto"/>
            <w:bottom w:val="none" w:sz="0" w:space="0" w:color="auto"/>
            <w:right w:val="none" w:sz="0" w:space="0" w:color="auto"/>
          </w:divBdr>
        </w:div>
        <w:div w:id="419375438">
          <w:marLeft w:val="0"/>
          <w:marRight w:val="0"/>
          <w:marTop w:val="0"/>
          <w:marBottom w:val="101"/>
          <w:divBdr>
            <w:top w:val="none" w:sz="0" w:space="0" w:color="auto"/>
            <w:left w:val="none" w:sz="0" w:space="0" w:color="auto"/>
            <w:bottom w:val="none" w:sz="0" w:space="0" w:color="auto"/>
            <w:right w:val="none" w:sz="0" w:space="0" w:color="auto"/>
          </w:divBdr>
        </w:div>
        <w:div w:id="540240270">
          <w:marLeft w:val="0"/>
          <w:marRight w:val="0"/>
          <w:marTop w:val="0"/>
          <w:marBottom w:val="101"/>
          <w:divBdr>
            <w:top w:val="none" w:sz="0" w:space="0" w:color="auto"/>
            <w:left w:val="none" w:sz="0" w:space="0" w:color="auto"/>
            <w:bottom w:val="none" w:sz="0" w:space="0" w:color="auto"/>
            <w:right w:val="none" w:sz="0" w:space="0" w:color="auto"/>
          </w:divBdr>
        </w:div>
        <w:div w:id="88622495">
          <w:marLeft w:val="0"/>
          <w:marRight w:val="0"/>
          <w:marTop w:val="0"/>
          <w:marBottom w:val="101"/>
          <w:divBdr>
            <w:top w:val="none" w:sz="0" w:space="0" w:color="auto"/>
            <w:left w:val="none" w:sz="0" w:space="0" w:color="auto"/>
            <w:bottom w:val="none" w:sz="0" w:space="0" w:color="auto"/>
            <w:right w:val="none" w:sz="0" w:space="0" w:color="auto"/>
          </w:divBdr>
        </w:div>
        <w:div w:id="1947762086">
          <w:marLeft w:val="0"/>
          <w:marRight w:val="0"/>
          <w:marTop w:val="0"/>
          <w:marBottom w:val="101"/>
          <w:divBdr>
            <w:top w:val="none" w:sz="0" w:space="0" w:color="auto"/>
            <w:left w:val="none" w:sz="0" w:space="0" w:color="auto"/>
            <w:bottom w:val="none" w:sz="0" w:space="0" w:color="auto"/>
            <w:right w:val="none" w:sz="0" w:space="0" w:color="auto"/>
          </w:divBdr>
        </w:div>
        <w:div w:id="2098406861">
          <w:marLeft w:val="1080"/>
          <w:marRight w:val="0"/>
          <w:marTop w:val="0"/>
          <w:marBottom w:val="101"/>
          <w:divBdr>
            <w:top w:val="none" w:sz="0" w:space="0" w:color="auto"/>
            <w:left w:val="none" w:sz="0" w:space="0" w:color="auto"/>
            <w:bottom w:val="none" w:sz="0" w:space="0" w:color="auto"/>
            <w:right w:val="none" w:sz="0" w:space="0" w:color="auto"/>
          </w:divBdr>
        </w:div>
        <w:div w:id="980576269">
          <w:marLeft w:val="1080"/>
          <w:marRight w:val="0"/>
          <w:marTop w:val="0"/>
          <w:marBottom w:val="101"/>
          <w:divBdr>
            <w:top w:val="none" w:sz="0" w:space="0" w:color="auto"/>
            <w:left w:val="none" w:sz="0" w:space="0" w:color="auto"/>
            <w:bottom w:val="none" w:sz="0" w:space="0" w:color="auto"/>
            <w:right w:val="none" w:sz="0" w:space="0" w:color="auto"/>
          </w:divBdr>
        </w:div>
        <w:div w:id="1754160904">
          <w:marLeft w:val="1080"/>
          <w:marRight w:val="0"/>
          <w:marTop w:val="0"/>
          <w:marBottom w:val="101"/>
          <w:divBdr>
            <w:top w:val="none" w:sz="0" w:space="0" w:color="auto"/>
            <w:left w:val="none" w:sz="0" w:space="0" w:color="auto"/>
            <w:bottom w:val="none" w:sz="0" w:space="0" w:color="auto"/>
            <w:right w:val="none" w:sz="0" w:space="0" w:color="auto"/>
          </w:divBdr>
        </w:div>
        <w:div w:id="1306812290">
          <w:marLeft w:val="1080"/>
          <w:marRight w:val="0"/>
          <w:marTop w:val="0"/>
          <w:marBottom w:val="101"/>
          <w:divBdr>
            <w:top w:val="none" w:sz="0" w:space="0" w:color="auto"/>
            <w:left w:val="none" w:sz="0" w:space="0" w:color="auto"/>
            <w:bottom w:val="none" w:sz="0" w:space="0" w:color="auto"/>
            <w:right w:val="none" w:sz="0" w:space="0" w:color="auto"/>
          </w:divBdr>
        </w:div>
        <w:div w:id="456995109">
          <w:marLeft w:val="0"/>
          <w:marRight w:val="0"/>
          <w:marTop w:val="0"/>
          <w:marBottom w:val="101"/>
          <w:divBdr>
            <w:top w:val="none" w:sz="0" w:space="0" w:color="auto"/>
            <w:left w:val="none" w:sz="0" w:space="0" w:color="auto"/>
            <w:bottom w:val="none" w:sz="0" w:space="0" w:color="auto"/>
            <w:right w:val="none" w:sz="0" w:space="0" w:color="auto"/>
          </w:divBdr>
        </w:div>
        <w:div w:id="9919348">
          <w:marLeft w:val="1080"/>
          <w:marRight w:val="0"/>
          <w:marTop w:val="0"/>
          <w:marBottom w:val="101"/>
          <w:divBdr>
            <w:top w:val="none" w:sz="0" w:space="0" w:color="auto"/>
            <w:left w:val="none" w:sz="0" w:space="0" w:color="auto"/>
            <w:bottom w:val="none" w:sz="0" w:space="0" w:color="auto"/>
            <w:right w:val="none" w:sz="0" w:space="0" w:color="auto"/>
          </w:divBdr>
        </w:div>
        <w:div w:id="482045389">
          <w:marLeft w:val="1080"/>
          <w:marRight w:val="0"/>
          <w:marTop w:val="0"/>
          <w:marBottom w:val="101"/>
          <w:divBdr>
            <w:top w:val="none" w:sz="0" w:space="0" w:color="auto"/>
            <w:left w:val="none" w:sz="0" w:space="0" w:color="auto"/>
            <w:bottom w:val="none" w:sz="0" w:space="0" w:color="auto"/>
            <w:right w:val="none" w:sz="0" w:space="0" w:color="auto"/>
          </w:divBdr>
        </w:div>
        <w:div w:id="38165990">
          <w:marLeft w:val="1080"/>
          <w:marRight w:val="0"/>
          <w:marTop w:val="0"/>
          <w:marBottom w:val="101"/>
          <w:divBdr>
            <w:top w:val="none" w:sz="0" w:space="0" w:color="auto"/>
            <w:left w:val="none" w:sz="0" w:space="0" w:color="auto"/>
            <w:bottom w:val="none" w:sz="0" w:space="0" w:color="auto"/>
            <w:right w:val="none" w:sz="0" w:space="0" w:color="auto"/>
          </w:divBdr>
        </w:div>
        <w:div w:id="1621952155">
          <w:marLeft w:val="0"/>
          <w:marRight w:val="0"/>
          <w:marTop w:val="0"/>
          <w:marBottom w:val="101"/>
          <w:divBdr>
            <w:top w:val="none" w:sz="0" w:space="0" w:color="auto"/>
            <w:left w:val="none" w:sz="0" w:space="0" w:color="auto"/>
            <w:bottom w:val="none" w:sz="0" w:space="0" w:color="auto"/>
            <w:right w:val="none" w:sz="0" w:space="0" w:color="auto"/>
          </w:divBdr>
        </w:div>
        <w:div w:id="1627422160">
          <w:marLeft w:val="1440"/>
          <w:marRight w:val="0"/>
          <w:marTop w:val="0"/>
          <w:marBottom w:val="101"/>
          <w:divBdr>
            <w:top w:val="none" w:sz="0" w:space="0" w:color="auto"/>
            <w:left w:val="none" w:sz="0" w:space="0" w:color="auto"/>
            <w:bottom w:val="none" w:sz="0" w:space="0" w:color="auto"/>
            <w:right w:val="none" w:sz="0" w:space="0" w:color="auto"/>
          </w:divBdr>
        </w:div>
        <w:div w:id="1293512331">
          <w:marLeft w:val="1440"/>
          <w:marRight w:val="0"/>
          <w:marTop w:val="0"/>
          <w:marBottom w:val="101"/>
          <w:divBdr>
            <w:top w:val="none" w:sz="0" w:space="0" w:color="auto"/>
            <w:left w:val="none" w:sz="0" w:space="0" w:color="auto"/>
            <w:bottom w:val="none" w:sz="0" w:space="0" w:color="auto"/>
            <w:right w:val="none" w:sz="0" w:space="0" w:color="auto"/>
          </w:divBdr>
        </w:div>
        <w:div w:id="1907833633">
          <w:marLeft w:val="1440"/>
          <w:marRight w:val="0"/>
          <w:marTop w:val="0"/>
          <w:marBottom w:val="101"/>
          <w:divBdr>
            <w:top w:val="none" w:sz="0" w:space="0" w:color="auto"/>
            <w:left w:val="none" w:sz="0" w:space="0" w:color="auto"/>
            <w:bottom w:val="none" w:sz="0" w:space="0" w:color="auto"/>
            <w:right w:val="none" w:sz="0" w:space="0" w:color="auto"/>
          </w:divBdr>
        </w:div>
        <w:div w:id="111096565">
          <w:marLeft w:val="0"/>
          <w:marRight w:val="0"/>
          <w:marTop w:val="0"/>
          <w:marBottom w:val="101"/>
          <w:divBdr>
            <w:top w:val="none" w:sz="0" w:space="0" w:color="auto"/>
            <w:left w:val="none" w:sz="0" w:space="0" w:color="auto"/>
            <w:bottom w:val="none" w:sz="0" w:space="0" w:color="auto"/>
            <w:right w:val="none" w:sz="0" w:space="0" w:color="auto"/>
          </w:divBdr>
        </w:div>
        <w:div w:id="188180205">
          <w:marLeft w:val="0"/>
          <w:marRight w:val="0"/>
          <w:marTop w:val="0"/>
          <w:marBottom w:val="101"/>
          <w:divBdr>
            <w:top w:val="none" w:sz="0" w:space="0" w:color="auto"/>
            <w:left w:val="none" w:sz="0" w:space="0" w:color="auto"/>
            <w:bottom w:val="none" w:sz="0" w:space="0" w:color="auto"/>
            <w:right w:val="none" w:sz="0" w:space="0" w:color="auto"/>
          </w:divBdr>
        </w:div>
        <w:div w:id="1146704981">
          <w:marLeft w:val="1080"/>
          <w:marRight w:val="0"/>
          <w:marTop w:val="0"/>
          <w:marBottom w:val="101"/>
          <w:divBdr>
            <w:top w:val="none" w:sz="0" w:space="0" w:color="auto"/>
            <w:left w:val="none" w:sz="0" w:space="0" w:color="auto"/>
            <w:bottom w:val="none" w:sz="0" w:space="0" w:color="auto"/>
            <w:right w:val="none" w:sz="0" w:space="0" w:color="auto"/>
          </w:divBdr>
        </w:div>
        <w:div w:id="1422869433">
          <w:marLeft w:val="1080"/>
          <w:marRight w:val="0"/>
          <w:marTop w:val="0"/>
          <w:marBottom w:val="101"/>
          <w:divBdr>
            <w:top w:val="none" w:sz="0" w:space="0" w:color="auto"/>
            <w:left w:val="none" w:sz="0" w:space="0" w:color="auto"/>
            <w:bottom w:val="none" w:sz="0" w:space="0" w:color="auto"/>
            <w:right w:val="none" w:sz="0" w:space="0" w:color="auto"/>
          </w:divBdr>
        </w:div>
        <w:div w:id="1006517373">
          <w:marLeft w:val="1080"/>
          <w:marRight w:val="0"/>
          <w:marTop w:val="0"/>
          <w:marBottom w:val="101"/>
          <w:divBdr>
            <w:top w:val="none" w:sz="0" w:space="0" w:color="auto"/>
            <w:left w:val="none" w:sz="0" w:space="0" w:color="auto"/>
            <w:bottom w:val="none" w:sz="0" w:space="0" w:color="auto"/>
            <w:right w:val="none" w:sz="0" w:space="0" w:color="auto"/>
          </w:divBdr>
        </w:div>
        <w:div w:id="843201315">
          <w:marLeft w:val="1080"/>
          <w:marRight w:val="0"/>
          <w:marTop w:val="0"/>
          <w:marBottom w:val="101"/>
          <w:divBdr>
            <w:top w:val="none" w:sz="0" w:space="0" w:color="auto"/>
            <w:left w:val="none" w:sz="0" w:space="0" w:color="auto"/>
            <w:bottom w:val="none" w:sz="0" w:space="0" w:color="auto"/>
            <w:right w:val="none" w:sz="0" w:space="0" w:color="auto"/>
          </w:divBdr>
        </w:div>
        <w:div w:id="1299922593">
          <w:marLeft w:val="0"/>
          <w:marRight w:val="0"/>
          <w:marTop w:val="0"/>
          <w:marBottom w:val="101"/>
          <w:divBdr>
            <w:top w:val="none" w:sz="0" w:space="0" w:color="auto"/>
            <w:left w:val="none" w:sz="0" w:space="0" w:color="auto"/>
            <w:bottom w:val="none" w:sz="0" w:space="0" w:color="auto"/>
            <w:right w:val="none" w:sz="0" w:space="0" w:color="auto"/>
          </w:divBdr>
        </w:div>
        <w:div w:id="869032201">
          <w:marLeft w:val="0"/>
          <w:marRight w:val="0"/>
          <w:marTop w:val="0"/>
          <w:marBottom w:val="101"/>
          <w:divBdr>
            <w:top w:val="none" w:sz="0" w:space="0" w:color="auto"/>
            <w:left w:val="none" w:sz="0" w:space="0" w:color="auto"/>
            <w:bottom w:val="none" w:sz="0" w:space="0" w:color="auto"/>
            <w:right w:val="none" w:sz="0" w:space="0" w:color="auto"/>
          </w:divBdr>
        </w:div>
        <w:div w:id="1081874738">
          <w:marLeft w:val="0"/>
          <w:marRight w:val="0"/>
          <w:marTop w:val="0"/>
          <w:marBottom w:val="101"/>
          <w:divBdr>
            <w:top w:val="none" w:sz="0" w:space="0" w:color="auto"/>
            <w:left w:val="none" w:sz="0" w:space="0" w:color="auto"/>
            <w:bottom w:val="none" w:sz="0" w:space="0" w:color="auto"/>
            <w:right w:val="none" w:sz="0" w:space="0" w:color="auto"/>
          </w:divBdr>
        </w:div>
        <w:div w:id="743183035">
          <w:marLeft w:val="0"/>
          <w:marRight w:val="0"/>
          <w:marTop w:val="0"/>
          <w:marBottom w:val="101"/>
          <w:divBdr>
            <w:top w:val="none" w:sz="0" w:space="0" w:color="auto"/>
            <w:left w:val="none" w:sz="0" w:space="0" w:color="auto"/>
            <w:bottom w:val="none" w:sz="0" w:space="0" w:color="auto"/>
            <w:right w:val="none" w:sz="0" w:space="0" w:color="auto"/>
          </w:divBdr>
        </w:div>
        <w:div w:id="234433680">
          <w:marLeft w:val="0"/>
          <w:marRight w:val="0"/>
          <w:marTop w:val="0"/>
          <w:marBottom w:val="101"/>
          <w:divBdr>
            <w:top w:val="none" w:sz="0" w:space="0" w:color="auto"/>
            <w:left w:val="none" w:sz="0" w:space="0" w:color="auto"/>
            <w:bottom w:val="none" w:sz="0" w:space="0" w:color="auto"/>
            <w:right w:val="none" w:sz="0" w:space="0" w:color="auto"/>
          </w:divBdr>
        </w:div>
        <w:div w:id="867567912">
          <w:marLeft w:val="0"/>
          <w:marRight w:val="0"/>
          <w:marTop w:val="0"/>
          <w:marBottom w:val="101"/>
          <w:divBdr>
            <w:top w:val="none" w:sz="0" w:space="0" w:color="auto"/>
            <w:left w:val="none" w:sz="0" w:space="0" w:color="auto"/>
            <w:bottom w:val="none" w:sz="0" w:space="0" w:color="auto"/>
            <w:right w:val="none" w:sz="0" w:space="0" w:color="auto"/>
          </w:divBdr>
        </w:div>
        <w:div w:id="1217857594">
          <w:marLeft w:val="0"/>
          <w:marRight w:val="0"/>
          <w:marTop w:val="0"/>
          <w:marBottom w:val="101"/>
          <w:divBdr>
            <w:top w:val="none" w:sz="0" w:space="0" w:color="auto"/>
            <w:left w:val="none" w:sz="0" w:space="0" w:color="auto"/>
            <w:bottom w:val="none" w:sz="0" w:space="0" w:color="auto"/>
            <w:right w:val="none" w:sz="0" w:space="0" w:color="auto"/>
          </w:divBdr>
        </w:div>
        <w:div w:id="766580243">
          <w:marLeft w:val="0"/>
          <w:marRight w:val="0"/>
          <w:marTop w:val="0"/>
          <w:marBottom w:val="101"/>
          <w:divBdr>
            <w:top w:val="none" w:sz="0" w:space="0" w:color="auto"/>
            <w:left w:val="none" w:sz="0" w:space="0" w:color="auto"/>
            <w:bottom w:val="none" w:sz="0" w:space="0" w:color="auto"/>
            <w:right w:val="none" w:sz="0" w:space="0" w:color="auto"/>
          </w:divBdr>
        </w:div>
        <w:div w:id="1656907149">
          <w:marLeft w:val="0"/>
          <w:marRight w:val="0"/>
          <w:marTop w:val="0"/>
          <w:marBottom w:val="80"/>
          <w:divBdr>
            <w:top w:val="none" w:sz="0" w:space="0" w:color="auto"/>
            <w:left w:val="none" w:sz="0" w:space="0" w:color="auto"/>
            <w:bottom w:val="none" w:sz="0" w:space="0" w:color="auto"/>
            <w:right w:val="none" w:sz="0" w:space="0" w:color="auto"/>
          </w:divBdr>
        </w:div>
        <w:div w:id="2080249539">
          <w:marLeft w:val="0"/>
          <w:marRight w:val="0"/>
          <w:marTop w:val="0"/>
          <w:marBottom w:val="80"/>
          <w:divBdr>
            <w:top w:val="none" w:sz="0" w:space="0" w:color="auto"/>
            <w:left w:val="none" w:sz="0" w:space="0" w:color="auto"/>
            <w:bottom w:val="none" w:sz="0" w:space="0" w:color="auto"/>
            <w:right w:val="none" w:sz="0" w:space="0" w:color="auto"/>
          </w:divBdr>
        </w:div>
        <w:div w:id="1433937593">
          <w:marLeft w:val="0"/>
          <w:marRight w:val="0"/>
          <w:marTop w:val="0"/>
          <w:marBottom w:val="80"/>
          <w:divBdr>
            <w:top w:val="none" w:sz="0" w:space="0" w:color="auto"/>
            <w:left w:val="none" w:sz="0" w:space="0" w:color="auto"/>
            <w:bottom w:val="none" w:sz="0" w:space="0" w:color="auto"/>
            <w:right w:val="none" w:sz="0" w:space="0" w:color="auto"/>
          </w:divBdr>
        </w:div>
        <w:div w:id="563837815">
          <w:marLeft w:val="0"/>
          <w:marRight w:val="0"/>
          <w:marTop w:val="0"/>
          <w:marBottom w:val="80"/>
          <w:divBdr>
            <w:top w:val="none" w:sz="0" w:space="0" w:color="auto"/>
            <w:left w:val="none" w:sz="0" w:space="0" w:color="auto"/>
            <w:bottom w:val="none" w:sz="0" w:space="0" w:color="auto"/>
            <w:right w:val="none" w:sz="0" w:space="0" w:color="auto"/>
          </w:divBdr>
        </w:div>
        <w:div w:id="688718363">
          <w:marLeft w:val="0"/>
          <w:marRight w:val="0"/>
          <w:marTop w:val="0"/>
          <w:marBottom w:val="80"/>
          <w:divBdr>
            <w:top w:val="none" w:sz="0" w:space="0" w:color="auto"/>
            <w:left w:val="none" w:sz="0" w:space="0" w:color="auto"/>
            <w:bottom w:val="none" w:sz="0" w:space="0" w:color="auto"/>
            <w:right w:val="none" w:sz="0" w:space="0" w:color="auto"/>
          </w:divBdr>
        </w:div>
        <w:div w:id="1116022698">
          <w:marLeft w:val="0"/>
          <w:marRight w:val="0"/>
          <w:marTop w:val="0"/>
          <w:marBottom w:val="80"/>
          <w:divBdr>
            <w:top w:val="none" w:sz="0" w:space="0" w:color="auto"/>
            <w:left w:val="none" w:sz="0" w:space="0" w:color="auto"/>
            <w:bottom w:val="none" w:sz="0" w:space="0" w:color="auto"/>
            <w:right w:val="none" w:sz="0" w:space="0" w:color="auto"/>
          </w:divBdr>
        </w:div>
        <w:div w:id="1012879364">
          <w:marLeft w:val="0"/>
          <w:marRight w:val="0"/>
          <w:marTop w:val="0"/>
          <w:marBottom w:val="80"/>
          <w:divBdr>
            <w:top w:val="none" w:sz="0" w:space="0" w:color="auto"/>
            <w:left w:val="none" w:sz="0" w:space="0" w:color="auto"/>
            <w:bottom w:val="none" w:sz="0" w:space="0" w:color="auto"/>
            <w:right w:val="none" w:sz="0" w:space="0" w:color="auto"/>
          </w:divBdr>
        </w:div>
        <w:div w:id="1142039882">
          <w:marLeft w:val="0"/>
          <w:marRight w:val="0"/>
          <w:marTop w:val="0"/>
          <w:marBottom w:val="80"/>
          <w:divBdr>
            <w:top w:val="none" w:sz="0" w:space="0" w:color="auto"/>
            <w:left w:val="none" w:sz="0" w:space="0" w:color="auto"/>
            <w:bottom w:val="none" w:sz="0" w:space="0" w:color="auto"/>
            <w:right w:val="none" w:sz="0" w:space="0" w:color="auto"/>
          </w:divBdr>
        </w:div>
        <w:div w:id="484516069">
          <w:marLeft w:val="0"/>
          <w:marRight w:val="0"/>
          <w:marTop w:val="101"/>
          <w:marBottom w:val="80"/>
          <w:divBdr>
            <w:top w:val="none" w:sz="0" w:space="0" w:color="auto"/>
            <w:left w:val="none" w:sz="0" w:space="0" w:color="auto"/>
            <w:bottom w:val="none" w:sz="0" w:space="0" w:color="auto"/>
            <w:right w:val="none" w:sz="0" w:space="0" w:color="auto"/>
          </w:divBdr>
        </w:div>
        <w:div w:id="1948155277">
          <w:marLeft w:val="0"/>
          <w:marRight w:val="0"/>
          <w:marTop w:val="0"/>
          <w:marBottom w:val="80"/>
          <w:divBdr>
            <w:top w:val="none" w:sz="0" w:space="0" w:color="auto"/>
            <w:left w:val="none" w:sz="0" w:space="0" w:color="auto"/>
            <w:bottom w:val="none" w:sz="0" w:space="0" w:color="auto"/>
            <w:right w:val="none" w:sz="0" w:space="0" w:color="auto"/>
          </w:divBdr>
        </w:div>
        <w:div w:id="785198126">
          <w:marLeft w:val="1080"/>
          <w:marRight w:val="0"/>
          <w:marTop w:val="0"/>
          <w:marBottom w:val="80"/>
          <w:divBdr>
            <w:top w:val="none" w:sz="0" w:space="0" w:color="auto"/>
            <w:left w:val="none" w:sz="0" w:space="0" w:color="auto"/>
            <w:bottom w:val="none" w:sz="0" w:space="0" w:color="auto"/>
            <w:right w:val="none" w:sz="0" w:space="0" w:color="auto"/>
          </w:divBdr>
        </w:div>
        <w:div w:id="1980651695">
          <w:marLeft w:val="1080"/>
          <w:marRight w:val="0"/>
          <w:marTop w:val="0"/>
          <w:marBottom w:val="80"/>
          <w:divBdr>
            <w:top w:val="none" w:sz="0" w:space="0" w:color="auto"/>
            <w:left w:val="none" w:sz="0" w:space="0" w:color="auto"/>
            <w:bottom w:val="none" w:sz="0" w:space="0" w:color="auto"/>
            <w:right w:val="none" w:sz="0" w:space="0" w:color="auto"/>
          </w:divBdr>
        </w:div>
        <w:div w:id="1120151378">
          <w:marLeft w:val="1080"/>
          <w:marRight w:val="0"/>
          <w:marTop w:val="0"/>
          <w:marBottom w:val="80"/>
          <w:divBdr>
            <w:top w:val="none" w:sz="0" w:space="0" w:color="auto"/>
            <w:left w:val="none" w:sz="0" w:space="0" w:color="auto"/>
            <w:bottom w:val="none" w:sz="0" w:space="0" w:color="auto"/>
            <w:right w:val="none" w:sz="0" w:space="0" w:color="auto"/>
          </w:divBdr>
        </w:div>
        <w:div w:id="251281024">
          <w:marLeft w:val="1080"/>
          <w:marRight w:val="0"/>
          <w:marTop w:val="0"/>
          <w:marBottom w:val="80"/>
          <w:divBdr>
            <w:top w:val="none" w:sz="0" w:space="0" w:color="auto"/>
            <w:left w:val="none" w:sz="0" w:space="0" w:color="auto"/>
            <w:bottom w:val="none" w:sz="0" w:space="0" w:color="auto"/>
            <w:right w:val="none" w:sz="0" w:space="0" w:color="auto"/>
          </w:divBdr>
        </w:div>
        <w:div w:id="1360163662">
          <w:marLeft w:val="1080"/>
          <w:marRight w:val="0"/>
          <w:marTop w:val="0"/>
          <w:marBottom w:val="80"/>
          <w:divBdr>
            <w:top w:val="none" w:sz="0" w:space="0" w:color="auto"/>
            <w:left w:val="none" w:sz="0" w:space="0" w:color="auto"/>
            <w:bottom w:val="none" w:sz="0" w:space="0" w:color="auto"/>
            <w:right w:val="none" w:sz="0" w:space="0" w:color="auto"/>
          </w:divBdr>
        </w:div>
        <w:div w:id="565261400">
          <w:marLeft w:val="1080"/>
          <w:marRight w:val="0"/>
          <w:marTop w:val="0"/>
          <w:marBottom w:val="101"/>
          <w:divBdr>
            <w:top w:val="none" w:sz="0" w:space="0" w:color="auto"/>
            <w:left w:val="none" w:sz="0" w:space="0" w:color="auto"/>
            <w:bottom w:val="none" w:sz="0" w:space="0" w:color="auto"/>
            <w:right w:val="none" w:sz="0" w:space="0" w:color="auto"/>
          </w:divBdr>
        </w:div>
        <w:div w:id="579099783">
          <w:marLeft w:val="1080"/>
          <w:marRight w:val="0"/>
          <w:marTop w:val="0"/>
          <w:marBottom w:val="101"/>
          <w:divBdr>
            <w:top w:val="none" w:sz="0" w:space="0" w:color="auto"/>
            <w:left w:val="none" w:sz="0" w:space="0" w:color="auto"/>
            <w:bottom w:val="none" w:sz="0" w:space="0" w:color="auto"/>
            <w:right w:val="none" w:sz="0" w:space="0" w:color="auto"/>
          </w:divBdr>
        </w:div>
        <w:div w:id="935481507">
          <w:marLeft w:val="0"/>
          <w:marRight w:val="0"/>
          <w:marTop w:val="0"/>
          <w:marBottom w:val="101"/>
          <w:divBdr>
            <w:top w:val="none" w:sz="0" w:space="0" w:color="auto"/>
            <w:left w:val="none" w:sz="0" w:space="0" w:color="auto"/>
            <w:bottom w:val="none" w:sz="0" w:space="0" w:color="auto"/>
            <w:right w:val="none" w:sz="0" w:space="0" w:color="auto"/>
          </w:divBdr>
        </w:div>
        <w:div w:id="514534622">
          <w:marLeft w:val="0"/>
          <w:marRight w:val="0"/>
          <w:marTop w:val="0"/>
          <w:marBottom w:val="101"/>
          <w:divBdr>
            <w:top w:val="none" w:sz="0" w:space="0" w:color="auto"/>
            <w:left w:val="none" w:sz="0" w:space="0" w:color="auto"/>
            <w:bottom w:val="none" w:sz="0" w:space="0" w:color="auto"/>
            <w:right w:val="none" w:sz="0" w:space="0" w:color="auto"/>
          </w:divBdr>
        </w:div>
        <w:div w:id="1734892871">
          <w:marLeft w:val="0"/>
          <w:marRight w:val="0"/>
          <w:marTop w:val="0"/>
          <w:marBottom w:val="101"/>
          <w:divBdr>
            <w:top w:val="none" w:sz="0" w:space="0" w:color="auto"/>
            <w:left w:val="none" w:sz="0" w:space="0" w:color="auto"/>
            <w:bottom w:val="none" w:sz="0" w:space="0" w:color="auto"/>
            <w:right w:val="none" w:sz="0" w:space="0" w:color="auto"/>
          </w:divBdr>
        </w:div>
        <w:div w:id="2108771648">
          <w:marLeft w:val="0"/>
          <w:marRight w:val="0"/>
          <w:marTop w:val="0"/>
          <w:marBottom w:val="101"/>
          <w:divBdr>
            <w:top w:val="none" w:sz="0" w:space="0" w:color="auto"/>
            <w:left w:val="none" w:sz="0" w:space="0" w:color="auto"/>
            <w:bottom w:val="none" w:sz="0" w:space="0" w:color="auto"/>
            <w:right w:val="none" w:sz="0" w:space="0" w:color="auto"/>
          </w:divBdr>
        </w:div>
        <w:div w:id="784273306">
          <w:marLeft w:val="1080"/>
          <w:marRight w:val="0"/>
          <w:marTop w:val="0"/>
          <w:marBottom w:val="101"/>
          <w:divBdr>
            <w:top w:val="none" w:sz="0" w:space="0" w:color="auto"/>
            <w:left w:val="none" w:sz="0" w:space="0" w:color="auto"/>
            <w:bottom w:val="none" w:sz="0" w:space="0" w:color="auto"/>
            <w:right w:val="none" w:sz="0" w:space="0" w:color="auto"/>
          </w:divBdr>
        </w:div>
        <w:div w:id="12348790">
          <w:marLeft w:val="1080"/>
          <w:marRight w:val="0"/>
          <w:marTop w:val="0"/>
          <w:marBottom w:val="101"/>
          <w:divBdr>
            <w:top w:val="none" w:sz="0" w:space="0" w:color="auto"/>
            <w:left w:val="none" w:sz="0" w:space="0" w:color="auto"/>
            <w:bottom w:val="none" w:sz="0" w:space="0" w:color="auto"/>
            <w:right w:val="none" w:sz="0" w:space="0" w:color="auto"/>
          </w:divBdr>
        </w:div>
        <w:div w:id="2141027120">
          <w:marLeft w:val="1080"/>
          <w:marRight w:val="0"/>
          <w:marTop w:val="0"/>
          <w:marBottom w:val="101"/>
          <w:divBdr>
            <w:top w:val="none" w:sz="0" w:space="0" w:color="auto"/>
            <w:left w:val="none" w:sz="0" w:space="0" w:color="auto"/>
            <w:bottom w:val="none" w:sz="0" w:space="0" w:color="auto"/>
            <w:right w:val="none" w:sz="0" w:space="0" w:color="auto"/>
          </w:divBdr>
        </w:div>
        <w:div w:id="447168723">
          <w:marLeft w:val="0"/>
          <w:marRight w:val="0"/>
          <w:marTop w:val="0"/>
          <w:marBottom w:val="101"/>
          <w:divBdr>
            <w:top w:val="none" w:sz="0" w:space="0" w:color="auto"/>
            <w:left w:val="none" w:sz="0" w:space="0" w:color="auto"/>
            <w:bottom w:val="none" w:sz="0" w:space="0" w:color="auto"/>
            <w:right w:val="none" w:sz="0" w:space="0" w:color="auto"/>
          </w:divBdr>
        </w:div>
        <w:div w:id="2101753492">
          <w:marLeft w:val="0"/>
          <w:marRight w:val="0"/>
          <w:marTop w:val="0"/>
          <w:marBottom w:val="101"/>
          <w:divBdr>
            <w:top w:val="none" w:sz="0" w:space="0" w:color="auto"/>
            <w:left w:val="none" w:sz="0" w:space="0" w:color="auto"/>
            <w:bottom w:val="none" w:sz="0" w:space="0" w:color="auto"/>
            <w:right w:val="none" w:sz="0" w:space="0" w:color="auto"/>
          </w:divBdr>
        </w:div>
        <w:div w:id="1911038570">
          <w:marLeft w:val="720"/>
          <w:marRight w:val="0"/>
          <w:marTop w:val="0"/>
          <w:marBottom w:val="101"/>
          <w:divBdr>
            <w:top w:val="none" w:sz="0" w:space="0" w:color="auto"/>
            <w:left w:val="none" w:sz="0" w:space="0" w:color="auto"/>
            <w:bottom w:val="none" w:sz="0" w:space="0" w:color="auto"/>
            <w:right w:val="none" w:sz="0" w:space="0" w:color="auto"/>
          </w:divBdr>
        </w:div>
        <w:div w:id="1037125011">
          <w:marLeft w:val="720"/>
          <w:marRight w:val="0"/>
          <w:marTop w:val="0"/>
          <w:marBottom w:val="101"/>
          <w:divBdr>
            <w:top w:val="none" w:sz="0" w:space="0" w:color="auto"/>
            <w:left w:val="none" w:sz="0" w:space="0" w:color="auto"/>
            <w:bottom w:val="none" w:sz="0" w:space="0" w:color="auto"/>
            <w:right w:val="none" w:sz="0" w:space="0" w:color="auto"/>
          </w:divBdr>
        </w:div>
        <w:div w:id="722018629">
          <w:marLeft w:val="720"/>
          <w:marRight w:val="0"/>
          <w:marTop w:val="0"/>
          <w:marBottom w:val="101"/>
          <w:divBdr>
            <w:top w:val="none" w:sz="0" w:space="0" w:color="auto"/>
            <w:left w:val="none" w:sz="0" w:space="0" w:color="auto"/>
            <w:bottom w:val="none" w:sz="0" w:space="0" w:color="auto"/>
            <w:right w:val="none" w:sz="0" w:space="0" w:color="auto"/>
          </w:divBdr>
        </w:div>
        <w:div w:id="2028435463">
          <w:marLeft w:val="720"/>
          <w:marRight w:val="0"/>
          <w:marTop w:val="0"/>
          <w:marBottom w:val="101"/>
          <w:divBdr>
            <w:top w:val="none" w:sz="0" w:space="0" w:color="auto"/>
            <w:left w:val="none" w:sz="0" w:space="0" w:color="auto"/>
            <w:bottom w:val="none" w:sz="0" w:space="0" w:color="auto"/>
            <w:right w:val="none" w:sz="0" w:space="0" w:color="auto"/>
          </w:divBdr>
        </w:div>
        <w:div w:id="1541358743">
          <w:marLeft w:val="0"/>
          <w:marRight w:val="0"/>
          <w:marTop w:val="0"/>
          <w:marBottom w:val="101"/>
          <w:divBdr>
            <w:top w:val="none" w:sz="0" w:space="0" w:color="auto"/>
            <w:left w:val="none" w:sz="0" w:space="0" w:color="auto"/>
            <w:bottom w:val="none" w:sz="0" w:space="0" w:color="auto"/>
            <w:right w:val="none" w:sz="0" w:space="0" w:color="auto"/>
          </w:divBdr>
        </w:div>
        <w:div w:id="1874070370">
          <w:marLeft w:val="0"/>
          <w:marRight w:val="0"/>
          <w:marTop w:val="0"/>
          <w:marBottom w:val="101"/>
          <w:divBdr>
            <w:top w:val="none" w:sz="0" w:space="0" w:color="auto"/>
            <w:left w:val="none" w:sz="0" w:space="0" w:color="auto"/>
            <w:bottom w:val="none" w:sz="0" w:space="0" w:color="auto"/>
            <w:right w:val="none" w:sz="0" w:space="0" w:color="auto"/>
          </w:divBdr>
        </w:div>
        <w:div w:id="1153644014">
          <w:marLeft w:val="0"/>
          <w:marRight w:val="0"/>
          <w:marTop w:val="0"/>
          <w:marBottom w:val="101"/>
          <w:divBdr>
            <w:top w:val="none" w:sz="0" w:space="0" w:color="auto"/>
            <w:left w:val="none" w:sz="0" w:space="0" w:color="auto"/>
            <w:bottom w:val="none" w:sz="0" w:space="0" w:color="auto"/>
            <w:right w:val="none" w:sz="0" w:space="0" w:color="auto"/>
          </w:divBdr>
        </w:div>
        <w:div w:id="262155884">
          <w:marLeft w:val="0"/>
          <w:marRight w:val="0"/>
          <w:marTop w:val="101"/>
          <w:marBottom w:val="101"/>
          <w:divBdr>
            <w:top w:val="none" w:sz="0" w:space="0" w:color="auto"/>
            <w:left w:val="none" w:sz="0" w:space="0" w:color="auto"/>
            <w:bottom w:val="none" w:sz="0" w:space="0" w:color="auto"/>
            <w:right w:val="none" w:sz="0" w:space="0" w:color="auto"/>
          </w:divBdr>
        </w:div>
        <w:div w:id="1923829896">
          <w:marLeft w:val="0"/>
          <w:marRight w:val="0"/>
          <w:marTop w:val="0"/>
          <w:marBottom w:val="101"/>
          <w:divBdr>
            <w:top w:val="none" w:sz="0" w:space="0" w:color="auto"/>
            <w:left w:val="none" w:sz="0" w:space="0" w:color="auto"/>
            <w:bottom w:val="none" w:sz="0" w:space="0" w:color="auto"/>
            <w:right w:val="none" w:sz="0" w:space="0" w:color="auto"/>
          </w:divBdr>
        </w:div>
        <w:div w:id="36394527">
          <w:marLeft w:val="0"/>
          <w:marRight w:val="0"/>
          <w:marTop w:val="0"/>
          <w:marBottom w:val="101"/>
          <w:divBdr>
            <w:top w:val="none" w:sz="0" w:space="0" w:color="auto"/>
            <w:left w:val="none" w:sz="0" w:space="0" w:color="auto"/>
            <w:bottom w:val="none" w:sz="0" w:space="0" w:color="auto"/>
            <w:right w:val="none" w:sz="0" w:space="0" w:color="auto"/>
          </w:divBdr>
        </w:div>
        <w:div w:id="93597904">
          <w:marLeft w:val="0"/>
          <w:marRight w:val="0"/>
          <w:marTop w:val="0"/>
          <w:marBottom w:val="101"/>
          <w:divBdr>
            <w:top w:val="none" w:sz="0" w:space="0" w:color="auto"/>
            <w:left w:val="none" w:sz="0" w:space="0" w:color="auto"/>
            <w:bottom w:val="none" w:sz="0" w:space="0" w:color="auto"/>
            <w:right w:val="none" w:sz="0" w:space="0" w:color="auto"/>
          </w:divBdr>
        </w:div>
        <w:div w:id="959259648">
          <w:marLeft w:val="0"/>
          <w:marRight w:val="0"/>
          <w:marTop w:val="0"/>
          <w:marBottom w:val="101"/>
          <w:divBdr>
            <w:top w:val="none" w:sz="0" w:space="0" w:color="auto"/>
            <w:left w:val="none" w:sz="0" w:space="0" w:color="auto"/>
            <w:bottom w:val="none" w:sz="0" w:space="0" w:color="auto"/>
            <w:right w:val="none" w:sz="0" w:space="0" w:color="auto"/>
          </w:divBdr>
        </w:div>
        <w:div w:id="797795779">
          <w:marLeft w:val="0"/>
          <w:marRight w:val="0"/>
          <w:marTop w:val="0"/>
          <w:marBottom w:val="101"/>
          <w:divBdr>
            <w:top w:val="none" w:sz="0" w:space="0" w:color="auto"/>
            <w:left w:val="none" w:sz="0" w:space="0" w:color="auto"/>
            <w:bottom w:val="none" w:sz="0" w:space="0" w:color="auto"/>
            <w:right w:val="none" w:sz="0" w:space="0" w:color="auto"/>
          </w:divBdr>
        </w:div>
        <w:div w:id="113405364">
          <w:marLeft w:val="0"/>
          <w:marRight w:val="0"/>
          <w:marTop w:val="0"/>
          <w:marBottom w:val="101"/>
          <w:divBdr>
            <w:top w:val="none" w:sz="0" w:space="0" w:color="auto"/>
            <w:left w:val="none" w:sz="0" w:space="0" w:color="auto"/>
            <w:bottom w:val="none" w:sz="0" w:space="0" w:color="auto"/>
            <w:right w:val="none" w:sz="0" w:space="0" w:color="auto"/>
          </w:divBdr>
        </w:div>
        <w:div w:id="694385652">
          <w:marLeft w:val="0"/>
          <w:marRight w:val="0"/>
          <w:marTop w:val="0"/>
          <w:marBottom w:val="101"/>
          <w:divBdr>
            <w:top w:val="none" w:sz="0" w:space="0" w:color="auto"/>
            <w:left w:val="none" w:sz="0" w:space="0" w:color="auto"/>
            <w:bottom w:val="none" w:sz="0" w:space="0" w:color="auto"/>
            <w:right w:val="none" w:sz="0" w:space="0" w:color="auto"/>
          </w:divBdr>
        </w:div>
        <w:div w:id="1755855608">
          <w:marLeft w:val="0"/>
          <w:marRight w:val="0"/>
          <w:marTop w:val="0"/>
          <w:marBottom w:val="101"/>
          <w:divBdr>
            <w:top w:val="none" w:sz="0" w:space="0" w:color="auto"/>
            <w:left w:val="none" w:sz="0" w:space="0" w:color="auto"/>
            <w:bottom w:val="none" w:sz="0" w:space="0" w:color="auto"/>
            <w:right w:val="none" w:sz="0" w:space="0" w:color="auto"/>
          </w:divBdr>
        </w:div>
        <w:div w:id="1381982181">
          <w:marLeft w:val="0"/>
          <w:marRight w:val="0"/>
          <w:marTop w:val="0"/>
          <w:marBottom w:val="101"/>
          <w:divBdr>
            <w:top w:val="none" w:sz="0" w:space="0" w:color="auto"/>
            <w:left w:val="none" w:sz="0" w:space="0" w:color="auto"/>
            <w:bottom w:val="none" w:sz="0" w:space="0" w:color="auto"/>
            <w:right w:val="none" w:sz="0" w:space="0" w:color="auto"/>
          </w:divBdr>
        </w:div>
        <w:div w:id="46950813">
          <w:marLeft w:val="0"/>
          <w:marRight w:val="0"/>
          <w:marTop w:val="0"/>
          <w:marBottom w:val="101"/>
          <w:divBdr>
            <w:top w:val="none" w:sz="0" w:space="0" w:color="auto"/>
            <w:left w:val="none" w:sz="0" w:space="0" w:color="auto"/>
            <w:bottom w:val="none" w:sz="0" w:space="0" w:color="auto"/>
            <w:right w:val="none" w:sz="0" w:space="0" w:color="auto"/>
          </w:divBdr>
        </w:div>
        <w:div w:id="1210990658">
          <w:marLeft w:val="0"/>
          <w:marRight w:val="0"/>
          <w:marTop w:val="0"/>
          <w:marBottom w:val="101"/>
          <w:divBdr>
            <w:top w:val="none" w:sz="0" w:space="0" w:color="auto"/>
            <w:left w:val="none" w:sz="0" w:space="0" w:color="auto"/>
            <w:bottom w:val="none" w:sz="0" w:space="0" w:color="auto"/>
            <w:right w:val="none" w:sz="0" w:space="0" w:color="auto"/>
          </w:divBdr>
        </w:div>
        <w:div w:id="1023214910">
          <w:marLeft w:val="0"/>
          <w:marRight w:val="0"/>
          <w:marTop w:val="101"/>
          <w:marBottom w:val="101"/>
          <w:divBdr>
            <w:top w:val="none" w:sz="0" w:space="0" w:color="auto"/>
            <w:left w:val="none" w:sz="0" w:space="0" w:color="auto"/>
            <w:bottom w:val="none" w:sz="0" w:space="0" w:color="auto"/>
            <w:right w:val="none" w:sz="0" w:space="0" w:color="auto"/>
          </w:divBdr>
        </w:div>
        <w:div w:id="742021789">
          <w:marLeft w:val="0"/>
          <w:marRight w:val="0"/>
          <w:marTop w:val="0"/>
          <w:marBottom w:val="101"/>
          <w:divBdr>
            <w:top w:val="none" w:sz="0" w:space="0" w:color="auto"/>
            <w:left w:val="none" w:sz="0" w:space="0" w:color="auto"/>
            <w:bottom w:val="none" w:sz="0" w:space="0" w:color="auto"/>
            <w:right w:val="none" w:sz="0" w:space="0" w:color="auto"/>
          </w:divBdr>
        </w:div>
        <w:div w:id="1534537963">
          <w:marLeft w:val="0"/>
          <w:marRight w:val="0"/>
          <w:marTop w:val="0"/>
          <w:marBottom w:val="101"/>
          <w:divBdr>
            <w:top w:val="none" w:sz="0" w:space="0" w:color="auto"/>
            <w:left w:val="none" w:sz="0" w:space="0" w:color="auto"/>
            <w:bottom w:val="none" w:sz="0" w:space="0" w:color="auto"/>
            <w:right w:val="none" w:sz="0" w:space="0" w:color="auto"/>
          </w:divBdr>
        </w:div>
        <w:div w:id="1097945022">
          <w:marLeft w:val="0"/>
          <w:marRight w:val="0"/>
          <w:marTop w:val="0"/>
          <w:marBottom w:val="101"/>
          <w:divBdr>
            <w:top w:val="none" w:sz="0" w:space="0" w:color="auto"/>
            <w:left w:val="none" w:sz="0" w:space="0" w:color="auto"/>
            <w:bottom w:val="none" w:sz="0" w:space="0" w:color="auto"/>
            <w:right w:val="none" w:sz="0" w:space="0" w:color="auto"/>
          </w:divBdr>
        </w:div>
        <w:div w:id="1037435351">
          <w:marLeft w:val="1080"/>
          <w:marRight w:val="0"/>
          <w:marTop w:val="0"/>
          <w:marBottom w:val="101"/>
          <w:divBdr>
            <w:top w:val="none" w:sz="0" w:space="0" w:color="auto"/>
            <w:left w:val="none" w:sz="0" w:space="0" w:color="auto"/>
            <w:bottom w:val="none" w:sz="0" w:space="0" w:color="auto"/>
            <w:right w:val="none" w:sz="0" w:space="0" w:color="auto"/>
          </w:divBdr>
        </w:div>
        <w:div w:id="235214164">
          <w:marLeft w:val="1440"/>
          <w:marRight w:val="0"/>
          <w:marTop w:val="0"/>
          <w:marBottom w:val="101"/>
          <w:divBdr>
            <w:top w:val="none" w:sz="0" w:space="0" w:color="auto"/>
            <w:left w:val="none" w:sz="0" w:space="0" w:color="auto"/>
            <w:bottom w:val="none" w:sz="0" w:space="0" w:color="auto"/>
            <w:right w:val="none" w:sz="0" w:space="0" w:color="auto"/>
          </w:divBdr>
        </w:div>
        <w:div w:id="1189291762">
          <w:marLeft w:val="1440"/>
          <w:marRight w:val="0"/>
          <w:marTop w:val="0"/>
          <w:marBottom w:val="101"/>
          <w:divBdr>
            <w:top w:val="none" w:sz="0" w:space="0" w:color="auto"/>
            <w:left w:val="none" w:sz="0" w:space="0" w:color="auto"/>
            <w:bottom w:val="none" w:sz="0" w:space="0" w:color="auto"/>
            <w:right w:val="none" w:sz="0" w:space="0" w:color="auto"/>
          </w:divBdr>
        </w:div>
        <w:div w:id="638414034">
          <w:marLeft w:val="1440"/>
          <w:marRight w:val="0"/>
          <w:marTop w:val="0"/>
          <w:marBottom w:val="101"/>
          <w:divBdr>
            <w:top w:val="none" w:sz="0" w:space="0" w:color="auto"/>
            <w:left w:val="none" w:sz="0" w:space="0" w:color="auto"/>
            <w:bottom w:val="none" w:sz="0" w:space="0" w:color="auto"/>
            <w:right w:val="none" w:sz="0" w:space="0" w:color="auto"/>
          </w:divBdr>
        </w:div>
        <w:div w:id="1480732503">
          <w:marLeft w:val="1440"/>
          <w:marRight w:val="0"/>
          <w:marTop w:val="0"/>
          <w:marBottom w:val="101"/>
          <w:divBdr>
            <w:top w:val="none" w:sz="0" w:space="0" w:color="auto"/>
            <w:left w:val="none" w:sz="0" w:space="0" w:color="auto"/>
            <w:bottom w:val="none" w:sz="0" w:space="0" w:color="auto"/>
            <w:right w:val="none" w:sz="0" w:space="0" w:color="auto"/>
          </w:divBdr>
        </w:div>
        <w:div w:id="777723301">
          <w:marLeft w:val="1440"/>
          <w:marRight w:val="0"/>
          <w:marTop w:val="0"/>
          <w:marBottom w:val="101"/>
          <w:divBdr>
            <w:top w:val="none" w:sz="0" w:space="0" w:color="auto"/>
            <w:left w:val="none" w:sz="0" w:space="0" w:color="auto"/>
            <w:bottom w:val="none" w:sz="0" w:space="0" w:color="auto"/>
            <w:right w:val="none" w:sz="0" w:space="0" w:color="auto"/>
          </w:divBdr>
        </w:div>
        <w:div w:id="1553730277">
          <w:marLeft w:val="1080"/>
          <w:marRight w:val="0"/>
          <w:marTop w:val="0"/>
          <w:marBottom w:val="101"/>
          <w:divBdr>
            <w:top w:val="none" w:sz="0" w:space="0" w:color="auto"/>
            <w:left w:val="none" w:sz="0" w:space="0" w:color="auto"/>
            <w:bottom w:val="none" w:sz="0" w:space="0" w:color="auto"/>
            <w:right w:val="none" w:sz="0" w:space="0" w:color="auto"/>
          </w:divBdr>
        </w:div>
        <w:div w:id="2005277585">
          <w:marLeft w:val="1440"/>
          <w:marRight w:val="0"/>
          <w:marTop w:val="0"/>
          <w:marBottom w:val="101"/>
          <w:divBdr>
            <w:top w:val="none" w:sz="0" w:space="0" w:color="auto"/>
            <w:left w:val="none" w:sz="0" w:space="0" w:color="auto"/>
            <w:bottom w:val="none" w:sz="0" w:space="0" w:color="auto"/>
            <w:right w:val="none" w:sz="0" w:space="0" w:color="auto"/>
          </w:divBdr>
        </w:div>
        <w:div w:id="570772366">
          <w:marLeft w:val="1440"/>
          <w:marRight w:val="0"/>
          <w:marTop w:val="0"/>
          <w:marBottom w:val="101"/>
          <w:divBdr>
            <w:top w:val="none" w:sz="0" w:space="0" w:color="auto"/>
            <w:left w:val="none" w:sz="0" w:space="0" w:color="auto"/>
            <w:bottom w:val="none" w:sz="0" w:space="0" w:color="auto"/>
            <w:right w:val="none" w:sz="0" w:space="0" w:color="auto"/>
          </w:divBdr>
        </w:div>
        <w:div w:id="858349229">
          <w:marLeft w:val="1440"/>
          <w:marRight w:val="0"/>
          <w:marTop w:val="0"/>
          <w:marBottom w:val="101"/>
          <w:divBdr>
            <w:top w:val="none" w:sz="0" w:space="0" w:color="auto"/>
            <w:left w:val="none" w:sz="0" w:space="0" w:color="auto"/>
            <w:bottom w:val="none" w:sz="0" w:space="0" w:color="auto"/>
            <w:right w:val="none" w:sz="0" w:space="0" w:color="auto"/>
          </w:divBdr>
        </w:div>
        <w:div w:id="918174689">
          <w:marLeft w:val="1440"/>
          <w:marRight w:val="0"/>
          <w:marTop w:val="0"/>
          <w:marBottom w:val="101"/>
          <w:divBdr>
            <w:top w:val="none" w:sz="0" w:space="0" w:color="auto"/>
            <w:left w:val="none" w:sz="0" w:space="0" w:color="auto"/>
            <w:bottom w:val="none" w:sz="0" w:space="0" w:color="auto"/>
            <w:right w:val="none" w:sz="0" w:space="0" w:color="auto"/>
          </w:divBdr>
        </w:div>
        <w:div w:id="799491777">
          <w:marLeft w:val="1080"/>
          <w:marRight w:val="0"/>
          <w:marTop w:val="0"/>
          <w:marBottom w:val="101"/>
          <w:divBdr>
            <w:top w:val="none" w:sz="0" w:space="0" w:color="auto"/>
            <w:left w:val="none" w:sz="0" w:space="0" w:color="auto"/>
            <w:bottom w:val="none" w:sz="0" w:space="0" w:color="auto"/>
            <w:right w:val="none" w:sz="0" w:space="0" w:color="auto"/>
          </w:divBdr>
        </w:div>
        <w:div w:id="1706784972">
          <w:marLeft w:val="1440"/>
          <w:marRight w:val="0"/>
          <w:marTop w:val="0"/>
          <w:marBottom w:val="101"/>
          <w:divBdr>
            <w:top w:val="none" w:sz="0" w:space="0" w:color="auto"/>
            <w:left w:val="none" w:sz="0" w:space="0" w:color="auto"/>
            <w:bottom w:val="none" w:sz="0" w:space="0" w:color="auto"/>
            <w:right w:val="none" w:sz="0" w:space="0" w:color="auto"/>
          </w:divBdr>
        </w:div>
        <w:div w:id="1175807632">
          <w:marLeft w:val="1440"/>
          <w:marRight w:val="0"/>
          <w:marTop w:val="0"/>
          <w:marBottom w:val="101"/>
          <w:divBdr>
            <w:top w:val="none" w:sz="0" w:space="0" w:color="auto"/>
            <w:left w:val="none" w:sz="0" w:space="0" w:color="auto"/>
            <w:bottom w:val="none" w:sz="0" w:space="0" w:color="auto"/>
            <w:right w:val="none" w:sz="0" w:space="0" w:color="auto"/>
          </w:divBdr>
        </w:div>
        <w:div w:id="1199393393">
          <w:marLeft w:val="1440"/>
          <w:marRight w:val="0"/>
          <w:marTop w:val="0"/>
          <w:marBottom w:val="101"/>
          <w:divBdr>
            <w:top w:val="none" w:sz="0" w:space="0" w:color="auto"/>
            <w:left w:val="none" w:sz="0" w:space="0" w:color="auto"/>
            <w:bottom w:val="none" w:sz="0" w:space="0" w:color="auto"/>
            <w:right w:val="none" w:sz="0" w:space="0" w:color="auto"/>
          </w:divBdr>
        </w:div>
        <w:div w:id="1565338586">
          <w:marLeft w:val="1080"/>
          <w:marRight w:val="0"/>
          <w:marTop w:val="0"/>
          <w:marBottom w:val="101"/>
          <w:divBdr>
            <w:top w:val="none" w:sz="0" w:space="0" w:color="auto"/>
            <w:left w:val="none" w:sz="0" w:space="0" w:color="auto"/>
            <w:bottom w:val="none" w:sz="0" w:space="0" w:color="auto"/>
            <w:right w:val="none" w:sz="0" w:space="0" w:color="auto"/>
          </w:divBdr>
        </w:div>
        <w:div w:id="1700157378">
          <w:marLeft w:val="1440"/>
          <w:marRight w:val="0"/>
          <w:marTop w:val="0"/>
          <w:marBottom w:val="101"/>
          <w:divBdr>
            <w:top w:val="none" w:sz="0" w:space="0" w:color="auto"/>
            <w:left w:val="none" w:sz="0" w:space="0" w:color="auto"/>
            <w:bottom w:val="none" w:sz="0" w:space="0" w:color="auto"/>
            <w:right w:val="none" w:sz="0" w:space="0" w:color="auto"/>
          </w:divBdr>
        </w:div>
        <w:div w:id="1357998868">
          <w:marLeft w:val="1440"/>
          <w:marRight w:val="0"/>
          <w:marTop w:val="0"/>
          <w:marBottom w:val="101"/>
          <w:divBdr>
            <w:top w:val="none" w:sz="0" w:space="0" w:color="auto"/>
            <w:left w:val="none" w:sz="0" w:space="0" w:color="auto"/>
            <w:bottom w:val="none" w:sz="0" w:space="0" w:color="auto"/>
            <w:right w:val="none" w:sz="0" w:space="0" w:color="auto"/>
          </w:divBdr>
        </w:div>
        <w:div w:id="2127194334">
          <w:marLeft w:val="1440"/>
          <w:marRight w:val="0"/>
          <w:marTop w:val="0"/>
          <w:marBottom w:val="101"/>
          <w:divBdr>
            <w:top w:val="none" w:sz="0" w:space="0" w:color="auto"/>
            <w:left w:val="none" w:sz="0" w:space="0" w:color="auto"/>
            <w:bottom w:val="none" w:sz="0" w:space="0" w:color="auto"/>
            <w:right w:val="none" w:sz="0" w:space="0" w:color="auto"/>
          </w:divBdr>
        </w:div>
        <w:div w:id="749738237">
          <w:marLeft w:val="1800"/>
          <w:marRight w:val="0"/>
          <w:marTop w:val="0"/>
          <w:marBottom w:val="101"/>
          <w:divBdr>
            <w:top w:val="none" w:sz="0" w:space="0" w:color="auto"/>
            <w:left w:val="none" w:sz="0" w:space="0" w:color="auto"/>
            <w:bottom w:val="none" w:sz="0" w:space="0" w:color="auto"/>
            <w:right w:val="none" w:sz="0" w:space="0" w:color="auto"/>
          </w:divBdr>
        </w:div>
        <w:div w:id="1014458929">
          <w:marLeft w:val="1800"/>
          <w:marRight w:val="0"/>
          <w:marTop w:val="0"/>
          <w:marBottom w:val="101"/>
          <w:divBdr>
            <w:top w:val="none" w:sz="0" w:space="0" w:color="auto"/>
            <w:left w:val="none" w:sz="0" w:space="0" w:color="auto"/>
            <w:bottom w:val="none" w:sz="0" w:space="0" w:color="auto"/>
            <w:right w:val="none" w:sz="0" w:space="0" w:color="auto"/>
          </w:divBdr>
        </w:div>
        <w:div w:id="133912212">
          <w:marLeft w:val="1080"/>
          <w:marRight w:val="0"/>
          <w:marTop w:val="0"/>
          <w:marBottom w:val="101"/>
          <w:divBdr>
            <w:top w:val="none" w:sz="0" w:space="0" w:color="auto"/>
            <w:left w:val="none" w:sz="0" w:space="0" w:color="auto"/>
            <w:bottom w:val="none" w:sz="0" w:space="0" w:color="auto"/>
            <w:right w:val="none" w:sz="0" w:space="0" w:color="auto"/>
          </w:divBdr>
        </w:div>
        <w:div w:id="142355605">
          <w:marLeft w:val="1080"/>
          <w:marRight w:val="0"/>
          <w:marTop w:val="0"/>
          <w:marBottom w:val="101"/>
          <w:divBdr>
            <w:top w:val="none" w:sz="0" w:space="0" w:color="auto"/>
            <w:left w:val="none" w:sz="0" w:space="0" w:color="auto"/>
            <w:bottom w:val="none" w:sz="0" w:space="0" w:color="auto"/>
            <w:right w:val="none" w:sz="0" w:space="0" w:color="auto"/>
          </w:divBdr>
        </w:div>
        <w:div w:id="1760327979">
          <w:marLeft w:val="0"/>
          <w:marRight w:val="0"/>
          <w:marTop w:val="0"/>
          <w:marBottom w:val="101"/>
          <w:divBdr>
            <w:top w:val="none" w:sz="0" w:space="0" w:color="auto"/>
            <w:left w:val="none" w:sz="0" w:space="0" w:color="auto"/>
            <w:bottom w:val="none" w:sz="0" w:space="0" w:color="auto"/>
            <w:right w:val="none" w:sz="0" w:space="0" w:color="auto"/>
          </w:divBdr>
        </w:div>
        <w:div w:id="479425852">
          <w:marLeft w:val="0"/>
          <w:marRight w:val="0"/>
          <w:marTop w:val="0"/>
          <w:marBottom w:val="101"/>
          <w:divBdr>
            <w:top w:val="none" w:sz="0" w:space="0" w:color="auto"/>
            <w:left w:val="none" w:sz="0" w:space="0" w:color="auto"/>
            <w:bottom w:val="none" w:sz="0" w:space="0" w:color="auto"/>
            <w:right w:val="none" w:sz="0" w:space="0" w:color="auto"/>
          </w:divBdr>
        </w:div>
        <w:div w:id="876742944">
          <w:marLeft w:val="0"/>
          <w:marRight w:val="0"/>
          <w:marTop w:val="0"/>
          <w:marBottom w:val="101"/>
          <w:divBdr>
            <w:top w:val="none" w:sz="0" w:space="0" w:color="auto"/>
            <w:left w:val="none" w:sz="0" w:space="0" w:color="auto"/>
            <w:bottom w:val="none" w:sz="0" w:space="0" w:color="auto"/>
            <w:right w:val="none" w:sz="0" w:space="0" w:color="auto"/>
          </w:divBdr>
        </w:div>
        <w:div w:id="294868325">
          <w:marLeft w:val="0"/>
          <w:marRight w:val="0"/>
          <w:marTop w:val="0"/>
          <w:marBottom w:val="101"/>
          <w:divBdr>
            <w:top w:val="none" w:sz="0" w:space="0" w:color="auto"/>
            <w:left w:val="none" w:sz="0" w:space="0" w:color="auto"/>
            <w:bottom w:val="none" w:sz="0" w:space="0" w:color="auto"/>
            <w:right w:val="none" w:sz="0" w:space="0" w:color="auto"/>
          </w:divBdr>
        </w:div>
        <w:div w:id="561602665">
          <w:marLeft w:val="1080"/>
          <w:marRight w:val="0"/>
          <w:marTop w:val="0"/>
          <w:marBottom w:val="101"/>
          <w:divBdr>
            <w:top w:val="none" w:sz="0" w:space="0" w:color="auto"/>
            <w:left w:val="none" w:sz="0" w:space="0" w:color="auto"/>
            <w:bottom w:val="none" w:sz="0" w:space="0" w:color="auto"/>
            <w:right w:val="none" w:sz="0" w:space="0" w:color="auto"/>
          </w:divBdr>
        </w:div>
        <w:div w:id="790443328">
          <w:marLeft w:val="1440"/>
          <w:marRight w:val="0"/>
          <w:marTop w:val="0"/>
          <w:marBottom w:val="101"/>
          <w:divBdr>
            <w:top w:val="none" w:sz="0" w:space="0" w:color="auto"/>
            <w:left w:val="none" w:sz="0" w:space="0" w:color="auto"/>
            <w:bottom w:val="none" w:sz="0" w:space="0" w:color="auto"/>
            <w:right w:val="none" w:sz="0" w:space="0" w:color="auto"/>
          </w:divBdr>
        </w:div>
        <w:div w:id="1755935712">
          <w:marLeft w:val="1440"/>
          <w:marRight w:val="0"/>
          <w:marTop w:val="0"/>
          <w:marBottom w:val="101"/>
          <w:divBdr>
            <w:top w:val="none" w:sz="0" w:space="0" w:color="auto"/>
            <w:left w:val="none" w:sz="0" w:space="0" w:color="auto"/>
            <w:bottom w:val="none" w:sz="0" w:space="0" w:color="auto"/>
            <w:right w:val="none" w:sz="0" w:space="0" w:color="auto"/>
          </w:divBdr>
        </w:div>
        <w:div w:id="4862760">
          <w:marLeft w:val="1440"/>
          <w:marRight w:val="0"/>
          <w:marTop w:val="0"/>
          <w:marBottom w:val="101"/>
          <w:divBdr>
            <w:top w:val="none" w:sz="0" w:space="0" w:color="auto"/>
            <w:left w:val="none" w:sz="0" w:space="0" w:color="auto"/>
            <w:bottom w:val="none" w:sz="0" w:space="0" w:color="auto"/>
            <w:right w:val="none" w:sz="0" w:space="0" w:color="auto"/>
          </w:divBdr>
        </w:div>
        <w:div w:id="212546764">
          <w:marLeft w:val="1440"/>
          <w:marRight w:val="0"/>
          <w:marTop w:val="0"/>
          <w:marBottom w:val="101"/>
          <w:divBdr>
            <w:top w:val="none" w:sz="0" w:space="0" w:color="auto"/>
            <w:left w:val="none" w:sz="0" w:space="0" w:color="auto"/>
            <w:bottom w:val="none" w:sz="0" w:space="0" w:color="auto"/>
            <w:right w:val="none" w:sz="0" w:space="0" w:color="auto"/>
          </w:divBdr>
        </w:div>
        <w:div w:id="21056981">
          <w:marLeft w:val="1440"/>
          <w:marRight w:val="0"/>
          <w:marTop w:val="0"/>
          <w:marBottom w:val="101"/>
          <w:divBdr>
            <w:top w:val="none" w:sz="0" w:space="0" w:color="auto"/>
            <w:left w:val="none" w:sz="0" w:space="0" w:color="auto"/>
            <w:bottom w:val="none" w:sz="0" w:space="0" w:color="auto"/>
            <w:right w:val="none" w:sz="0" w:space="0" w:color="auto"/>
          </w:divBdr>
        </w:div>
        <w:div w:id="1914852889">
          <w:marLeft w:val="1440"/>
          <w:marRight w:val="0"/>
          <w:marTop w:val="0"/>
          <w:marBottom w:val="101"/>
          <w:divBdr>
            <w:top w:val="none" w:sz="0" w:space="0" w:color="auto"/>
            <w:left w:val="none" w:sz="0" w:space="0" w:color="auto"/>
            <w:bottom w:val="none" w:sz="0" w:space="0" w:color="auto"/>
            <w:right w:val="none" w:sz="0" w:space="0" w:color="auto"/>
          </w:divBdr>
        </w:div>
        <w:div w:id="417681088">
          <w:marLeft w:val="1440"/>
          <w:marRight w:val="0"/>
          <w:marTop w:val="0"/>
          <w:marBottom w:val="101"/>
          <w:divBdr>
            <w:top w:val="none" w:sz="0" w:space="0" w:color="auto"/>
            <w:left w:val="none" w:sz="0" w:space="0" w:color="auto"/>
            <w:bottom w:val="none" w:sz="0" w:space="0" w:color="auto"/>
            <w:right w:val="none" w:sz="0" w:space="0" w:color="auto"/>
          </w:divBdr>
        </w:div>
        <w:div w:id="682129923">
          <w:marLeft w:val="1440"/>
          <w:marRight w:val="0"/>
          <w:marTop w:val="0"/>
          <w:marBottom w:val="101"/>
          <w:divBdr>
            <w:top w:val="none" w:sz="0" w:space="0" w:color="auto"/>
            <w:left w:val="none" w:sz="0" w:space="0" w:color="auto"/>
            <w:bottom w:val="none" w:sz="0" w:space="0" w:color="auto"/>
            <w:right w:val="none" w:sz="0" w:space="0" w:color="auto"/>
          </w:divBdr>
        </w:div>
        <w:div w:id="2131239284">
          <w:marLeft w:val="1440"/>
          <w:marRight w:val="0"/>
          <w:marTop w:val="0"/>
          <w:marBottom w:val="101"/>
          <w:divBdr>
            <w:top w:val="none" w:sz="0" w:space="0" w:color="auto"/>
            <w:left w:val="none" w:sz="0" w:space="0" w:color="auto"/>
            <w:bottom w:val="none" w:sz="0" w:space="0" w:color="auto"/>
            <w:right w:val="none" w:sz="0" w:space="0" w:color="auto"/>
          </w:divBdr>
        </w:div>
        <w:div w:id="70082041">
          <w:marLeft w:val="2160"/>
          <w:marRight w:val="0"/>
          <w:marTop w:val="0"/>
          <w:marBottom w:val="101"/>
          <w:divBdr>
            <w:top w:val="none" w:sz="0" w:space="0" w:color="auto"/>
            <w:left w:val="none" w:sz="0" w:space="0" w:color="auto"/>
            <w:bottom w:val="none" w:sz="0" w:space="0" w:color="auto"/>
            <w:right w:val="none" w:sz="0" w:space="0" w:color="auto"/>
          </w:divBdr>
        </w:div>
        <w:div w:id="1024483755">
          <w:marLeft w:val="2160"/>
          <w:marRight w:val="0"/>
          <w:marTop w:val="0"/>
          <w:marBottom w:val="101"/>
          <w:divBdr>
            <w:top w:val="none" w:sz="0" w:space="0" w:color="auto"/>
            <w:left w:val="none" w:sz="0" w:space="0" w:color="auto"/>
            <w:bottom w:val="none" w:sz="0" w:space="0" w:color="auto"/>
            <w:right w:val="none" w:sz="0" w:space="0" w:color="auto"/>
          </w:divBdr>
        </w:div>
        <w:div w:id="1966157674">
          <w:marLeft w:val="2160"/>
          <w:marRight w:val="0"/>
          <w:marTop w:val="0"/>
          <w:marBottom w:val="101"/>
          <w:divBdr>
            <w:top w:val="none" w:sz="0" w:space="0" w:color="auto"/>
            <w:left w:val="none" w:sz="0" w:space="0" w:color="auto"/>
            <w:bottom w:val="none" w:sz="0" w:space="0" w:color="auto"/>
            <w:right w:val="none" w:sz="0" w:space="0" w:color="auto"/>
          </w:divBdr>
        </w:div>
        <w:div w:id="514274042">
          <w:marLeft w:val="2160"/>
          <w:marRight w:val="0"/>
          <w:marTop w:val="0"/>
          <w:marBottom w:val="101"/>
          <w:divBdr>
            <w:top w:val="none" w:sz="0" w:space="0" w:color="auto"/>
            <w:left w:val="none" w:sz="0" w:space="0" w:color="auto"/>
            <w:bottom w:val="none" w:sz="0" w:space="0" w:color="auto"/>
            <w:right w:val="none" w:sz="0" w:space="0" w:color="auto"/>
          </w:divBdr>
        </w:div>
        <w:div w:id="1181776783">
          <w:marLeft w:val="1440"/>
          <w:marRight w:val="0"/>
          <w:marTop w:val="0"/>
          <w:marBottom w:val="101"/>
          <w:divBdr>
            <w:top w:val="none" w:sz="0" w:space="0" w:color="auto"/>
            <w:left w:val="none" w:sz="0" w:space="0" w:color="auto"/>
            <w:bottom w:val="none" w:sz="0" w:space="0" w:color="auto"/>
            <w:right w:val="none" w:sz="0" w:space="0" w:color="auto"/>
          </w:divBdr>
        </w:div>
        <w:div w:id="1366757514">
          <w:marLeft w:val="1440"/>
          <w:marRight w:val="0"/>
          <w:marTop w:val="0"/>
          <w:marBottom w:val="101"/>
          <w:divBdr>
            <w:top w:val="none" w:sz="0" w:space="0" w:color="auto"/>
            <w:left w:val="none" w:sz="0" w:space="0" w:color="auto"/>
            <w:bottom w:val="none" w:sz="0" w:space="0" w:color="auto"/>
            <w:right w:val="none" w:sz="0" w:space="0" w:color="auto"/>
          </w:divBdr>
        </w:div>
        <w:div w:id="450518950">
          <w:marLeft w:val="1440"/>
          <w:marRight w:val="0"/>
          <w:marTop w:val="0"/>
          <w:marBottom w:val="101"/>
          <w:divBdr>
            <w:top w:val="none" w:sz="0" w:space="0" w:color="auto"/>
            <w:left w:val="none" w:sz="0" w:space="0" w:color="auto"/>
            <w:bottom w:val="none" w:sz="0" w:space="0" w:color="auto"/>
            <w:right w:val="none" w:sz="0" w:space="0" w:color="auto"/>
          </w:divBdr>
        </w:div>
        <w:div w:id="271743565">
          <w:marLeft w:val="1080"/>
          <w:marRight w:val="0"/>
          <w:marTop w:val="0"/>
          <w:marBottom w:val="101"/>
          <w:divBdr>
            <w:top w:val="none" w:sz="0" w:space="0" w:color="auto"/>
            <w:left w:val="none" w:sz="0" w:space="0" w:color="auto"/>
            <w:bottom w:val="none" w:sz="0" w:space="0" w:color="auto"/>
            <w:right w:val="none" w:sz="0" w:space="0" w:color="auto"/>
          </w:divBdr>
        </w:div>
        <w:div w:id="234555226">
          <w:marLeft w:val="1440"/>
          <w:marRight w:val="0"/>
          <w:marTop w:val="0"/>
          <w:marBottom w:val="101"/>
          <w:divBdr>
            <w:top w:val="none" w:sz="0" w:space="0" w:color="auto"/>
            <w:left w:val="none" w:sz="0" w:space="0" w:color="auto"/>
            <w:bottom w:val="none" w:sz="0" w:space="0" w:color="auto"/>
            <w:right w:val="none" w:sz="0" w:space="0" w:color="auto"/>
          </w:divBdr>
        </w:div>
        <w:div w:id="2131167561">
          <w:marLeft w:val="1440"/>
          <w:marRight w:val="0"/>
          <w:marTop w:val="0"/>
          <w:marBottom w:val="101"/>
          <w:divBdr>
            <w:top w:val="none" w:sz="0" w:space="0" w:color="auto"/>
            <w:left w:val="none" w:sz="0" w:space="0" w:color="auto"/>
            <w:bottom w:val="none" w:sz="0" w:space="0" w:color="auto"/>
            <w:right w:val="none" w:sz="0" w:space="0" w:color="auto"/>
          </w:divBdr>
        </w:div>
        <w:div w:id="1299261864">
          <w:marLeft w:val="1440"/>
          <w:marRight w:val="0"/>
          <w:marTop w:val="0"/>
          <w:marBottom w:val="101"/>
          <w:divBdr>
            <w:top w:val="none" w:sz="0" w:space="0" w:color="auto"/>
            <w:left w:val="none" w:sz="0" w:space="0" w:color="auto"/>
            <w:bottom w:val="none" w:sz="0" w:space="0" w:color="auto"/>
            <w:right w:val="none" w:sz="0" w:space="0" w:color="auto"/>
          </w:divBdr>
        </w:div>
        <w:div w:id="531455677">
          <w:marLeft w:val="1440"/>
          <w:marRight w:val="0"/>
          <w:marTop w:val="0"/>
          <w:marBottom w:val="101"/>
          <w:divBdr>
            <w:top w:val="none" w:sz="0" w:space="0" w:color="auto"/>
            <w:left w:val="none" w:sz="0" w:space="0" w:color="auto"/>
            <w:bottom w:val="none" w:sz="0" w:space="0" w:color="auto"/>
            <w:right w:val="none" w:sz="0" w:space="0" w:color="auto"/>
          </w:divBdr>
        </w:div>
        <w:div w:id="547029485">
          <w:marLeft w:val="1440"/>
          <w:marRight w:val="0"/>
          <w:marTop w:val="0"/>
          <w:marBottom w:val="101"/>
          <w:divBdr>
            <w:top w:val="none" w:sz="0" w:space="0" w:color="auto"/>
            <w:left w:val="none" w:sz="0" w:space="0" w:color="auto"/>
            <w:bottom w:val="none" w:sz="0" w:space="0" w:color="auto"/>
            <w:right w:val="none" w:sz="0" w:space="0" w:color="auto"/>
          </w:divBdr>
        </w:div>
        <w:div w:id="1623926704">
          <w:marLeft w:val="1080"/>
          <w:marRight w:val="0"/>
          <w:marTop w:val="0"/>
          <w:marBottom w:val="101"/>
          <w:divBdr>
            <w:top w:val="none" w:sz="0" w:space="0" w:color="auto"/>
            <w:left w:val="none" w:sz="0" w:space="0" w:color="auto"/>
            <w:bottom w:val="none" w:sz="0" w:space="0" w:color="auto"/>
            <w:right w:val="none" w:sz="0" w:space="0" w:color="auto"/>
          </w:divBdr>
        </w:div>
        <w:div w:id="211697829">
          <w:marLeft w:val="1440"/>
          <w:marRight w:val="0"/>
          <w:marTop w:val="0"/>
          <w:marBottom w:val="101"/>
          <w:divBdr>
            <w:top w:val="none" w:sz="0" w:space="0" w:color="auto"/>
            <w:left w:val="none" w:sz="0" w:space="0" w:color="auto"/>
            <w:bottom w:val="none" w:sz="0" w:space="0" w:color="auto"/>
            <w:right w:val="none" w:sz="0" w:space="0" w:color="auto"/>
          </w:divBdr>
        </w:div>
        <w:div w:id="68382033">
          <w:marLeft w:val="1440"/>
          <w:marRight w:val="0"/>
          <w:marTop w:val="0"/>
          <w:marBottom w:val="101"/>
          <w:divBdr>
            <w:top w:val="none" w:sz="0" w:space="0" w:color="auto"/>
            <w:left w:val="none" w:sz="0" w:space="0" w:color="auto"/>
            <w:bottom w:val="none" w:sz="0" w:space="0" w:color="auto"/>
            <w:right w:val="none" w:sz="0" w:space="0" w:color="auto"/>
          </w:divBdr>
        </w:div>
        <w:div w:id="1649240221">
          <w:marLeft w:val="1440"/>
          <w:marRight w:val="0"/>
          <w:marTop w:val="0"/>
          <w:marBottom w:val="101"/>
          <w:divBdr>
            <w:top w:val="none" w:sz="0" w:space="0" w:color="auto"/>
            <w:left w:val="none" w:sz="0" w:space="0" w:color="auto"/>
            <w:bottom w:val="none" w:sz="0" w:space="0" w:color="auto"/>
            <w:right w:val="none" w:sz="0" w:space="0" w:color="auto"/>
          </w:divBdr>
        </w:div>
        <w:div w:id="2026637669">
          <w:marLeft w:val="1440"/>
          <w:marRight w:val="0"/>
          <w:marTop w:val="0"/>
          <w:marBottom w:val="101"/>
          <w:divBdr>
            <w:top w:val="none" w:sz="0" w:space="0" w:color="auto"/>
            <w:left w:val="none" w:sz="0" w:space="0" w:color="auto"/>
            <w:bottom w:val="none" w:sz="0" w:space="0" w:color="auto"/>
            <w:right w:val="none" w:sz="0" w:space="0" w:color="auto"/>
          </w:divBdr>
        </w:div>
        <w:div w:id="1916501956">
          <w:marLeft w:val="1440"/>
          <w:marRight w:val="0"/>
          <w:marTop w:val="0"/>
          <w:marBottom w:val="101"/>
          <w:divBdr>
            <w:top w:val="none" w:sz="0" w:space="0" w:color="auto"/>
            <w:left w:val="none" w:sz="0" w:space="0" w:color="auto"/>
            <w:bottom w:val="none" w:sz="0" w:space="0" w:color="auto"/>
            <w:right w:val="none" w:sz="0" w:space="0" w:color="auto"/>
          </w:divBdr>
        </w:div>
        <w:div w:id="849682189">
          <w:marLeft w:val="2160"/>
          <w:marRight w:val="0"/>
          <w:marTop w:val="0"/>
          <w:marBottom w:val="101"/>
          <w:divBdr>
            <w:top w:val="none" w:sz="0" w:space="0" w:color="auto"/>
            <w:left w:val="none" w:sz="0" w:space="0" w:color="auto"/>
            <w:bottom w:val="none" w:sz="0" w:space="0" w:color="auto"/>
            <w:right w:val="none" w:sz="0" w:space="0" w:color="auto"/>
          </w:divBdr>
        </w:div>
        <w:div w:id="1432626415">
          <w:marLeft w:val="2160"/>
          <w:marRight w:val="0"/>
          <w:marTop w:val="0"/>
          <w:marBottom w:val="101"/>
          <w:divBdr>
            <w:top w:val="none" w:sz="0" w:space="0" w:color="auto"/>
            <w:left w:val="none" w:sz="0" w:space="0" w:color="auto"/>
            <w:bottom w:val="none" w:sz="0" w:space="0" w:color="auto"/>
            <w:right w:val="none" w:sz="0" w:space="0" w:color="auto"/>
          </w:divBdr>
        </w:div>
        <w:div w:id="66655428">
          <w:marLeft w:val="2160"/>
          <w:marRight w:val="0"/>
          <w:marTop w:val="0"/>
          <w:marBottom w:val="101"/>
          <w:divBdr>
            <w:top w:val="none" w:sz="0" w:space="0" w:color="auto"/>
            <w:left w:val="none" w:sz="0" w:space="0" w:color="auto"/>
            <w:bottom w:val="none" w:sz="0" w:space="0" w:color="auto"/>
            <w:right w:val="none" w:sz="0" w:space="0" w:color="auto"/>
          </w:divBdr>
        </w:div>
        <w:div w:id="785344933">
          <w:marLeft w:val="2160"/>
          <w:marRight w:val="0"/>
          <w:marTop w:val="0"/>
          <w:marBottom w:val="101"/>
          <w:divBdr>
            <w:top w:val="none" w:sz="0" w:space="0" w:color="auto"/>
            <w:left w:val="none" w:sz="0" w:space="0" w:color="auto"/>
            <w:bottom w:val="none" w:sz="0" w:space="0" w:color="auto"/>
            <w:right w:val="none" w:sz="0" w:space="0" w:color="auto"/>
          </w:divBdr>
        </w:div>
        <w:div w:id="189298710">
          <w:marLeft w:val="1440"/>
          <w:marRight w:val="0"/>
          <w:marTop w:val="0"/>
          <w:marBottom w:val="101"/>
          <w:divBdr>
            <w:top w:val="none" w:sz="0" w:space="0" w:color="auto"/>
            <w:left w:val="none" w:sz="0" w:space="0" w:color="auto"/>
            <w:bottom w:val="none" w:sz="0" w:space="0" w:color="auto"/>
            <w:right w:val="none" w:sz="0" w:space="0" w:color="auto"/>
          </w:divBdr>
        </w:div>
        <w:div w:id="201597273">
          <w:marLeft w:val="1080"/>
          <w:marRight w:val="0"/>
          <w:marTop w:val="0"/>
          <w:marBottom w:val="101"/>
          <w:divBdr>
            <w:top w:val="none" w:sz="0" w:space="0" w:color="auto"/>
            <w:left w:val="none" w:sz="0" w:space="0" w:color="auto"/>
            <w:bottom w:val="none" w:sz="0" w:space="0" w:color="auto"/>
            <w:right w:val="none" w:sz="0" w:space="0" w:color="auto"/>
          </w:divBdr>
        </w:div>
        <w:div w:id="1498039080">
          <w:marLeft w:val="0"/>
          <w:marRight w:val="0"/>
          <w:marTop w:val="101"/>
          <w:marBottom w:val="101"/>
          <w:divBdr>
            <w:top w:val="none" w:sz="0" w:space="0" w:color="auto"/>
            <w:left w:val="none" w:sz="0" w:space="0" w:color="auto"/>
            <w:bottom w:val="none" w:sz="0" w:space="0" w:color="auto"/>
            <w:right w:val="none" w:sz="0" w:space="0" w:color="auto"/>
          </w:divBdr>
        </w:div>
        <w:div w:id="742433">
          <w:marLeft w:val="0"/>
          <w:marRight w:val="0"/>
          <w:marTop w:val="0"/>
          <w:marBottom w:val="101"/>
          <w:divBdr>
            <w:top w:val="none" w:sz="0" w:space="0" w:color="auto"/>
            <w:left w:val="none" w:sz="0" w:space="0" w:color="auto"/>
            <w:bottom w:val="none" w:sz="0" w:space="0" w:color="auto"/>
            <w:right w:val="none" w:sz="0" w:space="0" w:color="auto"/>
          </w:divBdr>
        </w:div>
        <w:div w:id="375859813">
          <w:marLeft w:val="1080"/>
          <w:marRight w:val="0"/>
          <w:marTop w:val="0"/>
          <w:marBottom w:val="101"/>
          <w:divBdr>
            <w:top w:val="none" w:sz="0" w:space="0" w:color="auto"/>
            <w:left w:val="none" w:sz="0" w:space="0" w:color="auto"/>
            <w:bottom w:val="none" w:sz="0" w:space="0" w:color="auto"/>
            <w:right w:val="none" w:sz="0" w:space="0" w:color="auto"/>
          </w:divBdr>
        </w:div>
        <w:div w:id="2125880443">
          <w:marLeft w:val="1080"/>
          <w:marRight w:val="0"/>
          <w:marTop w:val="0"/>
          <w:marBottom w:val="101"/>
          <w:divBdr>
            <w:top w:val="none" w:sz="0" w:space="0" w:color="auto"/>
            <w:left w:val="none" w:sz="0" w:space="0" w:color="auto"/>
            <w:bottom w:val="none" w:sz="0" w:space="0" w:color="auto"/>
            <w:right w:val="none" w:sz="0" w:space="0" w:color="auto"/>
          </w:divBdr>
        </w:div>
        <w:div w:id="150869926">
          <w:marLeft w:val="1440"/>
          <w:marRight w:val="0"/>
          <w:marTop w:val="0"/>
          <w:marBottom w:val="101"/>
          <w:divBdr>
            <w:top w:val="none" w:sz="0" w:space="0" w:color="auto"/>
            <w:left w:val="none" w:sz="0" w:space="0" w:color="auto"/>
            <w:bottom w:val="none" w:sz="0" w:space="0" w:color="auto"/>
            <w:right w:val="none" w:sz="0" w:space="0" w:color="auto"/>
          </w:divBdr>
        </w:div>
        <w:div w:id="1134367279">
          <w:marLeft w:val="1440"/>
          <w:marRight w:val="0"/>
          <w:marTop w:val="0"/>
          <w:marBottom w:val="101"/>
          <w:divBdr>
            <w:top w:val="none" w:sz="0" w:space="0" w:color="auto"/>
            <w:left w:val="none" w:sz="0" w:space="0" w:color="auto"/>
            <w:bottom w:val="none" w:sz="0" w:space="0" w:color="auto"/>
            <w:right w:val="none" w:sz="0" w:space="0" w:color="auto"/>
          </w:divBdr>
        </w:div>
        <w:div w:id="684599823">
          <w:marLeft w:val="1800"/>
          <w:marRight w:val="0"/>
          <w:marTop w:val="0"/>
          <w:marBottom w:val="101"/>
          <w:divBdr>
            <w:top w:val="none" w:sz="0" w:space="0" w:color="auto"/>
            <w:left w:val="none" w:sz="0" w:space="0" w:color="auto"/>
            <w:bottom w:val="none" w:sz="0" w:space="0" w:color="auto"/>
            <w:right w:val="none" w:sz="0" w:space="0" w:color="auto"/>
          </w:divBdr>
        </w:div>
        <w:div w:id="523637164">
          <w:marLeft w:val="1800"/>
          <w:marRight w:val="0"/>
          <w:marTop w:val="0"/>
          <w:marBottom w:val="101"/>
          <w:divBdr>
            <w:top w:val="none" w:sz="0" w:space="0" w:color="auto"/>
            <w:left w:val="none" w:sz="0" w:space="0" w:color="auto"/>
            <w:bottom w:val="none" w:sz="0" w:space="0" w:color="auto"/>
            <w:right w:val="none" w:sz="0" w:space="0" w:color="auto"/>
          </w:divBdr>
        </w:div>
        <w:div w:id="251672212">
          <w:marLeft w:val="1800"/>
          <w:marRight w:val="0"/>
          <w:marTop w:val="0"/>
          <w:marBottom w:val="101"/>
          <w:divBdr>
            <w:top w:val="none" w:sz="0" w:space="0" w:color="auto"/>
            <w:left w:val="none" w:sz="0" w:space="0" w:color="auto"/>
            <w:bottom w:val="none" w:sz="0" w:space="0" w:color="auto"/>
            <w:right w:val="none" w:sz="0" w:space="0" w:color="auto"/>
          </w:divBdr>
        </w:div>
        <w:div w:id="1497183906">
          <w:marLeft w:val="1440"/>
          <w:marRight w:val="0"/>
          <w:marTop w:val="0"/>
          <w:marBottom w:val="101"/>
          <w:divBdr>
            <w:top w:val="none" w:sz="0" w:space="0" w:color="auto"/>
            <w:left w:val="none" w:sz="0" w:space="0" w:color="auto"/>
            <w:bottom w:val="none" w:sz="0" w:space="0" w:color="auto"/>
            <w:right w:val="none" w:sz="0" w:space="0" w:color="auto"/>
          </w:divBdr>
        </w:div>
        <w:div w:id="1903755350">
          <w:marLeft w:val="1800"/>
          <w:marRight w:val="0"/>
          <w:marTop w:val="0"/>
          <w:marBottom w:val="101"/>
          <w:divBdr>
            <w:top w:val="none" w:sz="0" w:space="0" w:color="auto"/>
            <w:left w:val="none" w:sz="0" w:space="0" w:color="auto"/>
            <w:bottom w:val="none" w:sz="0" w:space="0" w:color="auto"/>
            <w:right w:val="none" w:sz="0" w:space="0" w:color="auto"/>
          </w:divBdr>
        </w:div>
        <w:div w:id="1954897573">
          <w:marLeft w:val="1800"/>
          <w:marRight w:val="0"/>
          <w:marTop w:val="0"/>
          <w:marBottom w:val="101"/>
          <w:divBdr>
            <w:top w:val="none" w:sz="0" w:space="0" w:color="auto"/>
            <w:left w:val="none" w:sz="0" w:space="0" w:color="auto"/>
            <w:bottom w:val="none" w:sz="0" w:space="0" w:color="auto"/>
            <w:right w:val="none" w:sz="0" w:space="0" w:color="auto"/>
          </w:divBdr>
        </w:div>
        <w:div w:id="132260402">
          <w:marLeft w:val="1800"/>
          <w:marRight w:val="0"/>
          <w:marTop w:val="0"/>
          <w:marBottom w:val="101"/>
          <w:divBdr>
            <w:top w:val="none" w:sz="0" w:space="0" w:color="auto"/>
            <w:left w:val="none" w:sz="0" w:space="0" w:color="auto"/>
            <w:bottom w:val="none" w:sz="0" w:space="0" w:color="auto"/>
            <w:right w:val="none" w:sz="0" w:space="0" w:color="auto"/>
          </w:divBdr>
        </w:div>
        <w:div w:id="1757050272">
          <w:marLeft w:val="1800"/>
          <w:marRight w:val="0"/>
          <w:marTop w:val="0"/>
          <w:marBottom w:val="101"/>
          <w:divBdr>
            <w:top w:val="none" w:sz="0" w:space="0" w:color="auto"/>
            <w:left w:val="none" w:sz="0" w:space="0" w:color="auto"/>
            <w:bottom w:val="none" w:sz="0" w:space="0" w:color="auto"/>
            <w:right w:val="none" w:sz="0" w:space="0" w:color="auto"/>
          </w:divBdr>
        </w:div>
        <w:div w:id="768160732">
          <w:marLeft w:val="1440"/>
          <w:marRight w:val="0"/>
          <w:marTop w:val="0"/>
          <w:marBottom w:val="101"/>
          <w:divBdr>
            <w:top w:val="none" w:sz="0" w:space="0" w:color="auto"/>
            <w:left w:val="none" w:sz="0" w:space="0" w:color="auto"/>
            <w:bottom w:val="none" w:sz="0" w:space="0" w:color="auto"/>
            <w:right w:val="none" w:sz="0" w:space="0" w:color="auto"/>
          </w:divBdr>
        </w:div>
        <w:div w:id="417872407">
          <w:marLeft w:val="1800"/>
          <w:marRight w:val="0"/>
          <w:marTop w:val="0"/>
          <w:marBottom w:val="101"/>
          <w:divBdr>
            <w:top w:val="none" w:sz="0" w:space="0" w:color="auto"/>
            <w:left w:val="none" w:sz="0" w:space="0" w:color="auto"/>
            <w:bottom w:val="none" w:sz="0" w:space="0" w:color="auto"/>
            <w:right w:val="none" w:sz="0" w:space="0" w:color="auto"/>
          </w:divBdr>
        </w:div>
        <w:div w:id="604651978">
          <w:marLeft w:val="1800"/>
          <w:marRight w:val="0"/>
          <w:marTop w:val="0"/>
          <w:marBottom w:val="101"/>
          <w:divBdr>
            <w:top w:val="none" w:sz="0" w:space="0" w:color="auto"/>
            <w:left w:val="none" w:sz="0" w:space="0" w:color="auto"/>
            <w:bottom w:val="none" w:sz="0" w:space="0" w:color="auto"/>
            <w:right w:val="none" w:sz="0" w:space="0" w:color="auto"/>
          </w:divBdr>
        </w:div>
        <w:div w:id="180751426">
          <w:marLeft w:val="1800"/>
          <w:marRight w:val="0"/>
          <w:marTop w:val="0"/>
          <w:marBottom w:val="101"/>
          <w:divBdr>
            <w:top w:val="none" w:sz="0" w:space="0" w:color="auto"/>
            <w:left w:val="none" w:sz="0" w:space="0" w:color="auto"/>
            <w:bottom w:val="none" w:sz="0" w:space="0" w:color="auto"/>
            <w:right w:val="none" w:sz="0" w:space="0" w:color="auto"/>
          </w:divBdr>
        </w:div>
        <w:div w:id="965162867">
          <w:marLeft w:val="1800"/>
          <w:marRight w:val="0"/>
          <w:marTop w:val="0"/>
          <w:marBottom w:val="101"/>
          <w:divBdr>
            <w:top w:val="none" w:sz="0" w:space="0" w:color="auto"/>
            <w:left w:val="none" w:sz="0" w:space="0" w:color="auto"/>
            <w:bottom w:val="none" w:sz="0" w:space="0" w:color="auto"/>
            <w:right w:val="none" w:sz="0" w:space="0" w:color="auto"/>
          </w:divBdr>
        </w:div>
        <w:div w:id="1294367596">
          <w:marLeft w:val="1800"/>
          <w:marRight w:val="0"/>
          <w:marTop w:val="0"/>
          <w:marBottom w:val="101"/>
          <w:divBdr>
            <w:top w:val="none" w:sz="0" w:space="0" w:color="auto"/>
            <w:left w:val="none" w:sz="0" w:space="0" w:color="auto"/>
            <w:bottom w:val="none" w:sz="0" w:space="0" w:color="auto"/>
            <w:right w:val="none" w:sz="0" w:space="0" w:color="auto"/>
          </w:divBdr>
        </w:div>
        <w:div w:id="415173212">
          <w:marLeft w:val="1800"/>
          <w:marRight w:val="0"/>
          <w:marTop w:val="0"/>
          <w:marBottom w:val="101"/>
          <w:divBdr>
            <w:top w:val="none" w:sz="0" w:space="0" w:color="auto"/>
            <w:left w:val="none" w:sz="0" w:space="0" w:color="auto"/>
            <w:bottom w:val="none" w:sz="0" w:space="0" w:color="auto"/>
            <w:right w:val="none" w:sz="0" w:space="0" w:color="auto"/>
          </w:divBdr>
        </w:div>
        <w:div w:id="106000705">
          <w:marLeft w:val="1800"/>
          <w:marRight w:val="0"/>
          <w:marTop w:val="0"/>
          <w:marBottom w:val="101"/>
          <w:divBdr>
            <w:top w:val="none" w:sz="0" w:space="0" w:color="auto"/>
            <w:left w:val="none" w:sz="0" w:space="0" w:color="auto"/>
            <w:bottom w:val="none" w:sz="0" w:space="0" w:color="auto"/>
            <w:right w:val="none" w:sz="0" w:space="0" w:color="auto"/>
          </w:divBdr>
        </w:div>
        <w:div w:id="2067751239">
          <w:marLeft w:val="1440"/>
          <w:marRight w:val="0"/>
          <w:marTop w:val="0"/>
          <w:marBottom w:val="101"/>
          <w:divBdr>
            <w:top w:val="none" w:sz="0" w:space="0" w:color="auto"/>
            <w:left w:val="none" w:sz="0" w:space="0" w:color="auto"/>
            <w:bottom w:val="none" w:sz="0" w:space="0" w:color="auto"/>
            <w:right w:val="none" w:sz="0" w:space="0" w:color="auto"/>
          </w:divBdr>
        </w:div>
        <w:div w:id="341323845">
          <w:marLeft w:val="1800"/>
          <w:marRight w:val="0"/>
          <w:marTop w:val="0"/>
          <w:marBottom w:val="101"/>
          <w:divBdr>
            <w:top w:val="none" w:sz="0" w:space="0" w:color="auto"/>
            <w:left w:val="none" w:sz="0" w:space="0" w:color="auto"/>
            <w:bottom w:val="none" w:sz="0" w:space="0" w:color="auto"/>
            <w:right w:val="none" w:sz="0" w:space="0" w:color="auto"/>
          </w:divBdr>
        </w:div>
        <w:div w:id="1758214366">
          <w:marLeft w:val="1800"/>
          <w:marRight w:val="0"/>
          <w:marTop w:val="0"/>
          <w:marBottom w:val="101"/>
          <w:divBdr>
            <w:top w:val="none" w:sz="0" w:space="0" w:color="auto"/>
            <w:left w:val="none" w:sz="0" w:space="0" w:color="auto"/>
            <w:bottom w:val="none" w:sz="0" w:space="0" w:color="auto"/>
            <w:right w:val="none" w:sz="0" w:space="0" w:color="auto"/>
          </w:divBdr>
        </w:div>
        <w:div w:id="1169101558">
          <w:marLeft w:val="1800"/>
          <w:marRight w:val="0"/>
          <w:marTop w:val="0"/>
          <w:marBottom w:val="101"/>
          <w:divBdr>
            <w:top w:val="none" w:sz="0" w:space="0" w:color="auto"/>
            <w:left w:val="none" w:sz="0" w:space="0" w:color="auto"/>
            <w:bottom w:val="none" w:sz="0" w:space="0" w:color="auto"/>
            <w:right w:val="none" w:sz="0" w:space="0" w:color="auto"/>
          </w:divBdr>
        </w:div>
        <w:div w:id="1872644298">
          <w:marLeft w:val="1440"/>
          <w:marRight w:val="0"/>
          <w:marTop w:val="0"/>
          <w:marBottom w:val="101"/>
          <w:divBdr>
            <w:top w:val="none" w:sz="0" w:space="0" w:color="auto"/>
            <w:left w:val="none" w:sz="0" w:space="0" w:color="auto"/>
            <w:bottom w:val="none" w:sz="0" w:space="0" w:color="auto"/>
            <w:right w:val="none" w:sz="0" w:space="0" w:color="auto"/>
          </w:divBdr>
        </w:div>
        <w:div w:id="487981205">
          <w:marLeft w:val="1800"/>
          <w:marRight w:val="0"/>
          <w:marTop w:val="0"/>
          <w:marBottom w:val="101"/>
          <w:divBdr>
            <w:top w:val="none" w:sz="0" w:space="0" w:color="auto"/>
            <w:left w:val="none" w:sz="0" w:space="0" w:color="auto"/>
            <w:bottom w:val="none" w:sz="0" w:space="0" w:color="auto"/>
            <w:right w:val="none" w:sz="0" w:space="0" w:color="auto"/>
          </w:divBdr>
        </w:div>
        <w:div w:id="1241990365">
          <w:marLeft w:val="1800"/>
          <w:marRight w:val="0"/>
          <w:marTop w:val="0"/>
          <w:marBottom w:val="101"/>
          <w:divBdr>
            <w:top w:val="none" w:sz="0" w:space="0" w:color="auto"/>
            <w:left w:val="none" w:sz="0" w:space="0" w:color="auto"/>
            <w:bottom w:val="none" w:sz="0" w:space="0" w:color="auto"/>
            <w:right w:val="none" w:sz="0" w:space="0" w:color="auto"/>
          </w:divBdr>
        </w:div>
        <w:div w:id="1922912233">
          <w:marLeft w:val="1800"/>
          <w:marRight w:val="0"/>
          <w:marTop w:val="0"/>
          <w:marBottom w:val="101"/>
          <w:divBdr>
            <w:top w:val="none" w:sz="0" w:space="0" w:color="auto"/>
            <w:left w:val="none" w:sz="0" w:space="0" w:color="auto"/>
            <w:bottom w:val="none" w:sz="0" w:space="0" w:color="auto"/>
            <w:right w:val="none" w:sz="0" w:space="0" w:color="auto"/>
          </w:divBdr>
        </w:div>
        <w:div w:id="1348021064">
          <w:marLeft w:val="1800"/>
          <w:marRight w:val="0"/>
          <w:marTop w:val="0"/>
          <w:marBottom w:val="101"/>
          <w:divBdr>
            <w:top w:val="none" w:sz="0" w:space="0" w:color="auto"/>
            <w:left w:val="none" w:sz="0" w:space="0" w:color="auto"/>
            <w:bottom w:val="none" w:sz="0" w:space="0" w:color="auto"/>
            <w:right w:val="none" w:sz="0" w:space="0" w:color="auto"/>
          </w:divBdr>
        </w:div>
        <w:div w:id="280495007">
          <w:marLeft w:val="0"/>
          <w:marRight w:val="0"/>
          <w:marTop w:val="0"/>
          <w:marBottom w:val="101"/>
          <w:divBdr>
            <w:top w:val="none" w:sz="0" w:space="0" w:color="auto"/>
            <w:left w:val="none" w:sz="0" w:space="0" w:color="auto"/>
            <w:bottom w:val="none" w:sz="0" w:space="0" w:color="auto"/>
            <w:right w:val="none" w:sz="0" w:space="0" w:color="auto"/>
          </w:divBdr>
        </w:div>
        <w:div w:id="1757287705">
          <w:marLeft w:val="0"/>
          <w:marRight w:val="0"/>
          <w:marTop w:val="101"/>
          <w:marBottom w:val="101"/>
          <w:divBdr>
            <w:top w:val="none" w:sz="0" w:space="0" w:color="auto"/>
            <w:left w:val="none" w:sz="0" w:space="0" w:color="auto"/>
            <w:bottom w:val="none" w:sz="0" w:space="0" w:color="auto"/>
            <w:right w:val="none" w:sz="0" w:space="0" w:color="auto"/>
          </w:divBdr>
        </w:div>
        <w:div w:id="2004311562">
          <w:marLeft w:val="0"/>
          <w:marRight w:val="0"/>
          <w:marTop w:val="0"/>
          <w:marBottom w:val="101"/>
          <w:divBdr>
            <w:top w:val="none" w:sz="0" w:space="0" w:color="auto"/>
            <w:left w:val="none" w:sz="0" w:space="0" w:color="auto"/>
            <w:bottom w:val="none" w:sz="0" w:space="0" w:color="auto"/>
            <w:right w:val="none" w:sz="0" w:space="0" w:color="auto"/>
          </w:divBdr>
        </w:div>
        <w:div w:id="949314735">
          <w:marLeft w:val="0"/>
          <w:marRight w:val="0"/>
          <w:marTop w:val="0"/>
          <w:marBottom w:val="101"/>
          <w:divBdr>
            <w:top w:val="none" w:sz="0" w:space="0" w:color="auto"/>
            <w:left w:val="none" w:sz="0" w:space="0" w:color="auto"/>
            <w:bottom w:val="none" w:sz="0" w:space="0" w:color="auto"/>
            <w:right w:val="none" w:sz="0" w:space="0" w:color="auto"/>
          </w:divBdr>
        </w:div>
        <w:div w:id="1003095655">
          <w:marLeft w:val="0"/>
          <w:marRight w:val="0"/>
          <w:marTop w:val="0"/>
          <w:marBottom w:val="101"/>
          <w:divBdr>
            <w:top w:val="none" w:sz="0" w:space="0" w:color="auto"/>
            <w:left w:val="none" w:sz="0" w:space="0" w:color="auto"/>
            <w:bottom w:val="none" w:sz="0" w:space="0" w:color="auto"/>
            <w:right w:val="none" w:sz="0" w:space="0" w:color="auto"/>
          </w:divBdr>
        </w:div>
        <w:div w:id="726492558">
          <w:marLeft w:val="0"/>
          <w:marRight w:val="0"/>
          <w:marTop w:val="0"/>
          <w:marBottom w:val="101"/>
          <w:divBdr>
            <w:top w:val="none" w:sz="0" w:space="0" w:color="auto"/>
            <w:left w:val="none" w:sz="0" w:space="0" w:color="auto"/>
            <w:bottom w:val="none" w:sz="0" w:space="0" w:color="auto"/>
            <w:right w:val="none" w:sz="0" w:space="0" w:color="auto"/>
          </w:divBdr>
        </w:div>
        <w:div w:id="609045991">
          <w:marLeft w:val="0"/>
          <w:marRight w:val="0"/>
          <w:marTop w:val="0"/>
          <w:marBottom w:val="101"/>
          <w:divBdr>
            <w:top w:val="none" w:sz="0" w:space="0" w:color="auto"/>
            <w:left w:val="none" w:sz="0" w:space="0" w:color="auto"/>
            <w:bottom w:val="none" w:sz="0" w:space="0" w:color="auto"/>
            <w:right w:val="none" w:sz="0" w:space="0" w:color="auto"/>
          </w:divBdr>
        </w:div>
        <w:div w:id="1049035163">
          <w:marLeft w:val="0"/>
          <w:marRight w:val="0"/>
          <w:marTop w:val="0"/>
          <w:marBottom w:val="101"/>
          <w:divBdr>
            <w:top w:val="none" w:sz="0" w:space="0" w:color="auto"/>
            <w:left w:val="none" w:sz="0" w:space="0" w:color="auto"/>
            <w:bottom w:val="none" w:sz="0" w:space="0" w:color="auto"/>
            <w:right w:val="none" w:sz="0" w:space="0" w:color="auto"/>
          </w:divBdr>
        </w:div>
        <w:div w:id="426737043">
          <w:marLeft w:val="0"/>
          <w:marRight w:val="0"/>
          <w:marTop w:val="0"/>
          <w:marBottom w:val="101"/>
          <w:divBdr>
            <w:top w:val="none" w:sz="0" w:space="0" w:color="auto"/>
            <w:left w:val="none" w:sz="0" w:space="0" w:color="auto"/>
            <w:bottom w:val="none" w:sz="0" w:space="0" w:color="auto"/>
            <w:right w:val="none" w:sz="0" w:space="0" w:color="auto"/>
          </w:divBdr>
        </w:div>
        <w:div w:id="510920078">
          <w:marLeft w:val="0"/>
          <w:marRight w:val="0"/>
          <w:marTop w:val="0"/>
          <w:marBottom w:val="101"/>
          <w:divBdr>
            <w:top w:val="none" w:sz="0" w:space="0" w:color="auto"/>
            <w:left w:val="none" w:sz="0" w:space="0" w:color="auto"/>
            <w:bottom w:val="none" w:sz="0" w:space="0" w:color="auto"/>
            <w:right w:val="none" w:sz="0" w:space="0" w:color="auto"/>
          </w:divBdr>
        </w:div>
        <w:div w:id="311951403">
          <w:marLeft w:val="0"/>
          <w:marRight w:val="0"/>
          <w:marTop w:val="0"/>
          <w:marBottom w:val="101"/>
          <w:divBdr>
            <w:top w:val="none" w:sz="0" w:space="0" w:color="auto"/>
            <w:left w:val="none" w:sz="0" w:space="0" w:color="auto"/>
            <w:bottom w:val="none" w:sz="0" w:space="0" w:color="auto"/>
            <w:right w:val="none" w:sz="0" w:space="0" w:color="auto"/>
          </w:divBdr>
        </w:div>
        <w:div w:id="2062056402">
          <w:marLeft w:val="0"/>
          <w:marRight w:val="0"/>
          <w:marTop w:val="0"/>
          <w:marBottom w:val="101"/>
          <w:divBdr>
            <w:top w:val="none" w:sz="0" w:space="0" w:color="auto"/>
            <w:left w:val="none" w:sz="0" w:space="0" w:color="auto"/>
            <w:bottom w:val="none" w:sz="0" w:space="0" w:color="auto"/>
            <w:right w:val="none" w:sz="0" w:space="0" w:color="auto"/>
          </w:divBdr>
        </w:div>
        <w:div w:id="1411079995">
          <w:marLeft w:val="0"/>
          <w:marRight w:val="0"/>
          <w:marTop w:val="0"/>
          <w:marBottom w:val="101"/>
          <w:divBdr>
            <w:top w:val="none" w:sz="0" w:space="0" w:color="auto"/>
            <w:left w:val="none" w:sz="0" w:space="0" w:color="auto"/>
            <w:bottom w:val="none" w:sz="0" w:space="0" w:color="auto"/>
            <w:right w:val="none" w:sz="0" w:space="0" w:color="auto"/>
          </w:divBdr>
        </w:div>
        <w:div w:id="100422678">
          <w:marLeft w:val="0"/>
          <w:marRight w:val="0"/>
          <w:marTop w:val="0"/>
          <w:marBottom w:val="101"/>
          <w:divBdr>
            <w:top w:val="none" w:sz="0" w:space="0" w:color="auto"/>
            <w:left w:val="none" w:sz="0" w:space="0" w:color="auto"/>
            <w:bottom w:val="none" w:sz="0" w:space="0" w:color="auto"/>
            <w:right w:val="none" w:sz="0" w:space="0" w:color="auto"/>
          </w:divBdr>
        </w:div>
        <w:div w:id="2112432107">
          <w:marLeft w:val="0"/>
          <w:marRight w:val="0"/>
          <w:marTop w:val="0"/>
          <w:marBottom w:val="101"/>
          <w:divBdr>
            <w:top w:val="none" w:sz="0" w:space="0" w:color="auto"/>
            <w:left w:val="none" w:sz="0" w:space="0" w:color="auto"/>
            <w:bottom w:val="none" w:sz="0" w:space="0" w:color="auto"/>
            <w:right w:val="none" w:sz="0" w:space="0" w:color="auto"/>
          </w:divBdr>
        </w:div>
        <w:div w:id="1689721254">
          <w:marLeft w:val="0"/>
          <w:marRight w:val="0"/>
          <w:marTop w:val="0"/>
          <w:marBottom w:val="101"/>
          <w:divBdr>
            <w:top w:val="none" w:sz="0" w:space="0" w:color="auto"/>
            <w:left w:val="none" w:sz="0" w:space="0" w:color="auto"/>
            <w:bottom w:val="none" w:sz="0" w:space="0" w:color="auto"/>
            <w:right w:val="none" w:sz="0" w:space="0" w:color="auto"/>
          </w:divBdr>
        </w:div>
        <w:div w:id="1931812450">
          <w:marLeft w:val="0"/>
          <w:marRight w:val="0"/>
          <w:marTop w:val="0"/>
          <w:marBottom w:val="101"/>
          <w:divBdr>
            <w:top w:val="none" w:sz="0" w:space="0" w:color="auto"/>
            <w:left w:val="none" w:sz="0" w:space="0" w:color="auto"/>
            <w:bottom w:val="none" w:sz="0" w:space="0" w:color="auto"/>
            <w:right w:val="none" w:sz="0" w:space="0" w:color="auto"/>
          </w:divBdr>
        </w:div>
        <w:div w:id="595016544">
          <w:marLeft w:val="0"/>
          <w:marRight w:val="0"/>
          <w:marTop w:val="0"/>
          <w:marBottom w:val="101"/>
          <w:divBdr>
            <w:top w:val="none" w:sz="0" w:space="0" w:color="auto"/>
            <w:left w:val="none" w:sz="0" w:space="0" w:color="auto"/>
            <w:bottom w:val="none" w:sz="0" w:space="0" w:color="auto"/>
            <w:right w:val="none" w:sz="0" w:space="0" w:color="auto"/>
          </w:divBdr>
        </w:div>
        <w:div w:id="1614437779">
          <w:marLeft w:val="0"/>
          <w:marRight w:val="0"/>
          <w:marTop w:val="0"/>
          <w:marBottom w:val="101"/>
          <w:divBdr>
            <w:top w:val="none" w:sz="0" w:space="0" w:color="auto"/>
            <w:left w:val="none" w:sz="0" w:space="0" w:color="auto"/>
            <w:bottom w:val="none" w:sz="0" w:space="0" w:color="auto"/>
            <w:right w:val="none" w:sz="0" w:space="0" w:color="auto"/>
          </w:divBdr>
        </w:div>
        <w:div w:id="2027094788">
          <w:marLeft w:val="0"/>
          <w:marRight w:val="0"/>
          <w:marTop w:val="0"/>
          <w:marBottom w:val="101"/>
          <w:divBdr>
            <w:top w:val="none" w:sz="0" w:space="0" w:color="auto"/>
            <w:left w:val="none" w:sz="0" w:space="0" w:color="auto"/>
            <w:bottom w:val="none" w:sz="0" w:space="0" w:color="auto"/>
            <w:right w:val="none" w:sz="0" w:space="0" w:color="auto"/>
          </w:divBdr>
        </w:div>
        <w:div w:id="1145897761">
          <w:marLeft w:val="0"/>
          <w:marRight w:val="0"/>
          <w:marTop w:val="0"/>
          <w:marBottom w:val="101"/>
          <w:divBdr>
            <w:top w:val="none" w:sz="0" w:space="0" w:color="auto"/>
            <w:left w:val="none" w:sz="0" w:space="0" w:color="auto"/>
            <w:bottom w:val="none" w:sz="0" w:space="0" w:color="auto"/>
            <w:right w:val="none" w:sz="0" w:space="0" w:color="auto"/>
          </w:divBdr>
        </w:div>
        <w:div w:id="253173201">
          <w:marLeft w:val="0"/>
          <w:marRight w:val="0"/>
          <w:marTop w:val="0"/>
          <w:marBottom w:val="101"/>
          <w:divBdr>
            <w:top w:val="none" w:sz="0" w:space="0" w:color="auto"/>
            <w:left w:val="none" w:sz="0" w:space="0" w:color="auto"/>
            <w:bottom w:val="none" w:sz="0" w:space="0" w:color="auto"/>
            <w:right w:val="none" w:sz="0" w:space="0" w:color="auto"/>
          </w:divBdr>
        </w:div>
        <w:div w:id="2093508540">
          <w:marLeft w:val="0"/>
          <w:marRight w:val="0"/>
          <w:marTop w:val="0"/>
          <w:marBottom w:val="101"/>
          <w:divBdr>
            <w:top w:val="none" w:sz="0" w:space="0" w:color="auto"/>
            <w:left w:val="none" w:sz="0" w:space="0" w:color="auto"/>
            <w:bottom w:val="none" w:sz="0" w:space="0" w:color="auto"/>
            <w:right w:val="none" w:sz="0" w:space="0" w:color="auto"/>
          </w:divBdr>
        </w:div>
        <w:div w:id="1126847607">
          <w:marLeft w:val="0"/>
          <w:marRight w:val="0"/>
          <w:marTop w:val="0"/>
          <w:marBottom w:val="101"/>
          <w:divBdr>
            <w:top w:val="none" w:sz="0" w:space="0" w:color="auto"/>
            <w:left w:val="none" w:sz="0" w:space="0" w:color="auto"/>
            <w:bottom w:val="none" w:sz="0" w:space="0" w:color="auto"/>
            <w:right w:val="none" w:sz="0" w:space="0" w:color="auto"/>
          </w:divBdr>
        </w:div>
        <w:div w:id="1732775538">
          <w:marLeft w:val="0"/>
          <w:marRight w:val="0"/>
          <w:marTop w:val="0"/>
          <w:marBottom w:val="101"/>
          <w:divBdr>
            <w:top w:val="none" w:sz="0" w:space="0" w:color="auto"/>
            <w:left w:val="none" w:sz="0" w:space="0" w:color="auto"/>
            <w:bottom w:val="none" w:sz="0" w:space="0" w:color="auto"/>
            <w:right w:val="none" w:sz="0" w:space="0" w:color="auto"/>
          </w:divBdr>
        </w:div>
        <w:div w:id="651370443">
          <w:marLeft w:val="0"/>
          <w:marRight w:val="0"/>
          <w:marTop w:val="0"/>
          <w:marBottom w:val="101"/>
          <w:divBdr>
            <w:top w:val="none" w:sz="0" w:space="0" w:color="auto"/>
            <w:left w:val="none" w:sz="0" w:space="0" w:color="auto"/>
            <w:bottom w:val="none" w:sz="0" w:space="0" w:color="auto"/>
            <w:right w:val="none" w:sz="0" w:space="0" w:color="auto"/>
          </w:divBdr>
        </w:div>
        <w:div w:id="1296714807">
          <w:marLeft w:val="0"/>
          <w:marRight w:val="0"/>
          <w:marTop w:val="0"/>
          <w:marBottom w:val="101"/>
          <w:divBdr>
            <w:top w:val="none" w:sz="0" w:space="0" w:color="auto"/>
            <w:left w:val="none" w:sz="0" w:space="0" w:color="auto"/>
            <w:bottom w:val="none" w:sz="0" w:space="0" w:color="auto"/>
            <w:right w:val="none" w:sz="0" w:space="0" w:color="auto"/>
          </w:divBdr>
        </w:div>
        <w:div w:id="1851219977">
          <w:marLeft w:val="0"/>
          <w:marRight w:val="0"/>
          <w:marTop w:val="0"/>
          <w:marBottom w:val="101"/>
          <w:divBdr>
            <w:top w:val="none" w:sz="0" w:space="0" w:color="auto"/>
            <w:left w:val="none" w:sz="0" w:space="0" w:color="auto"/>
            <w:bottom w:val="none" w:sz="0" w:space="0" w:color="auto"/>
            <w:right w:val="none" w:sz="0" w:space="0" w:color="auto"/>
          </w:divBdr>
        </w:div>
        <w:div w:id="1814519726">
          <w:marLeft w:val="0"/>
          <w:marRight w:val="0"/>
          <w:marTop w:val="0"/>
          <w:marBottom w:val="101"/>
          <w:divBdr>
            <w:top w:val="none" w:sz="0" w:space="0" w:color="auto"/>
            <w:left w:val="none" w:sz="0" w:space="0" w:color="auto"/>
            <w:bottom w:val="none" w:sz="0" w:space="0" w:color="auto"/>
            <w:right w:val="none" w:sz="0" w:space="0" w:color="auto"/>
          </w:divBdr>
        </w:div>
        <w:div w:id="913398337">
          <w:marLeft w:val="0"/>
          <w:marRight w:val="0"/>
          <w:marTop w:val="0"/>
          <w:marBottom w:val="101"/>
          <w:divBdr>
            <w:top w:val="none" w:sz="0" w:space="0" w:color="auto"/>
            <w:left w:val="none" w:sz="0" w:space="0" w:color="auto"/>
            <w:bottom w:val="none" w:sz="0" w:space="0" w:color="auto"/>
            <w:right w:val="none" w:sz="0" w:space="0" w:color="auto"/>
          </w:divBdr>
        </w:div>
        <w:div w:id="299070613">
          <w:marLeft w:val="0"/>
          <w:marRight w:val="0"/>
          <w:marTop w:val="0"/>
          <w:marBottom w:val="101"/>
          <w:divBdr>
            <w:top w:val="none" w:sz="0" w:space="0" w:color="auto"/>
            <w:left w:val="none" w:sz="0" w:space="0" w:color="auto"/>
            <w:bottom w:val="none" w:sz="0" w:space="0" w:color="auto"/>
            <w:right w:val="none" w:sz="0" w:space="0" w:color="auto"/>
          </w:divBdr>
        </w:div>
        <w:div w:id="636422718">
          <w:marLeft w:val="0"/>
          <w:marRight w:val="0"/>
          <w:marTop w:val="0"/>
          <w:marBottom w:val="101"/>
          <w:divBdr>
            <w:top w:val="none" w:sz="0" w:space="0" w:color="auto"/>
            <w:left w:val="none" w:sz="0" w:space="0" w:color="auto"/>
            <w:bottom w:val="none" w:sz="0" w:space="0" w:color="auto"/>
            <w:right w:val="none" w:sz="0" w:space="0" w:color="auto"/>
          </w:divBdr>
        </w:div>
        <w:div w:id="171184864">
          <w:marLeft w:val="0"/>
          <w:marRight w:val="0"/>
          <w:marTop w:val="0"/>
          <w:marBottom w:val="101"/>
          <w:divBdr>
            <w:top w:val="none" w:sz="0" w:space="0" w:color="auto"/>
            <w:left w:val="none" w:sz="0" w:space="0" w:color="auto"/>
            <w:bottom w:val="none" w:sz="0" w:space="0" w:color="auto"/>
            <w:right w:val="none" w:sz="0" w:space="0" w:color="auto"/>
          </w:divBdr>
        </w:div>
        <w:div w:id="688600460">
          <w:marLeft w:val="0"/>
          <w:marRight w:val="0"/>
          <w:marTop w:val="0"/>
          <w:marBottom w:val="101"/>
          <w:divBdr>
            <w:top w:val="none" w:sz="0" w:space="0" w:color="auto"/>
            <w:left w:val="none" w:sz="0" w:space="0" w:color="auto"/>
            <w:bottom w:val="none" w:sz="0" w:space="0" w:color="auto"/>
            <w:right w:val="none" w:sz="0" w:space="0" w:color="auto"/>
          </w:divBdr>
        </w:div>
        <w:div w:id="1490554702">
          <w:marLeft w:val="0"/>
          <w:marRight w:val="0"/>
          <w:marTop w:val="0"/>
          <w:marBottom w:val="101"/>
          <w:divBdr>
            <w:top w:val="none" w:sz="0" w:space="0" w:color="auto"/>
            <w:left w:val="none" w:sz="0" w:space="0" w:color="auto"/>
            <w:bottom w:val="none" w:sz="0" w:space="0" w:color="auto"/>
            <w:right w:val="none" w:sz="0" w:space="0" w:color="auto"/>
          </w:divBdr>
        </w:div>
        <w:div w:id="744298614">
          <w:marLeft w:val="0"/>
          <w:marRight w:val="0"/>
          <w:marTop w:val="0"/>
          <w:marBottom w:val="101"/>
          <w:divBdr>
            <w:top w:val="none" w:sz="0" w:space="0" w:color="auto"/>
            <w:left w:val="none" w:sz="0" w:space="0" w:color="auto"/>
            <w:bottom w:val="none" w:sz="0" w:space="0" w:color="auto"/>
            <w:right w:val="none" w:sz="0" w:space="0" w:color="auto"/>
          </w:divBdr>
        </w:div>
        <w:div w:id="2139255803">
          <w:marLeft w:val="0"/>
          <w:marRight w:val="0"/>
          <w:marTop w:val="0"/>
          <w:marBottom w:val="101"/>
          <w:divBdr>
            <w:top w:val="none" w:sz="0" w:space="0" w:color="auto"/>
            <w:left w:val="none" w:sz="0" w:space="0" w:color="auto"/>
            <w:bottom w:val="none" w:sz="0" w:space="0" w:color="auto"/>
            <w:right w:val="none" w:sz="0" w:space="0" w:color="auto"/>
          </w:divBdr>
        </w:div>
        <w:div w:id="10227860">
          <w:marLeft w:val="0"/>
          <w:marRight w:val="0"/>
          <w:marTop w:val="0"/>
          <w:marBottom w:val="101"/>
          <w:divBdr>
            <w:top w:val="none" w:sz="0" w:space="0" w:color="auto"/>
            <w:left w:val="none" w:sz="0" w:space="0" w:color="auto"/>
            <w:bottom w:val="none" w:sz="0" w:space="0" w:color="auto"/>
            <w:right w:val="none" w:sz="0" w:space="0" w:color="auto"/>
          </w:divBdr>
        </w:div>
        <w:div w:id="335545612">
          <w:marLeft w:val="0"/>
          <w:marRight w:val="0"/>
          <w:marTop w:val="0"/>
          <w:marBottom w:val="101"/>
          <w:divBdr>
            <w:top w:val="none" w:sz="0" w:space="0" w:color="auto"/>
            <w:left w:val="none" w:sz="0" w:space="0" w:color="auto"/>
            <w:bottom w:val="none" w:sz="0" w:space="0" w:color="auto"/>
            <w:right w:val="none" w:sz="0" w:space="0" w:color="auto"/>
          </w:divBdr>
        </w:div>
        <w:div w:id="930627611">
          <w:marLeft w:val="0"/>
          <w:marRight w:val="0"/>
          <w:marTop w:val="0"/>
          <w:marBottom w:val="101"/>
          <w:divBdr>
            <w:top w:val="none" w:sz="0" w:space="0" w:color="auto"/>
            <w:left w:val="none" w:sz="0" w:space="0" w:color="auto"/>
            <w:bottom w:val="none" w:sz="0" w:space="0" w:color="auto"/>
            <w:right w:val="none" w:sz="0" w:space="0" w:color="auto"/>
          </w:divBdr>
        </w:div>
        <w:div w:id="1838223537">
          <w:marLeft w:val="0"/>
          <w:marRight w:val="0"/>
          <w:marTop w:val="0"/>
          <w:marBottom w:val="101"/>
          <w:divBdr>
            <w:top w:val="none" w:sz="0" w:space="0" w:color="auto"/>
            <w:left w:val="none" w:sz="0" w:space="0" w:color="auto"/>
            <w:bottom w:val="none" w:sz="0" w:space="0" w:color="auto"/>
            <w:right w:val="none" w:sz="0" w:space="0" w:color="auto"/>
          </w:divBdr>
        </w:div>
        <w:div w:id="1853882682">
          <w:marLeft w:val="0"/>
          <w:marRight w:val="0"/>
          <w:marTop w:val="0"/>
          <w:marBottom w:val="101"/>
          <w:divBdr>
            <w:top w:val="none" w:sz="0" w:space="0" w:color="auto"/>
            <w:left w:val="none" w:sz="0" w:space="0" w:color="auto"/>
            <w:bottom w:val="none" w:sz="0" w:space="0" w:color="auto"/>
            <w:right w:val="none" w:sz="0" w:space="0" w:color="auto"/>
          </w:divBdr>
        </w:div>
        <w:div w:id="454758678">
          <w:marLeft w:val="0"/>
          <w:marRight w:val="0"/>
          <w:marTop w:val="0"/>
          <w:marBottom w:val="101"/>
          <w:divBdr>
            <w:top w:val="none" w:sz="0" w:space="0" w:color="auto"/>
            <w:left w:val="none" w:sz="0" w:space="0" w:color="auto"/>
            <w:bottom w:val="none" w:sz="0" w:space="0" w:color="auto"/>
            <w:right w:val="none" w:sz="0" w:space="0" w:color="auto"/>
          </w:divBdr>
        </w:div>
        <w:div w:id="181214288">
          <w:marLeft w:val="0"/>
          <w:marRight w:val="0"/>
          <w:marTop w:val="0"/>
          <w:marBottom w:val="101"/>
          <w:divBdr>
            <w:top w:val="none" w:sz="0" w:space="0" w:color="auto"/>
            <w:left w:val="none" w:sz="0" w:space="0" w:color="auto"/>
            <w:bottom w:val="none" w:sz="0" w:space="0" w:color="auto"/>
            <w:right w:val="none" w:sz="0" w:space="0" w:color="auto"/>
          </w:divBdr>
        </w:div>
        <w:div w:id="1229654709">
          <w:marLeft w:val="0"/>
          <w:marRight w:val="0"/>
          <w:marTop w:val="0"/>
          <w:marBottom w:val="101"/>
          <w:divBdr>
            <w:top w:val="none" w:sz="0" w:space="0" w:color="auto"/>
            <w:left w:val="none" w:sz="0" w:space="0" w:color="auto"/>
            <w:bottom w:val="none" w:sz="0" w:space="0" w:color="auto"/>
            <w:right w:val="none" w:sz="0" w:space="0" w:color="auto"/>
          </w:divBdr>
        </w:div>
        <w:div w:id="1371959651">
          <w:marLeft w:val="0"/>
          <w:marRight w:val="0"/>
          <w:marTop w:val="0"/>
          <w:marBottom w:val="101"/>
          <w:divBdr>
            <w:top w:val="none" w:sz="0" w:space="0" w:color="auto"/>
            <w:left w:val="none" w:sz="0" w:space="0" w:color="auto"/>
            <w:bottom w:val="none" w:sz="0" w:space="0" w:color="auto"/>
            <w:right w:val="none" w:sz="0" w:space="0" w:color="auto"/>
          </w:divBdr>
        </w:div>
        <w:div w:id="408115108">
          <w:marLeft w:val="0"/>
          <w:marRight w:val="0"/>
          <w:marTop w:val="0"/>
          <w:marBottom w:val="101"/>
          <w:divBdr>
            <w:top w:val="none" w:sz="0" w:space="0" w:color="auto"/>
            <w:left w:val="none" w:sz="0" w:space="0" w:color="auto"/>
            <w:bottom w:val="none" w:sz="0" w:space="0" w:color="auto"/>
            <w:right w:val="none" w:sz="0" w:space="0" w:color="auto"/>
          </w:divBdr>
        </w:div>
        <w:div w:id="1550528745">
          <w:marLeft w:val="0"/>
          <w:marRight w:val="0"/>
          <w:marTop w:val="0"/>
          <w:marBottom w:val="101"/>
          <w:divBdr>
            <w:top w:val="none" w:sz="0" w:space="0" w:color="auto"/>
            <w:left w:val="none" w:sz="0" w:space="0" w:color="auto"/>
            <w:bottom w:val="none" w:sz="0" w:space="0" w:color="auto"/>
            <w:right w:val="none" w:sz="0" w:space="0" w:color="auto"/>
          </w:divBdr>
        </w:div>
        <w:div w:id="2113699732">
          <w:marLeft w:val="0"/>
          <w:marRight w:val="0"/>
          <w:marTop w:val="0"/>
          <w:marBottom w:val="101"/>
          <w:divBdr>
            <w:top w:val="none" w:sz="0" w:space="0" w:color="auto"/>
            <w:left w:val="none" w:sz="0" w:space="0" w:color="auto"/>
            <w:bottom w:val="none" w:sz="0" w:space="0" w:color="auto"/>
            <w:right w:val="none" w:sz="0" w:space="0" w:color="auto"/>
          </w:divBdr>
        </w:div>
        <w:div w:id="2070808100">
          <w:marLeft w:val="0"/>
          <w:marRight w:val="0"/>
          <w:marTop w:val="0"/>
          <w:marBottom w:val="101"/>
          <w:divBdr>
            <w:top w:val="none" w:sz="0" w:space="0" w:color="auto"/>
            <w:left w:val="none" w:sz="0" w:space="0" w:color="auto"/>
            <w:bottom w:val="none" w:sz="0" w:space="0" w:color="auto"/>
            <w:right w:val="none" w:sz="0" w:space="0" w:color="auto"/>
          </w:divBdr>
        </w:div>
        <w:div w:id="1620575033">
          <w:marLeft w:val="0"/>
          <w:marRight w:val="0"/>
          <w:marTop w:val="0"/>
          <w:marBottom w:val="101"/>
          <w:divBdr>
            <w:top w:val="none" w:sz="0" w:space="0" w:color="auto"/>
            <w:left w:val="none" w:sz="0" w:space="0" w:color="auto"/>
            <w:bottom w:val="none" w:sz="0" w:space="0" w:color="auto"/>
            <w:right w:val="none" w:sz="0" w:space="0" w:color="auto"/>
          </w:divBdr>
        </w:div>
        <w:div w:id="565338298">
          <w:marLeft w:val="0"/>
          <w:marRight w:val="0"/>
          <w:marTop w:val="0"/>
          <w:marBottom w:val="101"/>
          <w:divBdr>
            <w:top w:val="none" w:sz="0" w:space="0" w:color="auto"/>
            <w:left w:val="none" w:sz="0" w:space="0" w:color="auto"/>
            <w:bottom w:val="none" w:sz="0" w:space="0" w:color="auto"/>
            <w:right w:val="none" w:sz="0" w:space="0" w:color="auto"/>
          </w:divBdr>
        </w:div>
        <w:div w:id="1792628239">
          <w:marLeft w:val="0"/>
          <w:marRight w:val="0"/>
          <w:marTop w:val="0"/>
          <w:marBottom w:val="101"/>
          <w:divBdr>
            <w:top w:val="none" w:sz="0" w:space="0" w:color="auto"/>
            <w:left w:val="none" w:sz="0" w:space="0" w:color="auto"/>
            <w:bottom w:val="none" w:sz="0" w:space="0" w:color="auto"/>
            <w:right w:val="none" w:sz="0" w:space="0" w:color="auto"/>
          </w:divBdr>
        </w:div>
        <w:div w:id="559631651">
          <w:marLeft w:val="0"/>
          <w:marRight w:val="0"/>
          <w:marTop w:val="0"/>
          <w:marBottom w:val="101"/>
          <w:divBdr>
            <w:top w:val="none" w:sz="0" w:space="0" w:color="auto"/>
            <w:left w:val="none" w:sz="0" w:space="0" w:color="auto"/>
            <w:bottom w:val="none" w:sz="0" w:space="0" w:color="auto"/>
            <w:right w:val="none" w:sz="0" w:space="0" w:color="auto"/>
          </w:divBdr>
        </w:div>
        <w:div w:id="1691223503">
          <w:marLeft w:val="0"/>
          <w:marRight w:val="0"/>
          <w:marTop w:val="0"/>
          <w:marBottom w:val="101"/>
          <w:divBdr>
            <w:top w:val="none" w:sz="0" w:space="0" w:color="auto"/>
            <w:left w:val="none" w:sz="0" w:space="0" w:color="auto"/>
            <w:bottom w:val="none" w:sz="0" w:space="0" w:color="auto"/>
            <w:right w:val="none" w:sz="0" w:space="0" w:color="auto"/>
          </w:divBdr>
        </w:div>
        <w:div w:id="1707220492">
          <w:marLeft w:val="0"/>
          <w:marRight w:val="0"/>
          <w:marTop w:val="101"/>
          <w:marBottom w:val="101"/>
          <w:divBdr>
            <w:top w:val="none" w:sz="0" w:space="0" w:color="auto"/>
            <w:left w:val="none" w:sz="0" w:space="0" w:color="auto"/>
            <w:bottom w:val="none" w:sz="0" w:space="0" w:color="auto"/>
            <w:right w:val="none" w:sz="0" w:space="0" w:color="auto"/>
          </w:divBdr>
        </w:div>
        <w:div w:id="1062682547">
          <w:marLeft w:val="0"/>
          <w:marRight w:val="0"/>
          <w:marTop w:val="0"/>
          <w:marBottom w:val="101"/>
          <w:divBdr>
            <w:top w:val="none" w:sz="0" w:space="0" w:color="auto"/>
            <w:left w:val="none" w:sz="0" w:space="0" w:color="auto"/>
            <w:bottom w:val="none" w:sz="0" w:space="0" w:color="auto"/>
            <w:right w:val="none" w:sz="0" w:space="0" w:color="auto"/>
          </w:divBdr>
        </w:div>
        <w:div w:id="1280799819">
          <w:marLeft w:val="0"/>
          <w:marRight w:val="0"/>
          <w:marTop w:val="0"/>
          <w:marBottom w:val="60"/>
          <w:divBdr>
            <w:top w:val="none" w:sz="0" w:space="0" w:color="auto"/>
            <w:left w:val="none" w:sz="0" w:space="0" w:color="auto"/>
            <w:bottom w:val="none" w:sz="0" w:space="0" w:color="auto"/>
            <w:right w:val="none" w:sz="0" w:space="0" w:color="auto"/>
          </w:divBdr>
        </w:div>
        <w:div w:id="209391379">
          <w:marLeft w:val="0"/>
          <w:marRight w:val="0"/>
          <w:marTop w:val="0"/>
          <w:marBottom w:val="60"/>
          <w:divBdr>
            <w:top w:val="none" w:sz="0" w:space="0" w:color="auto"/>
            <w:left w:val="none" w:sz="0" w:space="0" w:color="auto"/>
            <w:bottom w:val="none" w:sz="0" w:space="0" w:color="auto"/>
            <w:right w:val="none" w:sz="0" w:space="0" w:color="auto"/>
          </w:divBdr>
        </w:div>
        <w:div w:id="1215392942">
          <w:marLeft w:val="0"/>
          <w:marRight w:val="0"/>
          <w:marTop w:val="0"/>
          <w:marBottom w:val="60"/>
          <w:divBdr>
            <w:top w:val="none" w:sz="0" w:space="0" w:color="auto"/>
            <w:left w:val="none" w:sz="0" w:space="0" w:color="auto"/>
            <w:bottom w:val="none" w:sz="0" w:space="0" w:color="auto"/>
            <w:right w:val="none" w:sz="0" w:space="0" w:color="auto"/>
          </w:divBdr>
        </w:div>
        <w:div w:id="1848278853">
          <w:marLeft w:val="1080"/>
          <w:marRight w:val="0"/>
          <w:marTop w:val="0"/>
          <w:marBottom w:val="60"/>
          <w:divBdr>
            <w:top w:val="none" w:sz="0" w:space="0" w:color="auto"/>
            <w:left w:val="none" w:sz="0" w:space="0" w:color="auto"/>
            <w:bottom w:val="none" w:sz="0" w:space="0" w:color="auto"/>
            <w:right w:val="none" w:sz="0" w:space="0" w:color="auto"/>
          </w:divBdr>
        </w:div>
        <w:div w:id="930940799">
          <w:marLeft w:val="1080"/>
          <w:marRight w:val="0"/>
          <w:marTop w:val="0"/>
          <w:marBottom w:val="60"/>
          <w:divBdr>
            <w:top w:val="none" w:sz="0" w:space="0" w:color="auto"/>
            <w:left w:val="none" w:sz="0" w:space="0" w:color="auto"/>
            <w:bottom w:val="none" w:sz="0" w:space="0" w:color="auto"/>
            <w:right w:val="none" w:sz="0" w:space="0" w:color="auto"/>
          </w:divBdr>
        </w:div>
        <w:div w:id="549223291">
          <w:marLeft w:val="1440"/>
          <w:marRight w:val="0"/>
          <w:marTop w:val="0"/>
          <w:marBottom w:val="60"/>
          <w:divBdr>
            <w:top w:val="none" w:sz="0" w:space="0" w:color="auto"/>
            <w:left w:val="none" w:sz="0" w:space="0" w:color="auto"/>
            <w:bottom w:val="none" w:sz="0" w:space="0" w:color="auto"/>
            <w:right w:val="none" w:sz="0" w:space="0" w:color="auto"/>
          </w:divBdr>
        </w:div>
        <w:div w:id="1376469619">
          <w:marLeft w:val="1440"/>
          <w:marRight w:val="0"/>
          <w:marTop w:val="0"/>
          <w:marBottom w:val="60"/>
          <w:divBdr>
            <w:top w:val="none" w:sz="0" w:space="0" w:color="auto"/>
            <w:left w:val="none" w:sz="0" w:space="0" w:color="auto"/>
            <w:bottom w:val="none" w:sz="0" w:space="0" w:color="auto"/>
            <w:right w:val="none" w:sz="0" w:space="0" w:color="auto"/>
          </w:divBdr>
        </w:div>
        <w:div w:id="1209100972">
          <w:marLeft w:val="1440"/>
          <w:marRight w:val="0"/>
          <w:marTop w:val="0"/>
          <w:marBottom w:val="60"/>
          <w:divBdr>
            <w:top w:val="none" w:sz="0" w:space="0" w:color="auto"/>
            <w:left w:val="none" w:sz="0" w:space="0" w:color="auto"/>
            <w:bottom w:val="none" w:sz="0" w:space="0" w:color="auto"/>
            <w:right w:val="none" w:sz="0" w:space="0" w:color="auto"/>
          </w:divBdr>
        </w:div>
        <w:div w:id="1612320138">
          <w:marLeft w:val="1080"/>
          <w:marRight w:val="0"/>
          <w:marTop w:val="0"/>
          <w:marBottom w:val="60"/>
          <w:divBdr>
            <w:top w:val="none" w:sz="0" w:space="0" w:color="auto"/>
            <w:left w:val="none" w:sz="0" w:space="0" w:color="auto"/>
            <w:bottom w:val="none" w:sz="0" w:space="0" w:color="auto"/>
            <w:right w:val="none" w:sz="0" w:space="0" w:color="auto"/>
          </w:divBdr>
        </w:div>
        <w:div w:id="1933859078">
          <w:marLeft w:val="1080"/>
          <w:marRight w:val="0"/>
          <w:marTop w:val="0"/>
          <w:marBottom w:val="60"/>
          <w:divBdr>
            <w:top w:val="none" w:sz="0" w:space="0" w:color="auto"/>
            <w:left w:val="none" w:sz="0" w:space="0" w:color="auto"/>
            <w:bottom w:val="none" w:sz="0" w:space="0" w:color="auto"/>
            <w:right w:val="none" w:sz="0" w:space="0" w:color="auto"/>
          </w:divBdr>
        </w:div>
        <w:div w:id="1866554834">
          <w:marLeft w:val="0"/>
          <w:marRight w:val="0"/>
          <w:marTop w:val="0"/>
          <w:marBottom w:val="60"/>
          <w:divBdr>
            <w:top w:val="none" w:sz="0" w:space="0" w:color="auto"/>
            <w:left w:val="none" w:sz="0" w:space="0" w:color="auto"/>
            <w:bottom w:val="none" w:sz="0" w:space="0" w:color="auto"/>
            <w:right w:val="none" w:sz="0" w:space="0" w:color="auto"/>
          </w:divBdr>
        </w:div>
        <w:div w:id="1472166021">
          <w:marLeft w:val="0"/>
          <w:marRight w:val="0"/>
          <w:marTop w:val="0"/>
          <w:marBottom w:val="101"/>
          <w:divBdr>
            <w:top w:val="none" w:sz="0" w:space="0" w:color="auto"/>
            <w:left w:val="none" w:sz="0" w:space="0" w:color="auto"/>
            <w:bottom w:val="none" w:sz="0" w:space="0" w:color="auto"/>
            <w:right w:val="none" w:sz="0" w:space="0" w:color="auto"/>
          </w:divBdr>
        </w:div>
        <w:div w:id="1077821400">
          <w:marLeft w:val="0"/>
          <w:marRight w:val="0"/>
          <w:marTop w:val="0"/>
          <w:marBottom w:val="101"/>
          <w:divBdr>
            <w:top w:val="none" w:sz="0" w:space="0" w:color="auto"/>
            <w:left w:val="none" w:sz="0" w:space="0" w:color="auto"/>
            <w:bottom w:val="none" w:sz="0" w:space="0" w:color="auto"/>
            <w:right w:val="none" w:sz="0" w:space="0" w:color="auto"/>
          </w:divBdr>
        </w:div>
        <w:div w:id="1496998410">
          <w:marLeft w:val="1888"/>
          <w:marRight w:val="0"/>
          <w:marTop w:val="0"/>
          <w:marBottom w:val="101"/>
          <w:divBdr>
            <w:top w:val="none" w:sz="0" w:space="0" w:color="auto"/>
            <w:left w:val="none" w:sz="0" w:space="0" w:color="auto"/>
            <w:bottom w:val="none" w:sz="0" w:space="0" w:color="auto"/>
            <w:right w:val="none" w:sz="0" w:space="0" w:color="auto"/>
          </w:divBdr>
        </w:div>
        <w:div w:id="1257864995">
          <w:marLeft w:val="1888"/>
          <w:marRight w:val="0"/>
          <w:marTop w:val="0"/>
          <w:marBottom w:val="101"/>
          <w:divBdr>
            <w:top w:val="none" w:sz="0" w:space="0" w:color="auto"/>
            <w:left w:val="none" w:sz="0" w:space="0" w:color="auto"/>
            <w:bottom w:val="none" w:sz="0" w:space="0" w:color="auto"/>
            <w:right w:val="none" w:sz="0" w:space="0" w:color="auto"/>
          </w:divBdr>
        </w:div>
        <w:div w:id="251862716">
          <w:marLeft w:val="907"/>
          <w:marRight w:val="0"/>
          <w:marTop w:val="0"/>
          <w:marBottom w:val="101"/>
          <w:divBdr>
            <w:top w:val="none" w:sz="0" w:space="0" w:color="auto"/>
            <w:left w:val="none" w:sz="0" w:space="0" w:color="auto"/>
            <w:bottom w:val="none" w:sz="0" w:space="0" w:color="auto"/>
            <w:right w:val="none" w:sz="0" w:space="0" w:color="auto"/>
          </w:divBdr>
        </w:div>
        <w:div w:id="459808188">
          <w:marLeft w:val="907"/>
          <w:marRight w:val="0"/>
          <w:marTop w:val="0"/>
          <w:marBottom w:val="101"/>
          <w:divBdr>
            <w:top w:val="none" w:sz="0" w:space="0" w:color="auto"/>
            <w:left w:val="none" w:sz="0" w:space="0" w:color="auto"/>
            <w:bottom w:val="none" w:sz="0" w:space="0" w:color="auto"/>
            <w:right w:val="none" w:sz="0" w:space="0" w:color="auto"/>
          </w:divBdr>
        </w:div>
        <w:div w:id="1276526310">
          <w:marLeft w:val="0"/>
          <w:marRight w:val="0"/>
          <w:marTop w:val="0"/>
          <w:marBottom w:val="60"/>
          <w:divBdr>
            <w:top w:val="none" w:sz="0" w:space="0" w:color="auto"/>
            <w:left w:val="none" w:sz="0" w:space="0" w:color="auto"/>
            <w:bottom w:val="none" w:sz="0" w:space="0" w:color="auto"/>
            <w:right w:val="none" w:sz="0" w:space="0" w:color="auto"/>
          </w:divBdr>
        </w:div>
        <w:div w:id="320039848">
          <w:marLeft w:val="0"/>
          <w:marRight w:val="0"/>
          <w:marTop w:val="0"/>
          <w:marBottom w:val="60"/>
          <w:divBdr>
            <w:top w:val="none" w:sz="0" w:space="0" w:color="auto"/>
            <w:left w:val="none" w:sz="0" w:space="0" w:color="auto"/>
            <w:bottom w:val="none" w:sz="0" w:space="0" w:color="auto"/>
            <w:right w:val="none" w:sz="0" w:space="0" w:color="auto"/>
          </w:divBdr>
        </w:div>
        <w:div w:id="974680560">
          <w:marLeft w:val="1077"/>
          <w:marRight w:val="0"/>
          <w:marTop w:val="0"/>
          <w:marBottom w:val="101"/>
          <w:divBdr>
            <w:top w:val="none" w:sz="0" w:space="0" w:color="auto"/>
            <w:left w:val="none" w:sz="0" w:space="0" w:color="auto"/>
            <w:bottom w:val="none" w:sz="0" w:space="0" w:color="auto"/>
            <w:right w:val="none" w:sz="0" w:space="0" w:color="auto"/>
          </w:divBdr>
        </w:div>
        <w:div w:id="898251597">
          <w:marLeft w:val="0"/>
          <w:marRight w:val="0"/>
          <w:marTop w:val="101"/>
          <w:marBottom w:val="101"/>
          <w:divBdr>
            <w:top w:val="none" w:sz="0" w:space="0" w:color="auto"/>
            <w:left w:val="none" w:sz="0" w:space="0" w:color="auto"/>
            <w:bottom w:val="none" w:sz="0" w:space="0" w:color="auto"/>
            <w:right w:val="none" w:sz="0" w:space="0" w:color="auto"/>
          </w:divBdr>
        </w:div>
        <w:div w:id="221017563">
          <w:marLeft w:val="0"/>
          <w:marRight w:val="0"/>
          <w:marTop w:val="101"/>
          <w:marBottom w:val="101"/>
          <w:divBdr>
            <w:top w:val="none" w:sz="0" w:space="0" w:color="auto"/>
            <w:left w:val="none" w:sz="0" w:space="0" w:color="auto"/>
            <w:bottom w:val="none" w:sz="0" w:space="0" w:color="auto"/>
            <w:right w:val="none" w:sz="0" w:space="0" w:color="auto"/>
          </w:divBdr>
        </w:div>
        <w:div w:id="1962304646">
          <w:marLeft w:val="0"/>
          <w:marRight w:val="0"/>
          <w:marTop w:val="0"/>
          <w:marBottom w:val="101"/>
          <w:divBdr>
            <w:top w:val="none" w:sz="0" w:space="0" w:color="auto"/>
            <w:left w:val="none" w:sz="0" w:space="0" w:color="auto"/>
            <w:bottom w:val="none" w:sz="0" w:space="0" w:color="auto"/>
            <w:right w:val="none" w:sz="0" w:space="0" w:color="auto"/>
          </w:divBdr>
        </w:div>
        <w:div w:id="333261193">
          <w:marLeft w:val="0"/>
          <w:marRight w:val="0"/>
          <w:marTop w:val="0"/>
          <w:marBottom w:val="101"/>
          <w:divBdr>
            <w:top w:val="none" w:sz="0" w:space="0" w:color="auto"/>
            <w:left w:val="none" w:sz="0" w:space="0" w:color="auto"/>
            <w:bottom w:val="none" w:sz="0" w:space="0" w:color="auto"/>
            <w:right w:val="none" w:sz="0" w:space="0" w:color="auto"/>
          </w:divBdr>
        </w:div>
        <w:div w:id="27149327">
          <w:marLeft w:val="0"/>
          <w:marRight w:val="0"/>
          <w:marTop w:val="0"/>
          <w:marBottom w:val="101"/>
          <w:divBdr>
            <w:top w:val="none" w:sz="0" w:space="0" w:color="auto"/>
            <w:left w:val="none" w:sz="0" w:space="0" w:color="auto"/>
            <w:bottom w:val="none" w:sz="0" w:space="0" w:color="auto"/>
            <w:right w:val="none" w:sz="0" w:space="0" w:color="auto"/>
          </w:divBdr>
        </w:div>
        <w:div w:id="157231312">
          <w:marLeft w:val="0"/>
          <w:marRight w:val="0"/>
          <w:marTop w:val="0"/>
          <w:marBottom w:val="101"/>
          <w:divBdr>
            <w:top w:val="none" w:sz="0" w:space="0" w:color="auto"/>
            <w:left w:val="none" w:sz="0" w:space="0" w:color="auto"/>
            <w:bottom w:val="none" w:sz="0" w:space="0" w:color="auto"/>
            <w:right w:val="none" w:sz="0" w:space="0" w:color="auto"/>
          </w:divBdr>
        </w:div>
        <w:div w:id="1214852121">
          <w:marLeft w:val="0"/>
          <w:marRight w:val="0"/>
          <w:marTop w:val="0"/>
          <w:marBottom w:val="101"/>
          <w:divBdr>
            <w:top w:val="none" w:sz="0" w:space="0" w:color="auto"/>
            <w:left w:val="none" w:sz="0" w:space="0" w:color="auto"/>
            <w:bottom w:val="none" w:sz="0" w:space="0" w:color="auto"/>
            <w:right w:val="none" w:sz="0" w:space="0" w:color="auto"/>
          </w:divBdr>
        </w:div>
        <w:div w:id="1508247874">
          <w:marLeft w:val="0"/>
          <w:marRight w:val="0"/>
          <w:marTop w:val="0"/>
          <w:marBottom w:val="101"/>
          <w:divBdr>
            <w:top w:val="none" w:sz="0" w:space="0" w:color="auto"/>
            <w:left w:val="none" w:sz="0" w:space="0" w:color="auto"/>
            <w:bottom w:val="none" w:sz="0" w:space="0" w:color="auto"/>
            <w:right w:val="none" w:sz="0" w:space="0" w:color="auto"/>
          </w:divBdr>
        </w:div>
        <w:div w:id="893085301">
          <w:marLeft w:val="0"/>
          <w:marRight w:val="0"/>
          <w:marTop w:val="0"/>
          <w:marBottom w:val="101"/>
          <w:divBdr>
            <w:top w:val="none" w:sz="0" w:space="0" w:color="auto"/>
            <w:left w:val="none" w:sz="0" w:space="0" w:color="auto"/>
            <w:bottom w:val="none" w:sz="0" w:space="0" w:color="auto"/>
            <w:right w:val="none" w:sz="0" w:space="0" w:color="auto"/>
          </w:divBdr>
        </w:div>
        <w:div w:id="1162627003">
          <w:marLeft w:val="0"/>
          <w:marRight w:val="0"/>
          <w:marTop w:val="0"/>
          <w:marBottom w:val="101"/>
          <w:divBdr>
            <w:top w:val="none" w:sz="0" w:space="0" w:color="auto"/>
            <w:left w:val="none" w:sz="0" w:space="0" w:color="auto"/>
            <w:bottom w:val="none" w:sz="0" w:space="0" w:color="auto"/>
            <w:right w:val="none" w:sz="0" w:space="0" w:color="auto"/>
          </w:divBdr>
        </w:div>
        <w:div w:id="1673216041">
          <w:marLeft w:val="0"/>
          <w:marRight w:val="0"/>
          <w:marTop w:val="0"/>
          <w:marBottom w:val="101"/>
          <w:divBdr>
            <w:top w:val="none" w:sz="0" w:space="0" w:color="auto"/>
            <w:left w:val="none" w:sz="0" w:space="0" w:color="auto"/>
            <w:bottom w:val="none" w:sz="0" w:space="0" w:color="auto"/>
            <w:right w:val="none" w:sz="0" w:space="0" w:color="auto"/>
          </w:divBdr>
        </w:div>
        <w:div w:id="294067796">
          <w:marLeft w:val="446"/>
          <w:marRight w:val="432"/>
          <w:marTop w:val="0"/>
          <w:marBottom w:val="101"/>
          <w:divBdr>
            <w:top w:val="none" w:sz="0" w:space="0" w:color="auto"/>
            <w:left w:val="none" w:sz="0" w:space="0" w:color="auto"/>
            <w:bottom w:val="none" w:sz="0" w:space="0" w:color="auto"/>
            <w:right w:val="none" w:sz="0" w:space="0" w:color="auto"/>
          </w:divBdr>
        </w:div>
        <w:div w:id="432476338">
          <w:marLeft w:val="446"/>
          <w:marRight w:val="432"/>
          <w:marTop w:val="0"/>
          <w:marBottom w:val="101"/>
          <w:divBdr>
            <w:top w:val="none" w:sz="0" w:space="0" w:color="auto"/>
            <w:left w:val="none" w:sz="0" w:space="0" w:color="auto"/>
            <w:bottom w:val="none" w:sz="0" w:space="0" w:color="auto"/>
            <w:right w:val="none" w:sz="0" w:space="0" w:color="auto"/>
          </w:divBdr>
        </w:div>
        <w:div w:id="2016876126">
          <w:marLeft w:val="446"/>
          <w:marRight w:val="432"/>
          <w:marTop w:val="0"/>
          <w:marBottom w:val="101"/>
          <w:divBdr>
            <w:top w:val="none" w:sz="0" w:space="0" w:color="auto"/>
            <w:left w:val="none" w:sz="0" w:space="0" w:color="auto"/>
            <w:bottom w:val="none" w:sz="0" w:space="0" w:color="auto"/>
            <w:right w:val="none" w:sz="0" w:space="0" w:color="auto"/>
          </w:divBdr>
        </w:div>
        <w:div w:id="299118206">
          <w:marLeft w:val="446"/>
          <w:marRight w:val="432"/>
          <w:marTop w:val="0"/>
          <w:marBottom w:val="101"/>
          <w:divBdr>
            <w:top w:val="none" w:sz="0" w:space="0" w:color="auto"/>
            <w:left w:val="none" w:sz="0" w:space="0" w:color="auto"/>
            <w:bottom w:val="none" w:sz="0" w:space="0" w:color="auto"/>
            <w:right w:val="none" w:sz="0" w:space="0" w:color="auto"/>
          </w:divBdr>
        </w:div>
        <w:div w:id="445851426">
          <w:marLeft w:val="446"/>
          <w:marRight w:val="432"/>
          <w:marTop w:val="0"/>
          <w:marBottom w:val="101"/>
          <w:divBdr>
            <w:top w:val="none" w:sz="0" w:space="0" w:color="auto"/>
            <w:left w:val="none" w:sz="0" w:space="0" w:color="auto"/>
            <w:bottom w:val="none" w:sz="0" w:space="0" w:color="auto"/>
            <w:right w:val="none" w:sz="0" w:space="0" w:color="auto"/>
          </w:divBdr>
        </w:div>
        <w:div w:id="1584677109">
          <w:marLeft w:val="446"/>
          <w:marRight w:val="432"/>
          <w:marTop w:val="0"/>
          <w:marBottom w:val="101"/>
          <w:divBdr>
            <w:top w:val="none" w:sz="0" w:space="0" w:color="auto"/>
            <w:left w:val="none" w:sz="0" w:space="0" w:color="auto"/>
            <w:bottom w:val="none" w:sz="0" w:space="0" w:color="auto"/>
            <w:right w:val="none" w:sz="0" w:space="0" w:color="auto"/>
          </w:divBdr>
        </w:div>
        <w:div w:id="197203694">
          <w:marLeft w:val="446"/>
          <w:marRight w:val="432"/>
          <w:marTop w:val="0"/>
          <w:marBottom w:val="101"/>
          <w:divBdr>
            <w:top w:val="none" w:sz="0" w:space="0" w:color="auto"/>
            <w:left w:val="none" w:sz="0" w:space="0" w:color="auto"/>
            <w:bottom w:val="none" w:sz="0" w:space="0" w:color="auto"/>
            <w:right w:val="none" w:sz="0" w:space="0" w:color="auto"/>
          </w:divBdr>
        </w:div>
        <w:div w:id="900361809">
          <w:marLeft w:val="1440"/>
          <w:marRight w:val="432"/>
          <w:marTop w:val="0"/>
          <w:marBottom w:val="101"/>
          <w:divBdr>
            <w:top w:val="none" w:sz="0" w:space="0" w:color="auto"/>
            <w:left w:val="none" w:sz="0" w:space="0" w:color="auto"/>
            <w:bottom w:val="none" w:sz="0" w:space="0" w:color="auto"/>
            <w:right w:val="none" w:sz="0" w:space="0" w:color="auto"/>
          </w:divBdr>
        </w:div>
        <w:div w:id="1307466058">
          <w:marLeft w:val="1440"/>
          <w:marRight w:val="432"/>
          <w:marTop w:val="0"/>
          <w:marBottom w:val="101"/>
          <w:divBdr>
            <w:top w:val="none" w:sz="0" w:space="0" w:color="auto"/>
            <w:left w:val="none" w:sz="0" w:space="0" w:color="auto"/>
            <w:bottom w:val="none" w:sz="0" w:space="0" w:color="auto"/>
            <w:right w:val="none" w:sz="0" w:space="0" w:color="auto"/>
          </w:divBdr>
        </w:div>
        <w:div w:id="163281578">
          <w:marLeft w:val="1440"/>
          <w:marRight w:val="432"/>
          <w:marTop w:val="0"/>
          <w:marBottom w:val="101"/>
          <w:divBdr>
            <w:top w:val="none" w:sz="0" w:space="0" w:color="auto"/>
            <w:left w:val="none" w:sz="0" w:space="0" w:color="auto"/>
            <w:bottom w:val="none" w:sz="0" w:space="0" w:color="auto"/>
            <w:right w:val="none" w:sz="0" w:space="0" w:color="auto"/>
          </w:divBdr>
        </w:div>
        <w:div w:id="1882356219">
          <w:marLeft w:val="1440"/>
          <w:marRight w:val="432"/>
          <w:marTop w:val="0"/>
          <w:marBottom w:val="101"/>
          <w:divBdr>
            <w:top w:val="none" w:sz="0" w:space="0" w:color="auto"/>
            <w:left w:val="none" w:sz="0" w:space="0" w:color="auto"/>
            <w:bottom w:val="none" w:sz="0" w:space="0" w:color="auto"/>
            <w:right w:val="none" w:sz="0" w:space="0" w:color="auto"/>
          </w:divBdr>
        </w:div>
        <w:div w:id="744500429">
          <w:marLeft w:val="1440"/>
          <w:marRight w:val="432"/>
          <w:marTop w:val="0"/>
          <w:marBottom w:val="101"/>
          <w:divBdr>
            <w:top w:val="none" w:sz="0" w:space="0" w:color="auto"/>
            <w:left w:val="none" w:sz="0" w:space="0" w:color="auto"/>
            <w:bottom w:val="none" w:sz="0" w:space="0" w:color="auto"/>
            <w:right w:val="none" w:sz="0" w:space="0" w:color="auto"/>
          </w:divBdr>
        </w:div>
        <w:div w:id="1040206048">
          <w:marLeft w:val="446"/>
          <w:marRight w:val="432"/>
          <w:marTop w:val="0"/>
          <w:marBottom w:val="101"/>
          <w:divBdr>
            <w:top w:val="none" w:sz="0" w:space="0" w:color="auto"/>
            <w:left w:val="none" w:sz="0" w:space="0" w:color="auto"/>
            <w:bottom w:val="none" w:sz="0" w:space="0" w:color="auto"/>
            <w:right w:val="none" w:sz="0" w:space="0" w:color="auto"/>
          </w:divBdr>
        </w:div>
        <w:div w:id="1584414480">
          <w:marLeft w:val="446"/>
          <w:marRight w:val="432"/>
          <w:marTop w:val="0"/>
          <w:marBottom w:val="101"/>
          <w:divBdr>
            <w:top w:val="none" w:sz="0" w:space="0" w:color="auto"/>
            <w:left w:val="none" w:sz="0" w:space="0" w:color="auto"/>
            <w:bottom w:val="none" w:sz="0" w:space="0" w:color="auto"/>
            <w:right w:val="none" w:sz="0" w:space="0" w:color="auto"/>
          </w:divBdr>
        </w:div>
        <w:div w:id="1587104985">
          <w:marLeft w:val="446"/>
          <w:marRight w:val="432"/>
          <w:marTop w:val="0"/>
          <w:marBottom w:val="101"/>
          <w:divBdr>
            <w:top w:val="none" w:sz="0" w:space="0" w:color="auto"/>
            <w:left w:val="none" w:sz="0" w:space="0" w:color="auto"/>
            <w:bottom w:val="none" w:sz="0" w:space="0" w:color="auto"/>
            <w:right w:val="none" w:sz="0" w:space="0" w:color="auto"/>
          </w:divBdr>
        </w:div>
        <w:div w:id="1017585111">
          <w:marLeft w:val="446"/>
          <w:marRight w:val="432"/>
          <w:marTop w:val="0"/>
          <w:marBottom w:val="101"/>
          <w:divBdr>
            <w:top w:val="none" w:sz="0" w:space="0" w:color="auto"/>
            <w:left w:val="none" w:sz="0" w:space="0" w:color="auto"/>
            <w:bottom w:val="none" w:sz="0" w:space="0" w:color="auto"/>
            <w:right w:val="none" w:sz="0" w:space="0" w:color="auto"/>
          </w:divBdr>
        </w:div>
        <w:div w:id="1096754617">
          <w:marLeft w:val="446"/>
          <w:marRight w:val="432"/>
          <w:marTop w:val="0"/>
          <w:marBottom w:val="101"/>
          <w:divBdr>
            <w:top w:val="none" w:sz="0" w:space="0" w:color="auto"/>
            <w:left w:val="none" w:sz="0" w:space="0" w:color="auto"/>
            <w:bottom w:val="none" w:sz="0" w:space="0" w:color="auto"/>
            <w:right w:val="none" w:sz="0" w:space="0" w:color="auto"/>
          </w:divBdr>
        </w:div>
        <w:div w:id="1275138927">
          <w:marLeft w:val="446"/>
          <w:marRight w:val="432"/>
          <w:marTop w:val="0"/>
          <w:marBottom w:val="101"/>
          <w:divBdr>
            <w:top w:val="none" w:sz="0" w:space="0" w:color="auto"/>
            <w:left w:val="none" w:sz="0" w:space="0" w:color="auto"/>
            <w:bottom w:val="none" w:sz="0" w:space="0" w:color="auto"/>
            <w:right w:val="none" w:sz="0" w:space="0" w:color="auto"/>
          </w:divBdr>
        </w:div>
        <w:div w:id="458110580">
          <w:marLeft w:val="446"/>
          <w:marRight w:val="432"/>
          <w:marTop w:val="0"/>
          <w:marBottom w:val="101"/>
          <w:divBdr>
            <w:top w:val="none" w:sz="0" w:space="0" w:color="auto"/>
            <w:left w:val="none" w:sz="0" w:space="0" w:color="auto"/>
            <w:bottom w:val="none" w:sz="0" w:space="0" w:color="auto"/>
            <w:right w:val="none" w:sz="0" w:space="0" w:color="auto"/>
          </w:divBdr>
        </w:div>
        <w:div w:id="608203653">
          <w:marLeft w:val="446"/>
          <w:marRight w:val="432"/>
          <w:marTop w:val="0"/>
          <w:marBottom w:val="101"/>
          <w:divBdr>
            <w:top w:val="none" w:sz="0" w:space="0" w:color="auto"/>
            <w:left w:val="none" w:sz="0" w:space="0" w:color="auto"/>
            <w:bottom w:val="none" w:sz="0" w:space="0" w:color="auto"/>
            <w:right w:val="none" w:sz="0" w:space="0" w:color="auto"/>
          </w:divBdr>
        </w:div>
        <w:div w:id="1908370787">
          <w:marLeft w:val="446"/>
          <w:marRight w:val="432"/>
          <w:marTop w:val="0"/>
          <w:marBottom w:val="101"/>
          <w:divBdr>
            <w:top w:val="none" w:sz="0" w:space="0" w:color="auto"/>
            <w:left w:val="none" w:sz="0" w:space="0" w:color="auto"/>
            <w:bottom w:val="none" w:sz="0" w:space="0" w:color="auto"/>
            <w:right w:val="none" w:sz="0" w:space="0" w:color="auto"/>
          </w:divBdr>
        </w:div>
        <w:div w:id="104422640">
          <w:marLeft w:val="446"/>
          <w:marRight w:val="432"/>
          <w:marTop w:val="0"/>
          <w:marBottom w:val="101"/>
          <w:divBdr>
            <w:top w:val="none" w:sz="0" w:space="0" w:color="auto"/>
            <w:left w:val="none" w:sz="0" w:space="0" w:color="auto"/>
            <w:bottom w:val="none" w:sz="0" w:space="0" w:color="auto"/>
            <w:right w:val="none" w:sz="0" w:space="0" w:color="auto"/>
          </w:divBdr>
        </w:div>
        <w:div w:id="61566995">
          <w:marLeft w:val="446"/>
          <w:marRight w:val="432"/>
          <w:marTop w:val="0"/>
          <w:marBottom w:val="101"/>
          <w:divBdr>
            <w:top w:val="none" w:sz="0" w:space="0" w:color="auto"/>
            <w:left w:val="none" w:sz="0" w:space="0" w:color="auto"/>
            <w:bottom w:val="none" w:sz="0" w:space="0" w:color="auto"/>
            <w:right w:val="none" w:sz="0" w:space="0" w:color="auto"/>
          </w:divBdr>
        </w:div>
        <w:div w:id="769858528">
          <w:marLeft w:val="446"/>
          <w:marRight w:val="432"/>
          <w:marTop w:val="0"/>
          <w:marBottom w:val="101"/>
          <w:divBdr>
            <w:top w:val="none" w:sz="0" w:space="0" w:color="auto"/>
            <w:left w:val="none" w:sz="0" w:space="0" w:color="auto"/>
            <w:bottom w:val="none" w:sz="0" w:space="0" w:color="auto"/>
            <w:right w:val="none" w:sz="0" w:space="0" w:color="auto"/>
          </w:divBdr>
        </w:div>
        <w:div w:id="1871798231">
          <w:marLeft w:val="0"/>
          <w:marRight w:val="0"/>
          <w:marTop w:val="101"/>
          <w:marBottom w:val="40"/>
          <w:divBdr>
            <w:top w:val="none" w:sz="0" w:space="0" w:color="auto"/>
            <w:left w:val="none" w:sz="0" w:space="0" w:color="auto"/>
            <w:bottom w:val="none" w:sz="0" w:space="0" w:color="auto"/>
            <w:right w:val="none" w:sz="0" w:space="0" w:color="auto"/>
          </w:divBdr>
        </w:div>
        <w:div w:id="1368220391">
          <w:marLeft w:val="0"/>
          <w:marRight w:val="0"/>
          <w:marTop w:val="0"/>
          <w:marBottom w:val="40"/>
          <w:divBdr>
            <w:top w:val="none" w:sz="0" w:space="0" w:color="auto"/>
            <w:left w:val="none" w:sz="0" w:space="0" w:color="auto"/>
            <w:bottom w:val="none" w:sz="0" w:space="0" w:color="auto"/>
            <w:right w:val="none" w:sz="0" w:space="0" w:color="auto"/>
          </w:divBdr>
        </w:div>
        <w:div w:id="1532574207">
          <w:marLeft w:val="0"/>
          <w:marRight w:val="0"/>
          <w:marTop w:val="0"/>
          <w:marBottom w:val="40"/>
          <w:divBdr>
            <w:top w:val="none" w:sz="0" w:space="0" w:color="auto"/>
            <w:left w:val="none" w:sz="0" w:space="0" w:color="auto"/>
            <w:bottom w:val="none" w:sz="0" w:space="0" w:color="auto"/>
            <w:right w:val="none" w:sz="0" w:space="0" w:color="auto"/>
          </w:divBdr>
        </w:div>
        <w:div w:id="2105690603">
          <w:marLeft w:val="720"/>
          <w:marRight w:val="0"/>
          <w:marTop w:val="0"/>
          <w:marBottom w:val="40"/>
          <w:divBdr>
            <w:top w:val="none" w:sz="0" w:space="0" w:color="auto"/>
            <w:left w:val="none" w:sz="0" w:space="0" w:color="auto"/>
            <w:bottom w:val="none" w:sz="0" w:space="0" w:color="auto"/>
            <w:right w:val="none" w:sz="0" w:space="0" w:color="auto"/>
          </w:divBdr>
        </w:div>
        <w:div w:id="1526945530">
          <w:marLeft w:val="0"/>
          <w:marRight w:val="0"/>
          <w:marTop w:val="0"/>
          <w:marBottom w:val="40"/>
          <w:divBdr>
            <w:top w:val="none" w:sz="0" w:space="0" w:color="auto"/>
            <w:left w:val="none" w:sz="0" w:space="0" w:color="auto"/>
            <w:bottom w:val="none" w:sz="0" w:space="0" w:color="auto"/>
            <w:right w:val="none" w:sz="0" w:space="0" w:color="auto"/>
          </w:divBdr>
        </w:div>
        <w:div w:id="1546599479">
          <w:marLeft w:val="0"/>
          <w:marRight w:val="0"/>
          <w:marTop w:val="0"/>
          <w:marBottom w:val="40"/>
          <w:divBdr>
            <w:top w:val="none" w:sz="0" w:space="0" w:color="auto"/>
            <w:left w:val="none" w:sz="0" w:space="0" w:color="auto"/>
            <w:bottom w:val="none" w:sz="0" w:space="0" w:color="auto"/>
            <w:right w:val="none" w:sz="0" w:space="0" w:color="auto"/>
          </w:divBdr>
        </w:div>
        <w:div w:id="384450083">
          <w:marLeft w:val="1080"/>
          <w:marRight w:val="0"/>
          <w:marTop w:val="0"/>
          <w:marBottom w:val="40"/>
          <w:divBdr>
            <w:top w:val="none" w:sz="0" w:space="0" w:color="auto"/>
            <w:left w:val="none" w:sz="0" w:space="0" w:color="auto"/>
            <w:bottom w:val="none" w:sz="0" w:space="0" w:color="auto"/>
            <w:right w:val="none" w:sz="0" w:space="0" w:color="auto"/>
          </w:divBdr>
        </w:div>
        <w:div w:id="1900440534">
          <w:marLeft w:val="1080"/>
          <w:marRight w:val="0"/>
          <w:marTop w:val="0"/>
          <w:marBottom w:val="40"/>
          <w:divBdr>
            <w:top w:val="none" w:sz="0" w:space="0" w:color="auto"/>
            <w:left w:val="none" w:sz="0" w:space="0" w:color="auto"/>
            <w:bottom w:val="none" w:sz="0" w:space="0" w:color="auto"/>
            <w:right w:val="none" w:sz="0" w:space="0" w:color="auto"/>
          </w:divBdr>
        </w:div>
        <w:div w:id="382216297">
          <w:marLeft w:val="1080"/>
          <w:marRight w:val="0"/>
          <w:marTop w:val="0"/>
          <w:marBottom w:val="40"/>
          <w:divBdr>
            <w:top w:val="none" w:sz="0" w:space="0" w:color="auto"/>
            <w:left w:val="none" w:sz="0" w:space="0" w:color="auto"/>
            <w:bottom w:val="none" w:sz="0" w:space="0" w:color="auto"/>
            <w:right w:val="none" w:sz="0" w:space="0" w:color="auto"/>
          </w:divBdr>
        </w:div>
        <w:div w:id="1511410977">
          <w:marLeft w:val="1080"/>
          <w:marRight w:val="0"/>
          <w:marTop w:val="0"/>
          <w:marBottom w:val="40"/>
          <w:divBdr>
            <w:top w:val="none" w:sz="0" w:space="0" w:color="auto"/>
            <w:left w:val="none" w:sz="0" w:space="0" w:color="auto"/>
            <w:bottom w:val="none" w:sz="0" w:space="0" w:color="auto"/>
            <w:right w:val="none" w:sz="0" w:space="0" w:color="auto"/>
          </w:divBdr>
        </w:div>
        <w:div w:id="420688529">
          <w:marLeft w:val="1080"/>
          <w:marRight w:val="0"/>
          <w:marTop w:val="0"/>
          <w:marBottom w:val="40"/>
          <w:divBdr>
            <w:top w:val="none" w:sz="0" w:space="0" w:color="auto"/>
            <w:left w:val="none" w:sz="0" w:space="0" w:color="auto"/>
            <w:bottom w:val="none" w:sz="0" w:space="0" w:color="auto"/>
            <w:right w:val="none" w:sz="0" w:space="0" w:color="auto"/>
          </w:divBdr>
        </w:div>
        <w:div w:id="214509861">
          <w:marLeft w:val="720"/>
          <w:marRight w:val="0"/>
          <w:marTop w:val="0"/>
          <w:marBottom w:val="40"/>
          <w:divBdr>
            <w:top w:val="none" w:sz="0" w:space="0" w:color="auto"/>
            <w:left w:val="none" w:sz="0" w:space="0" w:color="auto"/>
            <w:bottom w:val="none" w:sz="0" w:space="0" w:color="auto"/>
            <w:right w:val="none" w:sz="0" w:space="0" w:color="auto"/>
          </w:divBdr>
        </w:div>
        <w:div w:id="113840114">
          <w:marLeft w:val="1080"/>
          <w:marRight w:val="0"/>
          <w:marTop w:val="0"/>
          <w:marBottom w:val="40"/>
          <w:divBdr>
            <w:top w:val="none" w:sz="0" w:space="0" w:color="auto"/>
            <w:left w:val="none" w:sz="0" w:space="0" w:color="auto"/>
            <w:bottom w:val="none" w:sz="0" w:space="0" w:color="auto"/>
            <w:right w:val="none" w:sz="0" w:space="0" w:color="auto"/>
          </w:divBdr>
        </w:div>
        <w:div w:id="1065035179">
          <w:marLeft w:val="1080"/>
          <w:marRight w:val="0"/>
          <w:marTop w:val="0"/>
          <w:marBottom w:val="40"/>
          <w:divBdr>
            <w:top w:val="none" w:sz="0" w:space="0" w:color="auto"/>
            <w:left w:val="none" w:sz="0" w:space="0" w:color="auto"/>
            <w:bottom w:val="none" w:sz="0" w:space="0" w:color="auto"/>
            <w:right w:val="none" w:sz="0" w:space="0" w:color="auto"/>
          </w:divBdr>
        </w:div>
        <w:div w:id="796530254">
          <w:marLeft w:val="1080"/>
          <w:marRight w:val="0"/>
          <w:marTop w:val="0"/>
          <w:marBottom w:val="40"/>
          <w:divBdr>
            <w:top w:val="none" w:sz="0" w:space="0" w:color="auto"/>
            <w:left w:val="none" w:sz="0" w:space="0" w:color="auto"/>
            <w:bottom w:val="none" w:sz="0" w:space="0" w:color="auto"/>
            <w:right w:val="none" w:sz="0" w:space="0" w:color="auto"/>
          </w:divBdr>
        </w:div>
        <w:div w:id="818770389">
          <w:marLeft w:val="1440"/>
          <w:marRight w:val="0"/>
          <w:marTop w:val="0"/>
          <w:marBottom w:val="40"/>
          <w:divBdr>
            <w:top w:val="none" w:sz="0" w:space="0" w:color="auto"/>
            <w:left w:val="none" w:sz="0" w:space="0" w:color="auto"/>
            <w:bottom w:val="none" w:sz="0" w:space="0" w:color="auto"/>
            <w:right w:val="none" w:sz="0" w:space="0" w:color="auto"/>
          </w:divBdr>
        </w:div>
        <w:div w:id="370308253">
          <w:marLeft w:val="1440"/>
          <w:marRight w:val="0"/>
          <w:marTop w:val="0"/>
          <w:marBottom w:val="40"/>
          <w:divBdr>
            <w:top w:val="none" w:sz="0" w:space="0" w:color="auto"/>
            <w:left w:val="none" w:sz="0" w:space="0" w:color="auto"/>
            <w:bottom w:val="none" w:sz="0" w:space="0" w:color="auto"/>
            <w:right w:val="none" w:sz="0" w:space="0" w:color="auto"/>
          </w:divBdr>
        </w:div>
        <w:div w:id="1735204158">
          <w:marLeft w:val="1440"/>
          <w:marRight w:val="0"/>
          <w:marTop w:val="0"/>
          <w:marBottom w:val="40"/>
          <w:divBdr>
            <w:top w:val="none" w:sz="0" w:space="0" w:color="auto"/>
            <w:left w:val="none" w:sz="0" w:space="0" w:color="auto"/>
            <w:bottom w:val="none" w:sz="0" w:space="0" w:color="auto"/>
            <w:right w:val="none" w:sz="0" w:space="0" w:color="auto"/>
          </w:divBdr>
        </w:div>
        <w:div w:id="1801877144">
          <w:marLeft w:val="0"/>
          <w:marRight w:val="0"/>
          <w:marTop w:val="101"/>
          <w:marBottom w:val="101"/>
          <w:divBdr>
            <w:top w:val="none" w:sz="0" w:space="0" w:color="auto"/>
            <w:left w:val="none" w:sz="0" w:space="0" w:color="auto"/>
            <w:bottom w:val="none" w:sz="0" w:space="0" w:color="auto"/>
            <w:right w:val="none" w:sz="0" w:space="0" w:color="auto"/>
          </w:divBdr>
        </w:div>
        <w:div w:id="1500078445">
          <w:marLeft w:val="0"/>
          <w:marRight w:val="0"/>
          <w:marTop w:val="0"/>
          <w:marBottom w:val="101"/>
          <w:divBdr>
            <w:top w:val="none" w:sz="0" w:space="0" w:color="auto"/>
            <w:left w:val="none" w:sz="0" w:space="0" w:color="auto"/>
            <w:bottom w:val="none" w:sz="0" w:space="0" w:color="auto"/>
            <w:right w:val="none" w:sz="0" w:space="0" w:color="auto"/>
          </w:divBdr>
        </w:div>
        <w:div w:id="1063407924">
          <w:marLeft w:val="0"/>
          <w:marRight w:val="0"/>
          <w:marTop w:val="0"/>
          <w:marBottom w:val="101"/>
          <w:divBdr>
            <w:top w:val="none" w:sz="0" w:space="0" w:color="auto"/>
            <w:left w:val="none" w:sz="0" w:space="0" w:color="auto"/>
            <w:bottom w:val="none" w:sz="0" w:space="0" w:color="auto"/>
            <w:right w:val="none" w:sz="0" w:space="0" w:color="auto"/>
          </w:divBdr>
        </w:div>
        <w:div w:id="1307592415">
          <w:marLeft w:val="0"/>
          <w:marRight w:val="0"/>
          <w:marTop w:val="0"/>
          <w:marBottom w:val="101"/>
          <w:divBdr>
            <w:top w:val="none" w:sz="0" w:space="0" w:color="auto"/>
            <w:left w:val="none" w:sz="0" w:space="0" w:color="auto"/>
            <w:bottom w:val="none" w:sz="0" w:space="0" w:color="auto"/>
            <w:right w:val="none" w:sz="0" w:space="0" w:color="auto"/>
          </w:divBdr>
        </w:div>
        <w:div w:id="1660766371">
          <w:marLeft w:val="0"/>
          <w:marRight w:val="0"/>
          <w:marTop w:val="0"/>
          <w:marBottom w:val="101"/>
          <w:divBdr>
            <w:top w:val="none" w:sz="0" w:space="0" w:color="auto"/>
            <w:left w:val="none" w:sz="0" w:space="0" w:color="auto"/>
            <w:bottom w:val="none" w:sz="0" w:space="0" w:color="auto"/>
            <w:right w:val="none" w:sz="0" w:space="0" w:color="auto"/>
          </w:divBdr>
        </w:div>
        <w:div w:id="1091850917">
          <w:marLeft w:val="0"/>
          <w:marRight w:val="0"/>
          <w:marTop w:val="0"/>
          <w:marBottom w:val="101"/>
          <w:divBdr>
            <w:top w:val="none" w:sz="0" w:space="0" w:color="auto"/>
            <w:left w:val="none" w:sz="0" w:space="0" w:color="auto"/>
            <w:bottom w:val="none" w:sz="0" w:space="0" w:color="auto"/>
            <w:right w:val="none" w:sz="0" w:space="0" w:color="auto"/>
          </w:divBdr>
        </w:div>
        <w:div w:id="407003474">
          <w:marLeft w:val="0"/>
          <w:marRight w:val="0"/>
          <w:marTop w:val="0"/>
          <w:marBottom w:val="101"/>
          <w:divBdr>
            <w:top w:val="none" w:sz="0" w:space="0" w:color="auto"/>
            <w:left w:val="none" w:sz="0" w:space="0" w:color="auto"/>
            <w:bottom w:val="none" w:sz="0" w:space="0" w:color="auto"/>
            <w:right w:val="none" w:sz="0" w:space="0" w:color="auto"/>
          </w:divBdr>
        </w:div>
        <w:div w:id="697048577">
          <w:marLeft w:val="720"/>
          <w:marRight w:val="0"/>
          <w:marTop w:val="0"/>
          <w:marBottom w:val="101"/>
          <w:divBdr>
            <w:top w:val="none" w:sz="0" w:space="0" w:color="auto"/>
            <w:left w:val="none" w:sz="0" w:space="0" w:color="auto"/>
            <w:bottom w:val="none" w:sz="0" w:space="0" w:color="auto"/>
            <w:right w:val="none" w:sz="0" w:space="0" w:color="auto"/>
          </w:divBdr>
        </w:div>
        <w:div w:id="191648778">
          <w:marLeft w:val="720"/>
          <w:marRight w:val="0"/>
          <w:marTop w:val="0"/>
          <w:marBottom w:val="101"/>
          <w:divBdr>
            <w:top w:val="none" w:sz="0" w:space="0" w:color="auto"/>
            <w:left w:val="none" w:sz="0" w:space="0" w:color="auto"/>
            <w:bottom w:val="none" w:sz="0" w:space="0" w:color="auto"/>
            <w:right w:val="none" w:sz="0" w:space="0" w:color="auto"/>
          </w:divBdr>
        </w:div>
        <w:div w:id="506093153">
          <w:marLeft w:val="0"/>
          <w:marRight w:val="0"/>
          <w:marTop w:val="0"/>
          <w:marBottom w:val="101"/>
          <w:divBdr>
            <w:top w:val="none" w:sz="0" w:space="0" w:color="auto"/>
            <w:left w:val="none" w:sz="0" w:space="0" w:color="auto"/>
            <w:bottom w:val="none" w:sz="0" w:space="0" w:color="auto"/>
            <w:right w:val="none" w:sz="0" w:space="0" w:color="auto"/>
          </w:divBdr>
        </w:div>
        <w:div w:id="1556626478">
          <w:marLeft w:val="1440"/>
          <w:marRight w:val="431"/>
          <w:marTop w:val="0"/>
          <w:marBottom w:val="101"/>
          <w:divBdr>
            <w:top w:val="none" w:sz="0" w:space="0" w:color="auto"/>
            <w:left w:val="none" w:sz="0" w:space="0" w:color="auto"/>
            <w:bottom w:val="none" w:sz="0" w:space="0" w:color="auto"/>
            <w:right w:val="none" w:sz="0" w:space="0" w:color="auto"/>
          </w:divBdr>
        </w:div>
        <w:div w:id="1210142130">
          <w:marLeft w:val="1440"/>
          <w:marRight w:val="431"/>
          <w:marTop w:val="0"/>
          <w:marBottom w:val="101"/>
          <w:divBdr>
            <w:top w:val="none" w:sz="0" w:space="0" w:color="auto"/>
            <w:left w:val="none" w:sz="0" w:space="0" w:color="auto"/>
            <w:bottom w:val="none" w:sz="0" w:space="0" w:color="auto"/>
            <w:right w:val="none" w:sz="0" w:space="0" w:color="auto"/>
          </w:divBdr>
        </w:div>
        <w:div w:id="1281455177">
          <w:marLeft w:val="1440"/>
          <w:marRight w:val="432"/>
          <w:marTop w:val="0"/>
          <w:marBottom w:val="101"/>
          <w:divBdr>
            <w:top w:val="none" w:sz="0" w:space="0" w:color="auto"/>
            <w:left w:val="none" w:sz="0" w:space="0" w:color="auto"/>
            <w:bottom w:val="none" w:sz="0" w:space="0" w:color="auto"/>
            <w:right w:val="none" w:sz="0" w:space="0" w:color="auto"/>
          </w:divBdr>
        </w:div>
        <w:div w:id="1329941007">
          <w:marLeft w:val="720"/>
          <w:marRight w:val="432"/>
          <w:marTop w:val="0"/>
          <w:marBottom w:val="101"/>
          <w:divBdr>
            <w:top w:val="none" w:sz="0" w:space="0" w:color="auto"/>
            <w:left w:val="none" w:sz="0" w:space="0" w:color="auto"/>
            <w:bottom w:val="none" w:sz="0" w:space="0" w:color="auto"/>
            <w:right w:val="none" w:sz="0" w:space="0" w:color="auto"/>
          </w:divBdr>
        </w:div>
        <w:div w:id="773357015">
          <w:marLeft w:val="720"/>
          <w:marRight w:val="432"/>
          <w:marTop w:val="0"/>
          <w:marBottom w:val="101"/>
          <w:divBdr>
            <w:top w:val="none" w:sz="0" w:space="0" w:color="auto"/>
            <w:left w:val="none" w:sz="0" w:space="0" w:color="auto"/>
            <w:bottom w:val="none" w:sz="0" w:space="0" w:color="auto"/>
            <w:right w:val="none" w:sz="0" w:space="0" w:color="auto"/>
          </w:divBdr>
        </w:div>
        <w:div w:id="1527669289">
          <w:marLeft w:val="1440"/>
          <w:marRight w:val="432"/>
          <w:marTop w:val="0"/>
          <w:marBottom w:val="101"/>
          <w:divBdr>
            <w:top w:val="none" w:sz="0" w:space="0" w:color="auto"/>
            <w:left w:val="none" w:sz="0" w:space="0" w:color="auto"/>
            <w:bottom w:val="none" w:sz="0" w:space="0" w:color="auto"/>
            <w:right w:val="none" w:sz="0" w:space="0" w:color="auto"/>
          </w:divBdr>
        </w:div>
        <w:div w:id="1489131477">
          <w:marLeft w:val="1440"/>
          <w:marRight w:val="432"/>
          <w:marTop w:val="0"/>
          <w:marBottom w:val="101"/>
          <w:divBdr>
            <w:top w:val="none" w:sz="0" w:space="0" w:color="auto"/>
            <w:left w:val="none" w:sz="0" w:space="0" w:color="auto"/>
            <w:bottom w:val="none" w:sz="0" w:space="0" w:color="auto"/>
            <w:right w:val="none" w:sz="0" w:space="0" w:color="auto"/>
          </w:divBdr>
        </w:div>
        <w:div w:id="674847587">
          <w:marLeft w:val="634"/>
          <w:marRight w:val="432"/>
          <w:marTop w:val="0"/>
          <w:marBottom w:val="101"/>
          <w:divBdr>
            <w:top w:val="none" w:sz="0" w:space="0" w:color="auto"/>
            <w:left w:val="none" w:sz="0" w:space="0" w:color="auto"/>
            <w:bottom w:val="none" w:sz="0" w:space="0" w:color="auto"/>
            <w:right w:val="none" w:sz="0" w:space="0" w:color="auto"/>
          </w:divBdr>
        </w:div>
        <w:div w:id="2102097506">
          <w:marLeft w:val="634"/>
          <w:marRight w:val="432"/>
          <w:marTop w:val="0"/>
          <w:marBottom w:val="101"/>
          <w:divBdr>
            <w:top w:val="none" w:sz="0" w:space="0" w:color="auto"/>
            <w:left w:val="none" w:sz="0" w:space="0" w:color="auto"/>
            <w:bottom w:val="none" w:sz="0" w:space="0" w:color="auto"/>
            <w:right w:val="none" w:sz="0" w:space="0" w:color="auto"/>
          </w:divBdr>
        </w:div>
        <w:div w:id="1240745797">
          <w:marLeft w:val="0"/>
          <w:marRight w:val="0"/>
          <w:marTop w:val="0"/>
          <w:marBottom w:val="101"/>
          <w:divBdr>
            <w:top w:val="none" w:sz="0" w:space="0" w:color="auto"/>
            <w:left w:val="none" w:sz="0" w:space="0" w:color="auto"/>
            <w:bottom w:val="none" w:sz="0" w:space="0" w:color="auto"/>
            <w:right w:val="none" w:sz="0" w:space="0" w:color="auto"/>
          </w:divBdr>
        </w:div>
        <w:div w:id="856307531">
          <w:marLeft w:val="0"/>
          <w:marRight w:val="0"/>
          <w:marTop w:val="0"/>
          <w:marBottom w:val="101"/>
          <w:divBdr>
            <w:top w:val="none" w:sz="0" w:space="0" w:color="auto"/>
            <w:left w:val="none" w:sz="0" w:space="0" w:color="auto"/>
            <w:bottom w:val="none" w:sz="0" w:space="0" w:color="auto"/>
            <w:right w:val="none" w:sz="0" w:space="0" w:color="auto"/>
          </w:divBdr>
        </w:div>
        <w:div w:id="1451238606">
          <w:marLeft w:val="0"/>
          <w:marRight w:val="0"/>
          <w:marTop w:val="0"/>
          <w:marBottom w:val="101"/>
          <w:divBdr>
            <w:top w:val="none" w:sz="0" w:space="0" w:color="auto"/>
            <w:left w:val="none" w:sz="0" w:space="0" w:color="auto"/>
            <w:bottom w:val="none" w:sz="0" w:space="0" w:color="auto"/>
            <w:right w:val="none" w:sz="0" w:space="0" w:color="auto"/>
          </w:divBdr>
        </w:div>
        <w:div w:id="300889036">
          <w:marLeft w:val="0"/>
          <w:marRight w:val="0"/>
          <w:marTop w:val="0"/>
          <w:marBottom w:val="101"/>
          <w:divBdr>
            <w:top w:val="none" w:sz="0" w:space="0" w:color="auto"/>
            <w:left w:val="none" w:sz="0" w:space="0" w:color="auto"/>
            <w:bottom w:val="none" w:sz="0" w:space="0" w:color="auto"/>
            <w:right w:val="none" w:sz="0" w:space="0" w:color="auto"/>
          </w:divBdr>
        </w:div>
        <w:div w:id="968704379">
          <w:marLeft w:val="0"/>
          <w:marRight w:val="0"/>
          <w:marTop w:val="0"/>
          <w:marBottom w:val="101"/>
          <w:divBdr>
            <w:top w:val="none" w:sz="0" w:space="0" w:color="auto"/>
            <w:left w:val="none" w:sz="0" w:space="0" w:color="auto"/>
            <w:bottom w:val="none" w:sz="0" w:space="0" w:color="auto"/>
            <w:right w:val="none" w:sz="0" w:space="0" w:color="auto"/>
          </w:divBdr>
        </w:div>
        <w:div w:id="734931687">
          <w:marLeft w:val="1080"/>
          <w:marRight w:val="0"/>
          <w:marTop w:val="0"/>
          <w:marBottom w:val="101"/>
          <w:divBdr>
            <w:top w:val="none" w:sz="0" w:space="0" w:color="auto"/>
            <w:left w:val="none" w:sz="0" w:space="0" w:color="auto"/>
            <w:bottom w:val="none" w:sz="0" w:space="0" w:color="auto"/>
            <w:right w:val="none" w:sz="0" w:space="0" w:color="auto"/>
          </w:divBdr>
        </w:div>
        <w:div w:id="1957130282">
          <w:marLeft w:val="288"/>
          <w:marRight w:val="0"/>
          <w:marTop w:val="60"/>
          <w:marBottom w:val="101"/>
          <w:divBdr>
            <w:top w:val="none" w:sz="0" w:space="0" w:color="auto"/>
            <w:left w:val="none" w:sz="0" w:space="0" w:color="auto"/>
            <w:bottom w:val="none" w:sz="0" w:space="0" w:color="auto"/>
            <w:right w:val="none" w:sz="0" w:space="0" w:color="auto"/>
          </w:divBdr>
        </w:div>
        <w:div w:id="865022422">
          <w:marLeft w:val="0"/>
          <w:marRight w:val="0"/>
          <w:marTop w:val="60"/>
          <w:marBottom w:val="101"/>
          <w:divBdr>
            <w:top w:val="none" w:sz="0" w:space="0" w:color="auto"/>
            <w:left w:val="none" w:sz="0" w:space="0" w:color="auto"/>
            <w:bottom w:val="none" w:sz="0" w:space="0" w:color="auto"/>
            <w:right w:val="none" w:sz="0" w:space="0" w:color="auto"/>
          </w:divBdr>
        </w:div>
        <w:div w:id="1778133519">
          <w:marLeft w:val="288"/>
          <w:marRight w:val="0"/>
          <w:marTop w:val="60"/>
          <w:marBottom w:val="101"/>
          <w:divBdr>
            <w:top w:val="none" w:sz="0" w:space="0" w:color="auto"/>
            <w:left w:val="none" w:sz="0" w:space="0" w:color="auto"/>
            <w:bottom w:val="none" w:sz="0" w:space="0" w:color="auto"/>
            <w:right w:val="none" w:sz="0" w:space="0" w:color="auto"/>
          </w:divBdr>
        </w:div>
        <w:div w:id="388383450">
          <w:marLeft w:val="0"/>
          <w:marRight w:val="0"/>
          <w:marTop w:val="40"/>
          <w:marBottom w:val="101"/>
          <w:divBdr>
            <w:top w:val="none" w:sz="0" w:space="0" w:color="auto"/>
            <w:left w:val="none" w:sz="0" w:space="0" w:color="auto"/>
            <w:bottom w:val="none" w:sz="0" w:space="0" w:color="auto"/>
            <w:right w:val="none" w:sz="0" w:space="0" w:color="auto"/>
          </w:divBdr>
        </w:div>
        <w:div w:id="2113744049">
          <w:marLeft w:val="0"/>
          <w:marRight w:val="0"/>
          <w:marTop w:val="0"/>
          <w:marBottom w:val="101"/>
          <w:divBdr>
            <w:top w:val="none" w:sz="0" w:space="0" w:color="auto"/>
            <w:left w:val="none" w:sz="0" w:space="0" w:color="auto"/>
            <w:bottom w:val="none" w:sz="0" w:space="0" w:color="auto"/>
            <w:right w:val="none" w:sz="0" w:space="0" w:color="auto"/>
          </w:divBdr>
        </w:div>
        <w:div w:id="201484145">
          <w:marLeft w:val="0"/>
          <w:marRight w:val="0"/>
          <w:marTop w:val="0"/>
          <w:marBottom w:val="101"/>
          <w:divBdr>
            <w:top w:val="none" w:sz="0" w:space="0" w:color="auto"/>
            <w:left w:val="none" w:sz="0" w:space="0" w:color="auto"/>
            <w:bottom w:val="none" w:sz="0" w:space="0" w:color="auto"/>
            <w:right w:val="none" w:sz="0" w:space="0" w:color="auto"/>
          </w:divBdr>
        </w:div>
        <w:div w:id="1917936386">
          <w:marLeft w:val="0"/>
          <w:marRight w:val="0"/>
          <w:marTop w:val="101"/>
          <w:marBottom w:val="101"/>
          <w:divBdr>
            <w:top w:val="none" w:sz="0" w:space="0" w:color="auto"/>
            <w:left w:val="none" w:sz="0" w:space="0" w:color="auto"/>
            <w:bottom w:val="none" w:sz="0" w:space="0" w:color="auto"/>
            <w:right w:val="none" w:sz="0" w:space="0" w:color="auto"/>
          </w:divBdr>
        </w:div>
        <w:div w:id="1502624357">
          <w:marLeft w:val="0"/>
          <w:marRight w:val="0"/>
          <w:marTop w:val="101"/>
          <w:marBottom w:val="101"/>
          <w:divBdr>
            <w:top w:val="none" w:sz="0" w:space="0" w:color="auto"/>
            <w:left w:val="none" w:sz="0" w:space="0" w:color="auto"/>
            <w:bottom w:val="none" w:sz="0" w:space="0" w:color="auto"/>
            <w:right w:val="none" w:sz="0" w:space="0" w:color="auto"/>
          </w:divBdr>
        </w:div>
        <w:div w:id="1585995784">
          <w:marLeft w:val="0"/>
          <w:marRight w:val="0"/>
          <w:marTop w:val="0"/>
          <w:marBottom w:val="101"/>
          <w:divBdr>
            <w:top w:val="none" w:sz="0" w:space="0" w:color="auto"/>
            <w:left w:val="none" w:sz="0" w:space="0" w:color="auto"/>
            <w:bottom w:val="none" w:sz="0" w:space="0" w:color="auto"/>
            <w:right w:val="none" w:sz="0" w:space="0" w:color="auto"/>
          </w:divBdr>
        </w:div>
        <w:div w:id="754478579">
          <w:marLeft w:val="0"/>
          <w:marRight w:val="0"/>
          <w:marTop w:val="0"/>
          <w:marBottom w:val="101"/>
          <w:divBdr>
            <w:top w:val="none" w:sz="0" w:space="0" w:color="auto"/>
            <w:left w:val="none" w:sz="0" w:space="0" w:color="auto"/>
            <w:bottom w:val="none" w:sz="0" w:space="0" w:color="auto"/>
            <w:right w:val="none" w:sz="0" w:space="0" w:color="auto"/>
          </w:divBdr>
        </w:div>
        <w:div w:id="1006789426">
          <w:marLeft w:val="0"/>
          <w:marRight w:val="0"/>
          <w:marTop w:val="0"/>
          <w:marBottom w:val="101"/>
          <w:divBdr>
            <w:top w:val="none" w:sz="0" w:space="0" w:color="auto"/>
            <w:left w:val="none" w:sz="0" w:space="0" w:color="auto"/>
            <w:bottom w:val="none" w:sz="0" w:space="0" w:color="auto"/>
            <w:right w:val="none" w:sz="0" w:space="0" w:color="auto"/>
          </w:divBdr>
        </w:div>
        <w:div w:id="669329442">
          <w:marLeft w:val="0"/>
          <w:marRight w:val="0"/>
          <w:marTop w:val="0"/>
          <w:marBottom w:val="101"/>
          <w:divBdr>
            <w:top w:val="none" w:sz="0" w:space="0" w:color="auto"/>
            <w:left w:val="none" w:sz="0" w:space="0" w:color="auto"/>
            <w:bottom w:val="none" w:sz="0" w:space="0" w:color="auto"/>
            <w:right w:val="none" w:sz="0" w:space="0" w:color="auto"/>
          </w:divBdr>
        </w:div>
        <w:div w:id="1153764783">
          <w:marLeft w:val="0"/>
          <w:marRight w:val="0"/>
          <w:marTop w:val="0"/>
          <w:marBottom w:val="101"/>
          <w:divBdr>
            <w:top w:val="none" w:sz="0" w:space="0" w:color="auto"/>
            <w:left w:val="none" w:sz="0" w:space="0" w:color="auto"/>
            <w:bottom w:val="none" w:sz="0" w:space="0" w:color="auto"/>
            <w:right w:val="none" w:sz="0" w:space="0" w:color="auto"/>
          </w:divBdr>
        </w:div>
        <w:div w:id="1882859285">
          <w:marLeft w:val="0"/>
          <w:marRight w:val="0"/>
          <w:marTop w:val="0"/>
          <w:marBottom w:val="101"/>
          <w:divBdr>
            <w:top w:val="none" w:sz="0" w:space="0" w:color="auto"/>
            <w:left w:val="none" w:sz="0" w:space="0" w:color="auto"/>
            <w:bottom w:val="none" w:sz="0" w:space="0" w:color="auto"/>
            <w:right w:val="none" w:sz="0" w:space="0" w:color="auto"/>
          </w:divBdr>
        </w:div>
        <w:div w:id="1417705991">
          <w:marLeft w:val="0"/>
          <w:marRight w:val="0"/>
          <w:marTop w:val="0"/>
          <w:marBottom w:val="101"/>
          <w:divBdr>
            <w:top w:val="none" w:sz="0" w:space="0" w:color="auto"/>
            <w:left w:val="none" w:sz="0" w:space="0" w:color="auto"/>
            <w:bottom w:val="none" w:sz="0" w:space="0" w:color="auto"/>
            <w:right w:val="none" w:sz="0" w:space="0" w:color="auto"/>
          </w:divBdr>
        </w:div>
        <w:div w:id="664796">
          <w:marLeft w:val="0"/>
          <w:marRight w:val="0"/>
          <w:marTop w:val="0"/>
          <w:marBottom w:val="101"/>
          <w:divBdr>
            <w:top w:val="none" w:sz="0" w:space="0" w:color="auto"/>
            <w:left w:val="none" w:sz="0" w:space="0" w:color="auto"/>
            <w:bottom w:val="none" w:sz="0" w:space="0" w:color="auto"/>
            <w:right w:val="none" w:sz="0" w:space="0" w:color="auto"/>
          </w:divBdr>
        </w:div>
        <w:div w:id="1108891150">
          <w:marLeft w:val="0"/>
          <w:marRight w:val="0"/>
          <w:marTop w:val="0"/>
          <w:marBottom w:val="101"/>
          <w:divBdr>
            <w:top w:val="none" w:sz="0" w:space="0" w:color="auto"/>
            <w:left w:val="none" w:sz="0" w:space="0" w:color="auto"/>
            <w:bottom w:val="none" w:sz="0" w:space="0" w:color="auto"/>
            <w:right w:val="none" w:sz="0" w:space="0" w:color="auto"/>
          </w:divBdr>
        </w:div>
        <w:div w:id="1798834419">
          <w:marLeft w:val="0"/>
          <w:marRight w:val="0"/>
          <w:marTop w:val="0"/>
          <w:marBottom w:val="101"/>
          <w:divBdr>
            <w:top w:val="none" w:sz="0" w:space="0" w:color="auto"/>
            <w:left w:val="none" w:sz="0" w:space="0" w:color="auto"/>
            <w:bottom w:val="none" w:sz="0" w:space="0" w:color="auto"/>
            <w:right w:val="none" w:sz="0" w:space="0" w:color="auto"/>
          </w:divBdr>
        </w:div>
        <w:div w:id="1793009894">
          <w:marLeft w:val="0"/>
          <w:marRight w:val="0"/>
          <w:marTop w:val="0"/>
          <w:marBottom w:val="101"/>
          <w:divBdr>
            <w:top w:val="none" w:sz="0" w:space="0" w:color="auto"/>
            <w:left w:val="none" w:sz="0" w:space="0" w:color="auto"/>
            <w:bottom w:val="none" w:sz="0" w:space="0" w:color="auto"/>
            <w:right w:val="none" w:sz="0" w:space="0" w:color="auto"/>
          </w:divBdr>
        </w:div>
        <w:div w:id="309022737">
          <w:marLeft w:val="0"/>
          <w:marRight w:val="0"/>
          <w:marTop w:val="0"/>
          <w:marBottom w:val="101"/>
          <w:divBdr>
            <w:top w:val="none" w:sz="0" w:space="0" w:color="auto"/>
            <w:left w:val="none" w:sz="0" w:space="0" w:color="auto"/>
            <w:bottom w:val="none" w:sz="0" w:space="0" w:color="auto"/>
            <w:right w:val="none" w:sz="0" w:space="0" w:color="auto"/>
          </w:divBdr>
        </w:div>
        <w:div w:id="1095638152">
          <w:marLeft w:val="0"/>
          <w:marRight w:val="0"/>
          <w:marTop w:val="0"/>
          <w:marBottom w:val="101"/>
          <w:divBdr>
            <w:top w:val="none" w:sz="0" w:space="0" w:color="auto"/>
            <w:left w:val="none" w:sz="0" w:space="0" w:color="auto"/>
            <w:bottom w:val="none" w:sz="0" w:space="0" w:color="auto"/>
            <w:right w:val="none" w:sz="0" w:space="0" w:color="auto"/>
          </w:divBdr>
        </w:div>
        <w:div w:id="324096186">
          <w:marLeft w:val="0"/>
          <w:marRight w:val="0"/>
          <w:marTop w:val="0"/>
          <w:marBottom w:val="101"/>
          <w:divBdr>
            <w:top w:val="none" w:sz="0" w:space="0" w:color="auto"/>
            <w:left w:val="none" w:sz="0" w:space="0" w:color="auto"/>
            <w:bottom w:val="none" w:sz="0" w:space="0" w:color="auto"/>
            <w:right w:val="none" w:sz="0" w:space="0" w:color="auto"/>
          </w:divBdr>
        </w:div>
        <w:div w:id="19669254">
          <w:marLeft w:val="0"/>
          <w:marRight w:val="0"/>
          <w:marTop w:val="0"/>
          <w:marBottom w:val="101"/>
          <w:divBdr>
            <w:top w:val="none" w:sz="0" w:space="0" w:color="auto"/>
            <w:left w:val="none" w:sz="0" w:space="0" w:color="auto"/>
            <w:bottom w:val="none" w:sz="0" w:space="0" w:color="auto"/>
            <w:right w:val="none" w:sz="0" w:space="0" w:color="auto"/>
          </w:divBdr>
        </w:div>
        <w:div w:id="1419407215">
          <w:marLeft w:val="0"/>
          <w:marRight w:val="0"/>
          <w:marTop w:val="0"/>
          <w:marBottom w:val="101"/>
          <w:divBdr>
            <w:top w:val="none" w:sz="0" w:space="0" w:color="auto"/>
            <w:left w:val="none" w:sz="0" w:space="0" w:color="auto"/>
            <w:bottom w:val="none" w:sz="0" w:space="0" w:color="auto"/>
            <w:right w:val="none" w:sz="0" w:space="0" w:color="auto"/>
          </w:divBdr>
        </w:div>
        <w:div w:id="640157090">
          <w:marLeft w:val="0"/>
          <w:marRight w:val="0"/>
          <w:marTop w:val="0"/>
          <w:marBottom w:val="101"/>
          <w:divBdr>
            <w:top w:val="none" w:sz="0" w:space="0" w:color="auto"/>
            <w:left w:val="none" w:sz="0" w:space="0" w:color="auto"/>
            <w:bottom w:val="none" w:sz="0" w:space="0" w:color="auto"/>
            <w:right w:val="none" w:sz="0" w:space="0" w:color="auto"/>
          </w:divBdr>
        </w:div>
        <w:div w:id="523177047">
          <w:marLeft w:val="0"/>
          <w:marRight w:val="0"/>
          <w:marTop w:val="0"/>
          <w:marBottom w:val="101"/>
          <w:divBdr>
            <w:top w:val="none" w:sz="0" w:space="0" w:color="auto"/>
            <w:left w:val="none" w:sz="0" w:space="0" w:color="auto"/>
            <w:bottom w:val="none" w:sz="0" w:space="0" w:color="auto"/>
            <w:right w:val="none" w:sz="0" w:space="0" w:color="auto"/>
          </w:divBdr>
        </w:div>
        <w:div w:id="2144224587">
          <w:marLeft w:val="0"/>
          <w:marRight w:val="0"/>
          <w:marTop w:val="0"/>
          <w:marBottom w:val="101"/>
          <w:divBdr>
            <w:top w:val="none" w:sz="0" w:space="0" w:color="auto"/>
            <w:left w:val="none" w:sz="0" w:space="0" w:color="auto"/>
            <w:bottom w:val="none" w:sz="0" w:space="0" w:color="auto"/>
            <w:right w:val="none" w:sz="0" w:space="0" w:color="auto"/>
          </w:divBdr>
        </w:div>
        <w:div w:id="1725981133">
          <w:marLeft w:val="0"/>
          <w:marRight w:val="0"/>
          <w:marTop w:val="0"/>
          <w:marBottom w:val="101"/>
          <w:divBdr>
            <w:top w:val="none" w:sz="0" w:space="0" w:color="auto"/>
            <w:left w:val="none" w:sz="0" w:space="0" w:color="auto"/>
            <w:bottom w:val="none" w:sz="0" w:space="0" w:color="auto"/>
            <w:right w:val="none" w:sz="0" w:space="0" w:color="auto"/>
          </w:divBdr>
        </w:div>
        <w:div w:id="572204012">
          <w:marLeft w:val="0"/>
          <w:marRight w:val="0"/>
          <w:marTop w:val="0"/>
          <w:marBottom w:val="101"/>
          <w:divBdr>
            <w:top w:val="none" w:sz="0" w:space="0" w:color="auto"/>
            <w:left w:val="none" w:sz="0" w:space="0" w:color="auto"/>
            <w:bottom w:val="none" w:sz="0" w:space="0" w:color="auto"/>
            <w:right w:val="none" w:sz="0" w:space="0" w:color="auto"/>
          </w:divBdr>
        </w:div>
        <w:div w:id="531725915">
          <w:marLeft w:val="0"/>
          <w:marRight w:val="0"/>
          <w:marTop w:val="0"/>
          <w:marBottom w:val="101"/>
          <w:divBdr>
            <w:top w:val="none" w:sz="0" w:space="0" w:color="auto"/>
            <w:left w:val="none" w:sz="0" w:space="0" w:color="auto"/>
            <w:bottom w:val="none" w:sz="0" w:space="0" w:color="auto"/>
            <w:right w:val="none" w:sz="0" w:space="0" w:color="auto"/>
          </w:divBdr>
        </w:div>
        <w:div w:id="418790861">
          <w:marLeft w:val="0"/>
          <w:marRight w:val="0"/>
          <w:marTop w:val="0"/>
          <w:marBottom w:val="101"/>
          <w:divBdr>
            <w:top w:val="none" w:sz="0" w:space="0" w:color="auto"/>
            <w:left w:val="none" w:sz="0" w:space="0" w:color="auto"/>
            <w:bottom w:val="none" w:sz="0" w:space="0" w:color="auto"/>
            <w:right w:val="none" w:sz="0" w:space="0" w:color="auto"/>
          </w:divBdr>
        </w:div>
        <w:div w:id="197788307">
          <w:marLeft w:val="0"/>
          <w:marRight w:val="0"/>
          <w:marTop w:val="0"/>
          <w:marBottom w:val="101"/>
          <w:divBdr>
            <w:top w:val="none" w:sz="0" w:space="0" w:color="auto"/>
            <w:left w:val="none" w:sz="0" w:space="0" w:color="auto"/>
            <w:bottom w:val="none" w:sz="0" w:space="0" w:color="auto"/>
            <w:right w:val="none" w:sz="0" w:space="0" w:color="auto"/>
          </w:divBdr>
        </w:div>
        <w:div w:id="1369064490">
          <w:marLeft w:val="0"/>
          <w:marRight w:val="0"/>
          <w:marTop w:val="0"/>
          <w:marBottom w:val="101"/>
          <w:divBdr>
            <w:top w:val="none" w:sz="0" w:space="0" w:color="auto"/>
            <w:left w:val="none" w:sz="0" w:space="0" w:color="auto"/>
            <w:bottom w:val="none" w:sz="0" w:space="0" w:color="auto"/>
            <w:right w:val="none" w:sz="0" w:space="0" w:color="auto"/>
          </w:divBdr>
        </w:div>
        <w:div w:id="599486394">
          <w:marLeft w:val="0"/>
          <w:marRight w:val="0"/>
          <w:marTop w:val="0"/>
          <w:marBottom w:val="101"/>
          <w:divBdr>
            <w:top w:val="none" w:sz="0" w:space="0" w:color="auto"/>
            <w:left w:val="none" w:sz="0" w:space="0" w:color="auto"/>
            <w:bottom w:val="none" w:sz="0" w:space="0" w:color="auto"/>
            <w:right w:val="none" w:sz="0" w:space="0" w:color="auto"/>
          </w:divBdr>
        </w:div>
        <w:div w:id="1587954384">
          <w:marLeft w:val="0"/>
          <w:marRight w:val="0"/>
          <w:marTop w:val="0"/>
          <w:marBottom w:val="101"/>
          <w:divBdr>
            <w:top w:val="none" w:sz="0" w:space="0" w:color="auto"/>
            <w:left w:val="none" w:sz="0" w:space="0" w:color="auto"/>
            <w:bottom w:val="none" w:sz="0" w:space="0" w:color="auto"/>
            <w:right w:val="none" w:sz="0" w:space="0" w:color="auto"/>
          </w:divBdr>
        </w:div>
        <w:div w:id="1241214662">
          <w:marLeft w:val="0"/>
          <w:marRight w:val="0"/>
          <w:marTop w:val="0"/>
          <w:marBottom w:val="101"/>
          <w:divBdr>
            <w:top w:val="none" w:sz="0" w:space="0" w:color="auto"/>
            <w:left w:val="none" w:sz="0" w:space="0" w:color="auto"/>
            <w:bottom w:val="none" w:sz="0" w:space="0" w:color="auto"/>
            <w:right w:val="none" w:sz="0" w:space="0" w:color="auto"/>
          </w:divBdr>
        </w:div>
        <w:div w:id="1230458728">
          <w:marLeft w:val="0"/>
          <w:marRight w:val="0"/>
          <w:marTop w:val="0"/>
          <w:marBottom w:val="101"/>
          <w:divBdr>
            <w:top w:val="none" w:sz="0" w:space="0" w:color="auto"/>
            <w:left w:val="none" w:sz="0" w:space="0" w:color="auto"/>
            <w:bottom w:val="none" w:sz="0" w:space="0" w:color="auto"/>
            <w:right w:val="none" w:sz="0" w:space="0" w:color="auto"/>
          </w:divBdr>
        </w:div>
        <w:div w:id="1990743532">
          <w:marLeft w:val="0"/>
          <w:marRight w:val="0"/>
          <w:marTop w:val="0"/>
          <w:marBottom w:val="101"/>
          <w:divBdr>
            <w:top w:val="none" w:sz="0" w:space="0" w:color="auto"/>
            <w:left w:val="none" w:sz="0" w:space="0" w:color="auto"/>
            <w:bottom w:val="none" w:sz="0" w:space="0" w:color="auto"/>
            <w:right w:val="none" w:sz="0" w:space="0" w:color="auto"/>
          </w:divBdr>
        </w:div>
        <w:div w:id="1515344699">
          <w:marLeft w:val="0"/>
          <w:marRight w:val="0"/>
          <w:marTop w:val="0"/>
          <w:marBottom w:val="101"/>
          <w:divBdr>
            <w:top w:val="none" w:sz="0" w:space="0" w:color="auto"/>
            <w:left w:val="none" w:sz="0" w:space="0" w:color="auto"/>
            <w:bottom w:val="none" w:sz="0" w:space="0" w:color="auto"/>
            <w:right w:val="none" w:sz="0" w:space="0" w:color="auto"/>
          </w:divBdr>
        </w:div>
        <w:div w:id="546260735">
          <w:marLeft w:val="0"/>
          <w:marRight w:val="0"/>
          <w:marTop w:val="0"/>
          <w:marBottom w:val="101"/>
          <w:divBdr>
            <w:top w:val="none" w:sz="0" w:space="0" w:color="auto"/>
            <w:left w:val="none" w:sz="0" w:space="0" w:color="auto"/>
            <w:bottom w:val="none" w:sz="0" w:space="0" w:color="auto"/>
            <w:right w:val="none" w:sz="0" w:space="0" w:color="auto"/>
          </w:divBdr>
        </w:div>
        <w:div w:id="1059324806">
          <w:marLeft w:val="0"/>
          <w:marRight w:val="0"/>
          <w:marTop w:val="0"/>
          <w:marBottom w:val="101"/>
          <w:divBdr>
            <w:top w:val="none" w:sz="0" w:space="0" w:color="auto"/>
            <w:left w:val="none" w:sz="0" w:space="0" w:color="auto"/>
            <w:bottom w:val="none" w:sz="0" w:space="0" w:color="auto"/>
            <w:right w:val="none" w:sz="0" w:space="0" w:color="auto"/>
          </w:divBdr>
        </w:div>
        <w:div w:id="571963633">
          <w:marLeft w:val="0"/>
          <w:marRight w:val="0"/>
          <w:marTop w:val="0"/>
          <w:marBottom w:val="101"/>
          <w:divBdr>
            <w:top w:val="none" w:sz="0" w:space="0" w:color="auto"/>
            <w:left w:val="none" w:sz="0" w:space="0" w:color="auto"/>
            <w:bottom w:val="none" w:sz="0" w:space="0" w:color="auto"/>
            <w:right w:val="none" w:sz="0" w:space="0" w:color="auto"/>
          </w:divBdr>
        </w:div>
        <w:div w:id="1776974716">
          <w:marLeft w:val="0"/>
          <w:marRight w:val="0"/>
          <w:marTop w:val="0"/>
          <w:marBottom w:val="101"/>
          <w:divBdr>
            <w:top w:val="none" w:sz="0" w:space="0" w:color="auto"/>
            <w:left w:val="none" w:sz="0" w:space="0" w:color="auto"/>
            <w:bottom w:val="none" w:sz="0" w:space="0" w:color="auto"/>
            <w:right w:val="none" w:sz="0" w:space="0" w:color="auto"/>
          </w:divBdr>
        </w:div>
        <w:div w:id="1598513480">
          <w:marLeft w:val="0"/>
          <w:marRight w:val="0"/>
          <w:marTop w:val="0"/>
          <w:marBottom w:val="101"/>
          <w:divBdr>
            <w:top w:val="none" w:sz="0" w:space="0" w:color="auto"/>
            <w:left w:val="none" w:sz="0" w:space="0" w:color="auto"/>
            <w:bottom w:val="none" w:sz="0" w:space="0" w:color="auto"/>
            <w:right w:val="none" w:sz="0" w:space="0" w:color="auto"/>
          </w:divBdr>
        </w:div>
        <w:div w:id="1009984478">
          <w:marLeft w:val="0"/>
          <w:marRight w:val="0"/>
          <w:marTop w:val="0"/>
          <w:marBottom w:val="101"/>
          <w:divBdr>
            <w:top w:val="none" w:sz="0" w:space="0" w:color="auto"/>
            <w:left w:val="none" w:sz="0" w:space="0" w:color="auto"/>
            <w:bottom w:val="none" w:sz="0" w:space="0" w:color="auto"/>
            <w:right w:val="none" w:sz="0" w:space="0" w:color="auto"/>
          </w:divBdr>
        </w:div>
        <w:div w:id="2124299460">
          <w:marLeft w:val="0"/>
          <w:marRight w:val="0"/>
          <w:marTop w:val="0"/>
          <w:marBottom w:val="101"/>
          <w:divBdr>
            <w:top w:val="none" w:sz="0" w:space="0" w:color="auto"/>
            <w:left w:val="none" w:sz="0" w:space="0" w:color="auto"/>
            <w:bottom w:val="none" w:sz="0" w:space="0" w:color="auto"/>
            <w:right w:val="none" w:sz="0" w:space="0" w:color="auto"/>
          </w:divBdr>
        </w:div>
        <w:div w:id="963191258">
          <w:marLeft w:val="0"/>
          <w:marRight w:val="0"/>
          <w:marTop w:val="0"/>
          <w:marBottom w:val="101"/>
          <w:divBdr>
            <w:top w:val="none" w:sz="0" w:space="0" w:color="auto"/>
            <w:left w:val="none" w:sz="0" w:space="0" w:color="auto"/>
            <w:bottom w:val="none" w:sz="0" w:space="0" w:color="auto"/>
            <w:right w:val="none" w:sz="0" w:space="0" w:color="auto"/>
          </w:divBdr>
        </w:div>
        <w:div w:id="942300595">
          <w:marLeft w:val="0"/>
          <w:marRight w:val="0"/>
          <w:marTop w:val="0"/>
          <w:marBottom w:val="101"/>
          <w:divBdr>
            <w:top w:val="none" w:sz="0" w:space="0" w:color="auto"/>
            <w:left w:val="none" w:sz="0" w:space="0" w:color="auto"/>
            <w:bottom w:val="none" w:sz="0" w:space="0" w:color="auto"/>
            <w:right w:val="none" w:sz="0" w:space="0" w:color="auto"/>
          </w:divBdr>
        </w:div>
        <w:div w:id="455300545">
          <w:marLeft w:val="0"/>
          <w:marRight w:val="0"/>
          <w:marTop w:val="0"/>
          <w:marBottom w:val="101"/>
          <w:divBdr>
            <w:top w:val="none" w:sz="0" w:space="0" w:color="auto"/>
            <w:left w:val="none" w:sz="0" w:space="0" w:color="auto"/>
            <w:bottom w:val="none" w:sz="0" w:space="0" w:color="auto"/>
            <w:right w:val="none" w:sz="0" w:space="0" w:color="auto"/>
          </w:divBdr>
        </w:div>
        <w:div w:id="1813137624">
          <w:marLeft w:val="0"/>
          <w:marRight w:val="0"/>
          <w:marTop w:val="0"/>
          <w:marBottom w:val="101"/>
          <w:divBdr>
            <w:top w:val="none" w:sz="0" w:space="0" w:color="auto"/>
            <w:left w:val="none" w:sz="0" w:space="0" w:color="auto"/>
            <w:bottom w:val="none" w:sz="0" w:space="0" w:color="auto"/>
            <w:right w:val="none" w:sz="0" w:space="0" w:color="auto"/>
          </w:divBdr>
        </w:div>
        <w:div w:id="495849977">
          <w:marLeft w:val="0"/>
          <w:marRight w:val="0"/>
          <w:marTop w:val="0"/>
          <w:marBottom w:val="101"/>
          <w:divBdr>
            <w:top w:val="none" w:sz="0" w:space="0" w:color="auto"/>
            <w:left w:val="none" w:sz="0" w:space="0" w:color="auto"/>
            <w:bottom w:val="none" w:sz="0" w:space="0" w:color="auto"/>
            <w:right w:val="none" w:sz="0" w:space="0" w:color="auto"/>
          </w:divBdr>
        </w:div>
        <w:div w:id="104429054">
          <w:marLeft w:val="0"/>
          <w:marRight w:val="0"/>
          <w:marTop w:val="0"/>
          <w:marBottom w:val="101"/>
          <w:divBdr>
            <w:top w:val="none" w:sz="0" w:space="0" w:color="auto"/>
            <w:left w:val="none" w:sz="0" w:space="0" w:color="auto"/>
            <w:bottom w:val="none" w:sz="0" w:space="0" w:color="auto"/>
            <w:right w:val="none" w:sz="0" w:space="0" w:color="auto"/>
          </w:divBdr>
        </w:div>
        <w:div w:id="715742741">
          <w:marLeft w:val="0"/>
          <w:marRight w:val="0"/>
          <w:marTop w:val="0"/>
          <w:marBottom w:val="101"/>
          <w:divBdr>
            <w:top w:val="none" w:sz="0" w:space="0" w:color="auto"/>
            <w:left w:val="none" w:sz="0" w:space="0" w:color="auto"/>
            <w:bottom w:val="none" w:sz="0" w:space="0" w:color="auto"/>
            <w:right w:val="none" w:sz="0" w:space="0" w:color="auto"/>
          </w:divBdr>
        </w:div>
        <w:div w:id="1776633732">
          <w:marLeft w:val="0"/>
          <w:marRight w:val="0"/>
          <w:marTop w:val="0"/>
          <w:marBottom w:val="101"/>
          <w:divBdr>
            <w:top w:val="none" w:sz="0" w:space="0" w:color="auto"/>
            <w:left w:val="none" w:sz="0" w:space="0" w:color="auto"/>
            <w:bottom w:val="none" w:sz="0" w:space="0" w:color="auto"/>
            <w:right w:val="none" w:sz="0" w:space="0" w:color="auto"/>
          </w:divBdr>
        </w:div>
        <w:div w:id="805201507">
          <w:marLeft w:val="0"/>
          <w:marRight w:val="0"/>
          <w:marTop w:val="0"/>
          <w:marBottom w:val="101"/>
          <w:divBdr>
            <w:top w:val="none" w:sz="0" w:space="0" w:color="auto"/>
            <w:left w:val="none" w:sz="0" w:space="0" w:color="auto"/>
            <w:bottom w:val="none" w:sz="0" w:space="0" w:color="auto"/>
            <w:right w:val="none" w:sz="0" w:space="0" w:color="auto"/>
          </w:divBdr>
        </w:div>
        <w:div w:id="243340199">
          <w:marLeft w:val="0"/>
          <w:marRight w:val="0"/>
          <w:marTop w:val="0"/>
          <w:marBottom w:val="101"/>
          <w:divBdr>
            <w:top w:val="none" w:sz="0" w:space="0" w:color="auto"/>
            <w:left w:val="none" w:sz="0" w:space="0" w:color="auto"/>
            <w:bottom w:val="none" w:sz="0" w:space="0" w:color="auto"/>
            <w:right w:val="none" w:sz="0" w:space="0" w:color="auto"/>
          </w:divBdr>
        </w:div>
        <w:div w:id="1842161152">
          <w:marLeft w:val="0"/>
          <w:marRight w:val="0"/>
          <w:marTop w:val="0"/>
          <w:marBottom w:val="101"/>
          <w:divBdr>
            <w:top w:val="none" w:sz="0" w:space="0" w:color="auto"/>
            <w:left w:val="none" w:sz="0" w:space="0" w:color="auto"/>
            <w:bottom w:val="none" w:sz="0" w:space="0" w:color="auto"/>
            <w:right w:val="none" w:sz="0" w:space="0" w:color="auto"/>
          </w:divBdr>
        </w:div>
        <w:div w:id="1431464576">
          <w:marLeft w:val="0"/>
          <w:marRight w:val="0"/>
          <w:marTop w:val="0"/>
          <w:marBottom w:val="101"/>
          <w:divBdr>
            <w:top w:val="none" w:sz="0" w:space="0" w:color="auto"/>
            <w:left w:val="none" w:sz="0" w:space="0" w:color="auto"/>
            <w:bottom w:val="none" w:sz="0" w:space="0" w:color="auto"/>
            <w:right w:val="none" w:sz="0" w:space="0" w:color="auto"/>
          </w:divBdr>
        </w:div>
        <w:div w:id="1406345210">
          <w:marLeft w:val="0"/>
          <w:marRight w:val="0"/>
          <w:marTop w:val="0"/>
          <w:marBottom w:val="101"/>
          <w:divBdr>
            <w:top w:val="none" w:sz="0" w:space="0" w:color="auto"/>
            <w:left w:val="none" w:sz="0" w:space="0" w:color="auto"/>
            <w:bottom w:val="none" w:sz="0" w:space="0" w:color="auto"/>
            <w:right w:val="none" w:sz="0" w:space="0" w:color="auto"/>
          </w:divBdr>
        </w:div>
        <w:div w:id="1493374990">
          <w:marLeft w:val="0"/>
          <w:marRight w:val="0"/>
          <w:marTop w:val="0"/>
          <w:marBottom w:val="101"/>
          <w:divBdr>
            <w:top w:val="none" w:sz="0" w:space="0" w:color="auto"/>
            <w:left w:val="none" w:sz="0" w:space="0" w:color="auto"/>
            <w:bottom w:val="none" w:sz="0" w:space="0" w:color="auto"/>
            <w:right w:val="none" w:sz="0" w:space="0" w:color="auto"/>
          </w:divBdr>
        </w:div>
        <w:div w:id="1445543170">
          <w:marLeft w:val="0"/>
          <w:marRight w:val="0"/>
          <w:marTop w:val="0"/>
          <w:marBottom w:val="101"/>
          <w:divBdr>
            <w:top w:val="none" w:sz="0" w:space="0" w:color="auto"/>
            <w:left w:val="none" w:sz="0" w:space="0" w:color="auto"/>
            <w:bottom w:val="none" w:sz="0" w:space="0" w:color="auto"/>
            <w:right w:val="none" w:sz="0" w:space="0" w:color="auto"/>
          </w:divBdr>
        </w:div>
        <w:div w:id="104663485">
          <w:marLeft w:val="0"/>
          <w:marRight w:val="0"/>
          <w:marTop w:val="0"/>
          <w:marBottom w:val="101"/>
          <w:divBdr>
            <w:top w:val="none" w:sz="0" w:space="0" w:color="auto"/>
            <w:left w:val="none" w:sz="0" w:space="0" w:color="auto"/>
            <w:bottom w:val="none" w:sz="0" w:space="0" w:color="auto"/>
            <w:right w:val="none" w:sz="0" w:space="0" w:color="auto"/>
          </w:divBdr>
        </w:div>
        <w:div w:id="409814150">
          <w:marLeft w:val="0"/>
          <w:marRight w:val="0"/>
          <w:marTop w:val="0"/>
          <w:marBottom w:val="101"/>
          <w:divBdr>
            <w:top w:val="none" w:sz="0" w:space="0" w:color="auto"/>
            <w:left w:val="none" w:sz="0" w:space="0" w:color="auto"/>
            <w:bottom w:val="none" w:sz="0" w:space="0" w:color="auto"/>
            <w:right w:val="none" w:sz="0" w:space="0" w:color="auto"/>
          </w:divBdr>
        </w:div>
        <w:div w:id="1403677713">
          <w:marLeft w:val="0"/>
          <w:marRight w:val="0"/>
          <w:marTop w:val="0"/>
          <w:marBottom w:val="101"/>
          <w:divBdr>
            <w:top w:val="none" w:sz="0" w:space="0" w:color="auto"/>
            <w:left w:val="none" w:sz="0" w:space="0" w:color="auto"/>
            <w:bottom w:val="none" w:sz="0" w:space="0" w:color="auto"/>
            <w:right w:val="none" w:sz="0" w:space="0" w:color="auto"/>
          </w:divBdr>
        </w:div>
        <w:div w:id="1800107953">
          <w:marLeft w:val="0"/>
          <w:marRight w:val="0"/>
          <w:marTop w:val="0"/>
          <w:marBottom w:val="101"/>
          <w:divBdr>
            <w:top w:val="none" w:sz="0" w:space="0" w:color="auto"/>
            <w:left w:val="none" w:sz="0" w:space="0" w:color="auto"/>
            <w:bottom w:val="none" w:sz="0" w:space="0" w:color="auto"/>
            <w:right w:val="none" w:sz="0" w:space="0" w:color="auto"/>
          </w:divBdr>
        </w:div>
        <w:div w:id="1572276941">
          <w:marLeft w:val="0"/>
          <w:marRight w:val="0"/>
          <w:marTop w:val="0"/>
          <w:marBottom w:val="101"/>
          <w:divBdr>
            <w:top w:val="none" w:sz="0" w:space="0" w:color="auto"/>
            <w:left w:val="none" w:sz="0" w:space="0" w:color="auto"/>
            <w:bottom w:val="none" w:sz="0" w:space="0" w:color="auto"/>
            <w:right w:val="none" w:sz="0" w:space="0" w:color="auto"/>
          </w:divBdr>
        </w:div>
        <w:div w:id="1647515773">
          <w:marLeft w:val="0"/>
          <w:marRight w:val="0"/>
          <w:marTop w:val="0"/>
          <w:marBottom w:val="101"/>
          <w:divBdr>
            <w:top w:val="none" w:sz="0" w:space="0" w:color="auto"/>
            <w:left w:val="none" w:sz="0" w:space="0" w:color="auto"/>
            <w:bottom w:val="none" w:sz="0" w:space="0" w:color="auto"/>
            <w:right w:val="none" w:sz="0" w:space="0" w:color="auto"/>
          </w:divBdr>
        </w:div>
        <w:div w:id="320425857">
          <w:marLeft w:val="0"/>
          <w:marRight w:val="0"/>
          <w:marTop w:val="0"/>
          <w:marBottom w:val="101"/>
          <w:divBdr>
            <w:top w:val="none" w:sz="0" w:space="0" w:color="auto"/>
            <w:left w:val="none" w:sz="0" w:space="0" w:color="auto"/>
            <w:bottom w:val="none" w:sz="0" w:space="0" w:color="auto"/>
            <w:right w:val="none" w:sz="0" w:space="0" w:color="auto"/>
          </w:divBdr>
        </w:div>
        <w:div w:id="881671509">
          <w:marLeft w:val="0"/>
          <w:marRight w:val="0"/>
          <w:marTop w:val="0"/>
          <w:marBottom w:val="101"/>
          <w:divBdr>
            <w:top w:val="none" w:sz="0" w:space="0" w:color="auto"/>
            <w:left w:val="none" w:sz="0" w:space="0" w:color="auto"/>
            <w:bottom w:val="none" w:sz="0" w:space="0" w:color="auto"/>
            <w:right w:val="none" w:sz="0" w:space="0" w:color="auto"/>
          </w:divBdr>
        </w:div>
        <w:div w:id="296571849">
          <w:marLeft w:val="0"/>
          <w:marRight w:val="0"/>
          <w:marTop w:val="0"/>
          <w:marBottom w:val="101"/>
          <w:divBdr>
            <w:top w:val="none" w:sz="0" w:space="0" w:color="auto"/>
            <w:left w:val="none" w:sz="0" w:space="0" w:color="auto"/>
            <w:bottom w:val="none" w:sz="0" w:space="0" w:color="auto"/>
            <w:right w:val="none" w:sz="0" w:space="0" w:color="auto"/>
          </w:divBdr>
        </w:div>
        <w:div w:id="2034766327">
          <w:marLeft w:val="0"/>
          <w:marRight w:val="0"/>
          <w:marTop w:val="0"/>
          <w:marBottom w:val="101"/>
          <w:divBdr>
            <w:top w:val="none" w:sz="0" w:space="0" w:color="auto"/>
            <w:left w:val="none" w:sz="0" w:space="0" w:color="auto"/>
            <w:bottom w:val="none" w:sz="0" w:space="0" w:color="auto"/>
            <w:right w:val="none" w:sz="0" w:space="0" w:color="auto"/>
          </w:divBdr>
        </w:div>
        <w:div w:id="1197545649">
          <w:marLeft w:val="0"/>
          <w:marRight w:val="0"/>
          <w:marTop w:val="0"/>
          <w:marBottom w:val="101"/>
          <w:divBdr>
            <w:top w:val="none" w:sz="0" w:space="0" w:color="auto"/>
            <w:left w:val="none" w:sz="0" w:space="0" w:color="auto"/>
            <w:bottom w:val="none" w:sz="0" w:space="0" w:color="auto"/>
            <w:right w:val="none" w:sz="0" w:space="0" w:color="auto"/>
          </w:divBdr>
        </w:div>
        <w:div w:id="1464813182">
          <w:marLeft w:val="0"/>
          <w:marRight w:val="0"/>
          <w:marTop w:val="0"/>
          <w:marBottom w:val="101"/>
          <w:divBdr>
            <w:top w:val="none" w:sz="0" w:space="0" w:color="auto"/>
            <w:left w:val="none" w:sz="0" w:space="0" w:color="auto"/>
            <w:bottom w:val="none" w:sz="0" w:space="0" w:color="auto"/>
            <w:right w:val="none" w:sz="0" w:space="0" w:color="auto"/>
          </w:divBdr>
        </w:div>
        <w:div w:id="2088531662">
          <w:marLeft w:val="0"/>
          <w:marRight w:val="0"/>
          <w:marTop w:val="0"/>
          <w:marBottom w:val="101"/>
          <w:divBdr>
            <w:top w:val="none" w:sz="0" w:space="0" w:color="auto"/>
            <w:left w:val="none" w:sz="0" w:space="0" w:color="auto"/>
            <w:bottom w:val="none" w:sz="0" w:space="0" w:color="auto"/>
            <w:right w:val="none" w:sz="0" w:space="0" w:color="auto"/>
          </w:divBdr>
        </w:div>
        <w:div w:id="1633247582">
          <w:marLeft w:val="0"/>
          <w:marRight w:val="0"/>
          <w:marTop w:val="0"/>
          <w:marBottom w:val="101"/>
          <w:divBdr>
            <w:top w:val="none" w:sz="0" w:space="0" w:color="auto"/>
            <w:left w:val="none" w:sz="0" w:space="0" w:color="auto"/>
            <w:bottom w:val="none" w:sz="0" w:space="0" w:color="auto"/>
            <w:right w:val="none" w:sz="0" w:space="0" w:color="auto"/>
          </w:divBdr>
        </w:div>
        <w:div w:id="1822191874">
          <w:marLeft w:val="0"/>
          <w:marRight w:val="0"/>
          <w:marTop w:val="0"/>
          <w:marBottom w:val="101"/>
          <w:divBdr>
            <w:top w:val="none" w:sz="0" w:space="0" w:color="auto"/>
            <w:left w:val="none" w:sz="0" w:space="0" w:color="auto"/>
            <w:bottom w:val="none" w:sz="0" w:space="0" w:color="auto"/>
            <w:right w:val="none" w:sz="0" w:space="0" w:color="auto"/>
          </w:divBdr>
        </w:div>
        <w:div w:id="223957539">
          <w:marLeft w:val="0"/>
          <w:marRight w:val="0"/>
          <w:marTop w:val="0"/>
          <w:marBottom w:val="101"/>
          <w:divBdr>
            <w:top w:val="none" w:sz="0" w:space="0" w:color="auto"/>
            <w:left w:val="none" w:sz="0" w:space="0" w:color="auto"/>
            <w:bottom w:val="none" w:sz="0" w:space="0" w:color="auto"/>
            <w:right w:val="none" w:sz="0" w:space="0" w:color="auto"/>
          </w:divBdr>
        </w:div>
        <w:div w:id="641236784">
          <w:marLeft w:val="0"/>
          <w:marRight w:val="0"/>
          <w:marTop w:val="0"/>
          <w:marBottom w:val="101"/>
          <w:divBdr>
            <w:top w:val="none" w:sz="0" w:space="0" w:color="auto"/>
            <w:left w:val="none" w:sz="0" w:space="0" w:color="auto"/>
            <w:bottom w:val="none" w:sz="0" w:space="0" w:color="auto"/>
            <w:right w:val="none" w:sz="0" w:space="0" w:color="auto"/>
          </w:divBdr>
        </w:div>
        <w:div w:id="2077974637">
          <w:marLeft w:val="0"/>
          <w:marRight w:val="0"/>
          <w:marTop w:val="0"/>
          <w:marBottom w:val="101"/>
          <w:divBdr>
            <w:top w:val="none" w:sz="0" w:space="0" w:color="auto"/>
            <w:left w:val="none" w:sz="0" w:space="0" w:color="auto"/>
            <w:bottom w:val="none" w:sz="0" w:space="0" w:color="auto"/>
            <w:right w:val="none" w:sz="0" w:space="0" w:color="auto"/>
          </w:divBdr>
        </w:div>
        <w:div w:id="1765609529">
          <w:marLeft w:val="0"/>
          <w:marRight w:val="0"/>
          <w:marTop w:val="0"/>
          <w:marBottom w:val="101"/>
          <w:divBdr>
            <w:top w:val="none" w:sz="0" w:space="0" w:color="auto"/>
            <w:left w:val="none" w:sz="0" w:space="0" w:color="auto"/>
            <w:bottom w:val="none" w:sz="0" w:space="0" w:color="auto"/>
            <w:right w:val="none" w:sz="0" w:space="0" w:color="auto"/>
          </w:divBdr>
        </w:div>
        <w:div w:id="1648823212">
          <w:marLeft w:val="0"/>
          <w:marRight w:val="0"/>
          <w:marTop w:val="0"/>
          <w:marBottom w:val="101"/>
          <w:divBdr>
            <w:top w:val="none" w:sz="0" w:space="0" w:color="auto"/>
            <w:left w:val="none" w:sz="0" w:space="0" w:color="auto"/>
            <w:bottom w:val="none" w:sz="0" w:space="0" w:color="auto"/>
            <w:right w:val="none" w:sz="0" w:space="0" w:color="auto"/>
          </w:divBdr>
        </w:div>
        <w:div w:id="1371609752">
          <w:marLeft w:val="0"/>
          <w:marRight w:val="0"/>
          <w:marTop w:val="0"/>
          <w:marBottom w:val="101"/>
          <w:divBdr>
            <w:top w:val="none" w:sz="0" w:space="0" w:color="auto"/>
            <w:left w:val="none" w:sz="0" w:space="0" w:color="auto"/>
            <w:bottom w:val="none" w:sz="0" w:space="0" w:color="auto"/>
            <w:right w:val="none" w:sz="0" w:space="0" w:color="auto"/>
          </w:divBdr>
        </w:div>
        <w:div w:id="1124274717">
          <w:marLeft w:val="0"/>
          <w:marRight w:val="0"/>
          <w:marTop w:val="0"/>
          <w:marBottom w:val="101"/>
          <w:divBdr>
            <w:top w:val="none" w:sz="0" w:space="0" w:color="auto"/>
            <w:left w:val="none" w:sz="0" w:space="0" w:color="auto"/>
            <w:bottom w:val="none" w:sz="0" w:space="0" w:color="auto"/>
            <w:right w:val="none" w:sz="0" w:space="0" w:color="auto"/>
          </w:divBdr>
        </w:div>
        <w:div w:id="1647974737">
          <w:marLeft w:val="0"/>
          <w:marRight w:val="0"/>
          <w:marTop w:val="0"/>
          <w:marBottom w:val="101"/>
          <w:divBdr>
            <w:top w:val="none" w:sz="0" w:space="0" w:color="auto"/>
            <w:left w:val="none" w:sz="0" w:space="0" w:color="auto"/>
            <w:bottom w:val="none" w:sz="0" w:space="0" w:color="auto"/>
            <w:right w:val="none" w:sz="0" w:space="0" w:color="auto"/>
          </w:divBdr>
        </w:div>
        <w:div w:id="1516767846">
          <w:marLeft w:val="0"/>
          <w:marRight w:val="0"/>
          <w:marTop w:val="0"/>
          <w:marBottom w:val="101"/>
          <w:divBdr>
            <w:top w:val="none" w:sz="0" w:space="0" w:color="auto"/>
            <w:left w:val="none" w:sz="0" w:space="0" w:color="auto"/>
            <w:bottom w:val="none" w:sz="0" w:space="0" w:color="auto"/>
            <w:right w:val="none" w:sz="0" w:space="0" w:color="auto"/>
          </w:divBdr>
        </w:div>
        <w:div w:id="2035642777">
          <w:marLeft w:val="0"/>
          <w:marRight w:val="0"/>
          <w:marTop w:val="0"/>
          <w:marBottom w:val="101"/>
          <w:divBdr>
            <w:top w:val="none" w:sz="0" w:space="0" w:color="auto"/>
            <w:left w:val="none" w:sz="0" w:space="0" w:color="auto"/>
            <w:bottom w:val="none" w:sz="0" w:space="0" w:color="auto"/>
            <w:right w:val="none" w:sz="0" w:space="0" w:color="auto"/>
          </w:divBdr>
        </w:div>
        <w:div w:id="663974993">
          <w:marLeft w:val="0"/>
          <w:marRight w:val="0"/>
          <w:marTop w:val="0"/>
          <w:marBottom w:val="101"/>
          <w:divBdr>
            <w:top w:val="none" w:sz="0" w:space="0" w:color="auto"/>
            <w:left w:val="none" w:sz="0" w:space="0" w:color="auto"/>
            <w:bottom w:val="none" w:sz="0" w:space="0" w:color="auto"/>
            <w:right w:val="none" w:sz="0" w:space="0" w:color="auto"/>
          </w:divBdr>
        </w:div>
        <w:div w:id="1889029564">
          <w:marLeft w:val="0"/>
          <w:marRight w:val="0"/>
          <w:marTop w:val="0"/>
          <w:marBottom w:val="101"/>
          <w:divBdr>
            <w:top w:val="none" w:sz="0" w:space="0" w:color="auto"/>
            <w:left w:val="none" w:sz="0" w:space="0" w:color="auto"/>
            <w:bottom w:val="none" w:sz="0" w:space="0" w:color="auto"/>
            <w:right w:val="none" w:sz="0" w:space="0" w:color="auto"/>
          </w:divBdr>
        </w:div>
        <w:div w:id="1282882533">
          <w:marLeft w:val="0"/>
          <w:marRight w:val="0"/>
          <w:marTop w:val="0"/>
          <w:marBottom w:val="101"/>
          <w:divBdr>
            <w:top w:val="none" w:sz="0" w:space="0" w:color="auto"/>
            <w:left w:val="none" w:sz="0" w:space="0" w:color="auto"/>
            <w:bottom w:val="none" w:sz="0" w:space="0" w:color="auto"/>
            <w:right w:val="none" w:sz="0" w:space="0" w:color="auto"/>
          </w:divBdr>
        </w:div>
        <w:div w:id="1487814904">
          <w:marLeft w:val="0"/>
          <w:marRight w:val="0"/>
          <w:marTop w:val="0"/>
          <w:marBottom w:val="101"/>
          <w:divBdr>
            <w:top w:val="none" w:sz="0" w:space="0" w:color="auto"/>
            <w:left w:val="none" w:sz="0" w:space="0" w:color="auto"/>
            <w:bottom w:val="none" w:sz="0" w:space="0" w:color="auto"/>
            <w:right w:val="none" w:sz="0" w:space="0" w:color="auto"/>
          </w:divBdr>
        </w:div>
        <w:div w:id="31082966">
          <w:marLeft w:val="0"/>
          <w:marRight w:val="0"/>
          <w:marTop w:val="0"/>
          <w:marBottom w:val="101"/>
          <w:divBdr>
            <w:top w:val="none" w:sz="0" w:space="0" w:color="auto"/>
            <w:left w:val="none" w:sz="0" w:space="0" w:color="auto"/>
            <w:bottom w:val="none" w:sz="0" w:space="0" w:color="auto"/>
            <w:right w:val="none" w:sz="0" w:space="0" w:color="auto"/>
          </w:divBdr>
        </w:div>
        <w:div w:id="765006905">
          <w:marLeft w:val="0"/>
          <w:marRight w:val="0"/>
          <w:marTop w:val="0"/>
          <w:marBottom w:val="101"/>
          <w:divBdr>
            <w:top w:val="none" w:sz="0" w:space="0" w:color="auto"/>
            <w:left w:val="none" w:sz="0" w:space="0" w:color="auto"/>
            <w:bottom w:val="none" w:sz="0" w:space="0" w:color="auto"/>
            <w:right w:val="none" w:sz="0" w:space="0" w:color="auto"/>
          </w:divBdr>
        </w:div>
        <w:div w:id="1707100306">
          <w:marLeft w:val="0"/>
          <w:marRight w:val="0"/>
          <w:marTop w:val="0"/>
          <w:marBottom w:val="101"/>
          <w:divBdr>
            <w:top w:val="none" w:sz="0" w:space="0" w:color="auto"/>
            <w:left w:val="none" w:sz="0" w:space="0" w:color="auto"/>
            <w:bottom w:val="none" w:sz="0" w:space="0" w:color="auto"/>
            <w:right w:val="none" w:sz="0" w:space="0" w:color="auto"/>
          </w:divBdr>
        </w:div>
        <w:div w:id="376976167">
          <w:marLeft w:val="0"/>
          <w:marRight w:val="0"/>
          <w:marTop w:val="0"/>
          <w:marBottom w:val="101"/>
          <w:divBdr>
            <w:top w:val="none" w:sz="0" w:space="0" w:color="auto"/>
            <w:left w:val="none" w:sz="0" w:space="0" w:color="auto"/>
            <w:bottom w:val="none" w:sz="0" w:space="0" w:color="auto"/>
            <w:right w:val="none" w:sz="0" w:space="0" w:color="auto"/>
          </w:divBdr>
        </w:div>
        <w:div w:id="6567556">
          <w:marLeft w:val="0"/>
          <w:marRight w:val="0"/>
          <w:marTop w:val="0"/>
          <w:marBottom w:val="101"/>
          <w:divBdr>
            <w:top w:val="none" w:sz="0" w:space="0" w:color="auto"/>
            <w:left w:val="none" w:sz="0" w:space="0" w:color="auto"/>
            <w:bottom w:val="none" w:sz="0" w:space="0" w:color="auto"/>
            <w:right w:val="none" w:sz="0" w:space="0" w:color="auto"/>
          </w:divBdr>
        </w:div>
        <w:div w:id="1477529724">
          <w:marLeft w:val="0"/>
          <w:marRight w:val="0"/>
          <w:marTop w:val="0"/>
          <w:marBottom w:val="101"/>
          <w:divBdr>
            <w:top w:val="none" w:sz="0" w:space="0" w:color="auto"/>
            <w:left w:val="none" w:sz="0" w:space="0" w:color="auto"/>
            <w:bottom w:val="none" w:sz="0" w:space="0" w:color="auto"/>
            <w:right w:val="none" w:sz="0" w:space="0" w:color="auto"/>
          </w:divBdr>
        </w:div>
        <w:div w:id="849366838">
          <w:marLeft w:val="0"/>
          <w:marRight w:val="0"/>
          <w:marTop w:val="0"/>
          <w:marBottom w:val="101"/>
          <w:divBdr>
            <w:top w:val="none" w:sz="0" w:space="0" w:color="auto"/>
            <w:left w:val="none" w:sz="0" w:space="0" w:color="auto"/>
            <w:bottom w:val="none" w:sz="0" w:space="0" w:color="auto"/>
            <w:right w:val="none" w:sz="0" w:space="0" w:color="auto"/>
          </w:divBdr>
        </w:div>
        <w:div w:id="2010864325">
          <w:marLeft w:val="0"/>
          <w:marRight w:val="0"/>
          <w:marTop w:val="0"/>
          <w:marBottom w:val="101"/>
          <w:divBdr>
            <w:top w:val="none" w:sz="0" w:space="0" w:color="auto"/>
            <w:left w:val="none" w:sz="0" w:space="0" w:color="auto"/>
            <w:bottom w:val="none" w:sz="0" w:space="0" w:color="auto"/>
            <w:right w:val="none" w:sz="0" w:space="0" w:color="auto"/>
          </w:divBdr>
        </w:div>
        <w:div w:id="1676878244">
          <w:marLeft w:val="0"/>
          <w:marRight w:val="0"/>
          <w:marTop w:val="0"/>
          <w:marBottom w:val="101"/>
          <w:divBdr>
            <w:top w:val="none" w:sz="0" w:space="0" w:color="auto"/>
            <w:left w:val="none" w:sz="0" w:space="0" w:color="auto"/>
            <w:bottom w:val="none" w:sz="0" w:space="0" w:color="auto"/>
            <w:right w:val="none" w:sz="0" w:space="0" w:color="auto"/>
          </w:divBdr>
        </w:div>
        <w:div w:id="534317970">
          <w:marLeft w:val="0"/>
          <w:marRight w:val="0"/>
          <w:marTop w:val="0"/>
          <w:marBottom w:val="101"/>
          <w:divBdr>
            <w:top w:val="none" w:sz="0" w:space="0" w:color="auto"/>
            <w:left w:val="none" w:sz="0" w:space="0" w:color="auto"/>
            <w:bottom w:val="none" w:sz="0" w:space="0" w:color="auto"/>
            <w:right w:val="none" w:sz="0" w:space="0" w:color="auto"/>
          </w:divBdr>
        </w:div>
        <w:div w:id="1507867530">
          <w:marLeft w:val="0"/>
          <w:marRight w:val="0"/>
          <w:marTop w:val="0"/>
          <w:marBottom w:val="101"/>
          <w:divBdr>
            <w:top w:val="none" w:sz="0" w:space="0" w:color="auto"/>
            <w:left w:val="none" w:sz="0" w:space="0" w:color="auto"/>
            <w:bottom w:val="none" w:sz="0" w:space="0" w:color="auto"/>
            <w:right w:val="none" w:sz="0" w:space="0" w:color="auto"/>
          </w:divBdr>
        </w:div>
        <w:div w:id="708648276">
          <w:marLeft w:val="0"/>
          <w:marRight w:val="0"/>
          <w:marTop w:val="0"/>
          <w:marBottom w:val="101"/>
          <w:divBdr>
            <w:top w:val="none" w:sz="0" w:space="0" w:color="auto"/>
            <w:left w:val="none" w:sz="0" w:space="0" w:color="auto"/>
            <w:bottom w:val="none" w:sz="0" w:space="0" w:color="auto"/>
            <w:right w:val="none" w:sz="0" w:space="0" w:color="auto"/>
          </w:divBdr>
        </w:div>
        <w:div w:id="943342272">
          <w:marLeft w:val="0"/>
          <w:marRight w:val="0"/>
          <w:marTop w:val="0"/>
          <w:marBottom w:val="101"/>
          <w:divBdr>
            <w:top w:val="none" w:sz="0" w:space="0" w:color="auto"/>
            <w:left w:val="none" w:sz="0" w:space="0" w:color="auto"/>
            <w:bottom w:val="none" w:sz="0" w:space="0" w:color="auto"/>
            <w:right w:val="none" w:sz="0" w:space="0" w:color="auto"/>
          </w:divBdr>
        </w:div>
        <w:div w:id="1746607675">
          <w:marLeft w:val="0"/>
          <w:marRight w:val="0"/>
          <w:marTop w:val="0"/>
          <w:marBottom w:val="101"/>
          <w:divBdr>
            <w:top w:val="none" w:sz="0" w:space="0" w:color="auto"/>
            <w:left w:val="none" w:sz="0" w:space="0" w:color="auto"/>
            <w:bottom w:val="none" w:sz="0" w:space="0" w:color="auto"/>
            <w:right w:val="none" w:sz="0" w:space="0" w:color="auto"/>
          </w:divBdr>
        </w:div>
        <w:div w:id="1559508249">
          <w:marLeft w:val="0"/>
          <w:marRight w:val="0"/>
          <w:marTop w:val="0"/>
          <w:marBottom w:val="101"/>
          <w:divBdr>
            <w:top w:val="none" w:sz="0" w:space="0" w:color="auto"/>
            <w:left w:val="none" w:sz="0" w:space="0" w:color="auto"/>
            <w:bottom w:val="none" w:sz="0" w:space="0" w:color="auto"/>
            <w:right w:val="none" w:sz="0" w:space="0" w:color="auto"/>
          </w:divBdr>
        </w:div>
        <w:div w:id="375547576">
          <w:marLeft w:val="0"/>
          <w:marRight w:val="0"/>
          <w:marTop w:val="0"/>
          <w:marBottom w:val="101"/>
          <w:divBdr>
            <w:top w:val="none" w:sz="0" w:space="0" w:color="auto"/>
            <w:left w:val="none" w:sz="0" w:space="0" w:color="auto"/>
            <w:bottom w:val="none" w:sz="0" w:space="0" w:color="auto"/>
            <w:right w:val="none" w:sz="0" w:space="0" w:color="auto"/>
          </w:divBdr>
        </w:div>
        <w:div w:id="969745455">
          <w:marLeft w:val="0"/>
          <w:marRight w:val="0"/>
          <w:marTop w:val="0"/>
          <w:marBottom w:val="101"/>
          <w:divBdr>
            <w:top w:val="none" w:sz="0" w:space="0" w:color="auto"/>
            <w:left w:val="none" w:sz="0" w:space="0" w:color="auto"/>
            <w:bottom w:val="none" w:sz="0" w:space="0" w:color="auto"/>
            <w:right w:val="none" w:sz="0" w:space="0" w:color="auto"/>
          </w:divBdr>
        </w:div>
        <w:div w:id="1056784271">
          <w:marLeft w:val="0"/>
          <w:marRight w:val="0"/>
          <w:marTop w:val="0"/>
          <w:marBottom w:val="101"/>
          <w:divBdr>
            <w:top w:val="none" w:sz="0" w:space="0" w:color="auto"/>
            <w:left w:val="none" w:sz="0" w:space="0" w:color="auto"/>
            <w:bottom w:val="none" w:sz="0" w:space="0" w:color="auto"/>
            <w:right w:val="none" w:sz="0" w:space="0" w:color="auto"/>
          </w:divBdr>
        </w:div>
        <w:div w:id="1655716745">
          <w:marLeft w:val="0"/>
          <w:marRight w:val="0"/>
          <w:marTop w:val="0"/>
          <w:marBottom w:val="101"/>
          <w:divBdr>
            <w:top w:val="none" w:sz="0" w:space="0" w:color="auto"/>
            <w:left w:val="none" w:sz="0" w:space="0" w:color="auto"/>
            <w:bottom w:val="none" w:sz="0" w:space="0" w:color="auto"/>
            <w:right w:val="none" w:sz="0" w:space="0" w:color="auto"/>
          </w:divBdr>
        </w:div>
        <w:div w:id="1439519824">
          <w:marLeft w:val="0"/>
          <w:marRight w:val="0"/>
          <w:marTop w:val="0"/>
          <w:marBottom w:val="101"/>
          <w:divBdr>
            <w:top w:val="none" w:sz="0" w:space="0" w:color="auto"/>
            <w:left w:val="none" w:sz="0" w:space="0" w:color="auto"/>
            <w:bottom w:val="none" w:sz="0" w:space="0" w:color="auto"/>
            <w:right w:val="none" w:sz="0" w:space="0" w:color="auto"/>
          </w:divBdr>
        </w:div>
        <w:div w:id="676613688">
          <w:marLeft w:val="0"/>
          <w:marRight w:val="0"/>
          <w:marTop w:val="0"/>
          <w:marBottom w:val="101"/>
          <w:divBdr>
            <w:top w:val="none" w:sz="0" w:space="0" w:color="auto"/>
            <w:left w:val="none" w:sz="0" w:space="0" w:color="auto"/>
            <w:bottom w:val="none" w:sz="0" w:space="0" w:color="auto"/>
            <w:right w:val="none" w:sz="0" w:space="0" w:color="auto"/>
          </w:divBdr>
        </w:div>
        <w:div w:id="1591158828">
          <w:marLeft w:val="0"/>
          <w:marRight w:val="0"/>
          <w:marTop w:val="0"/>
          <w:marBottom w:val="101"/>
          <w:divBdr>
            <w:top w:val="none" w:sz="0" w:space="0" w:color="auto"/>
            <w:left w:val="none" w:sz="0" w:space="0" w:color="auto"/>
            <w:bottom w:val="none" w:sz="0" w:space="0" w:color="auto"/>
            <w:right w:val="none" w:sz="0" w:space="0" w:color="auto"/>
          </w:divBdr>
        </w:div>
        <w:div w:id="695035630">
          <w:marLeft w:val="0"/>
          <w:marRight w:val="0"/>
          <w:marTop w:val="0"/>
          <w:marBottom w:val="101"/>
          <w:divBdr>
            <w:top w:val="none" w:sz="0" w:space="0" w:color="auto"/>
            <w:left w:val="none" w:sz="0" w:space="0" w:color="auto"/>
            <w:bottom w:val="none" w:sz="0" w:space="0" w:color="auto"/>
            <w:right w:val="none" w:sz="0" w:space="0" w:color="auto"/>
          </w:divBdr>
        </w:div>
        <w:div w:id="1318876273">
          <w:marLeft w:val="0"/>
          <w:marRight w:val="0"/>
          <w:marTop w:val="0"/>
          <w:marBottom w:val="101"/>
          <w:divBdr>
            <w:top w:val="none" w:sz="0" w:space="0" w:color="auto"/>
            <w:left w:val="none" w:sz="0" w:space="0" w:color="auto"/>
            <w:bottom w:val="none" w:sz="0" w:space="0" w:color="auto"/>
            <w:right w:val="none" w:sz="0" w:space="0" w:color="auto"/>
          </w:divBdr>
        </w:div>
        <w:div w:id="885994937">
          <w:marLeft w:val="0"/>
          <w:marRight w:val="0"/>
          <w:marTop w:val="0"/>
          <w:marBottom w:val="101"/>
          <w:divBdr>
            <w:top w:val="none" w:sz="0" w:space="0" w:color="auto"/>
            <w:left w:val="none" w:sz="0" w:space="0" w:color="auto"/>
            <w:bottom w:val="none" w:sz="0" w:space="0" w:color="auto"/>
            <w:right w:val="none" w:sz="0" w:space="0" w:color="auto"/>
          </w:divBdr>
        </w:div>
        <w:div w:id="101387872">
          <w:marLeft w:val="0"/>
          <w:marRight w:val="0"/>
          <w:marTop w:val="0"/>
          <w:marBottom w:val="101"/>
          <w:divBdr>
            <w:top w:val="none" w:sz="0" w:space="0" w:color="auto"/>
            <w:left w:val="none" w:sz="0" w:space="0" w:color="auto"/>
            <w:bottom w:val="none" w:sz="0" w:space="0" w:color="auto"/>
            <w:right w:val="none" w:sz="0" w:space="0" w:color="auto"/>
          </w:divBdr>
        </w:div>
        <w:div w:id="224993394">
          <w:marLeft w:val="0"/>
          <w:marRight w:val="0"/>
          <w:marTop w:val="0"/>
          <w:marBottom w:val="101"/>
          <w:divBdr>
            <w:top w:val="none" w:sz="0" w:space="0" w:color="auto"/>
            <w:left w:val="none" w:sz="0" w:space="0" w:color="auto"/>
            <w:bottom w:val="none" w:sz="0" w:space="0" w:color="auto"/>
            <w:right w:val="none" w:sz="0" w:space="0" w:color="auto"/>
          </w:divBdr>
        </w:div>
        <w:div w:id="1006906451">
          <w:marLeft w:val="0"/>
          <w:marRight w:val="0"/>
          <w:marTop w:val="0"/>
          <w:marBottom w:val="101"/>
          <w:divBdr>
            <w:top w:val="none" w:sz="0" w:space="0" w:color="auto"/>
            <w:left w:val="none" w:sz="0" w:space="0" w:color="auto"/>
            <w:bottom w:val="none" w:sz="0" w:space="0" w:color="auto"/>
            <w:right w:val="none" w:sz="0" w:space="0" w:color="auto"/>
          </w:divBdr>
        </w:div>
        <w:div w:id="2012026608">
          <w:marLeft w:val="0"/>
          <w:marRight w:val="0"/>
          <w:marTop w:val="0"/>
          <w:marBottom w:val="101"/>
          <w:divBdr>
            <w:top w:val="none" w:sz="0" w:space="0" w:color="auto"/>
            <w:left w:val="none" w:sz="0" w:space="0" w:color="auto"/>
            <w:bottom w:val="none" w:sz="0" w:space="0" w:color="auto"/>
            <w:right w:val="none" w:sz="0" w:space="0" w:color="auto"/>
          </w:divBdr>
        </w:div>
        <w:div w:id="2014868102">
          <w:marLeft w:val="0"/>
          <w:marRight w:val="0"/>
          <w:marTop w:val="0"/>
          <w:marBottom w:val="101"/>
          <w:divBdr>
            <w:top w:val="none" w:sz="0" w:space="0" w:color="auto"/>
            <w:left w:val="none" w:sz="0" w:space="0" w:color="auto"/>
            <w:bottom w:val="none" w:sz="0" w:space="0" w:color="auto"/>
            <w:right w:val="none" w:sz="0" w:space="0" w:color="auto"/>
          </w:divBdr>
        </w:div>
        <w:div w:id="429350923">
          <w:marLeft w:val="0"/>
          <w:marRight w:val="0"/>
          <w:marTop w:val="0"/>
          <w:marBottom w:val="101"/>
          <w:divBdr>
            <w:top w:val="none" w:sz="0" w:space="0" w:color="auto"/>
            <w:left w:val="none" w:sz="0" w:space="0" w:color="auto"/>
            <w:bottom w:val="none" w:sz="0" w:space="0" w:color="auto"/>
            <w:right w:val="none" w:sz="0" w:space="0" w:color="auto"/>
          </w:divBdr>
        </w:div>
        <w:div w:id="919876559">
          <w:marLeft w:val="0"/>
          <w:marRight w:val="0"/>
          <w:marTop w:val="0"/>
          <w:marBottom w:val="101"/>
          <w:divBdr>
            <w:top w:val="none" w:sz="0" w:space="0" w:color="auto"/>
            <w:left w:val="none" w:sz="0" w:space="0" w:color="auto"/>
            <w:bottom w:val="none" w:sz="0" w:space="0" w:color="auto"/>
            <w:right w:val="none" w:sz="0" w:space="0" w:color="auto"/>
          </w:divBdr>
        </w:div>
        <w:div w:id="446197424">
          <w:marLeft w:val="0"/>
          <w:marRight w:val="0"/>
          <w:marTop w:val="0"/>
          <w:marBottom w:val="101"/>
          <w:divBdr>
            <w:top w:val="none" w:sz="0" w:space="0" w:color="auto"/>
            <w:left w:val="none" w:sz="0" w:space="0" w:color="auto"/>
            <w:bottom w:val="none" w:sz="0" w:space="0" w:color="auto"/>
            <w:right w:val="none" w:sz="0" w:space="0" w:color="auto"/>
          </w:divBdr>
        </w:div>
        <w:div w:id="1911111522">
          <w:marLeft w:val="0"/>
          <w:marRight w:val="0"/>
          <w:marTop w:val="0"/>
          <w:marBottom w:val="101"/>
          <w:divBdr>
            <w:top w:val="none" w:sz="0" w:space="0" w:color="auto"/>
            <w:left w:val="none" w:sz="0" w:space="0" w:color="auto"/>
            <w:bottom w:val="none" w:sz="0" w:space="0" w:color="auto"/>
            <w:right w:val="none" w:sz="0" w:space="0" w:color="auto"/>
          </w:divBdr>
        </w:div>
        <w:div w:id="1018846121">
          <w:marLeft w:val="0"/>
          <w:marRight w:val="0"/>
          <w:marTop w:val="0"/>
          <w:marBottom w:val="101"/>
          <w:divBdr>
            <w:top w:val="none" w:sz="0" w:space="0" w:color="auto"/>
            <w:left w:val="none" w:sz="0" w:space="0" w:color="auto"/>
            <w:bottom w:val="none" w:sz="0" w:space="0" w:color="auto"/>
            <w:right w:val="none" w:sz="0" w:space="0" w:color="auto"/>
          </w:divBdr>
        </w:div>
        <w:div w:id="311296713">
          <w:marLeft w:val="0"/>
          <w:marRight w:val="0"/>
          <w:marTop w:val="0"/>
          <w:marBottom w:val="101"/>
          <w:divBdr>
            <w:top w:val="none" w:sz="0" w:space="0" w:color="auto"/>
            <w:left w:val="none" w:sz="0" w:space="0" w:color="auto"/>
            <w:bottom w:val="none" w:sz="0" w:space="0" w:color="auto"/>
            <w:right w:val="none" w:sz="0" w:space="0" w:color="auto"/>
          </w:divBdr>
        </w:div>
        <w:div w:id="1682000789">
          <w:marLeft w:val="0"/>
          <w:marRight w:val="0"/>
          <w:marTop w:val="0"/>
          <w:marBottom w:val="101"/>
          <w:divBdr>
            <w:top w:val="none" w:sz="0" w:space="0" w:color="auto"/>
            <w:left w:val="none" w:sz="0" w:space="0" w:color="auto"/>
            <w:bottom w:val="none" w:sz="0" w:space="0" w:color="auto"/>
            <w:right w:val="none" w:sz="0" w:space="0" w:color="auto"/>
          </w:divBdr>
        </w:div>
        <w:div w:id="631206259">
          <w:marLeft w:val="0"/>
          <w:marRight w:val="0"/>
          <w:marTop w:val="0"/>
          <w:marBottom w:val="101"/>
          <w:divBdr>
            <w:top w:val="none" w:sz="0" w:space="0" w:color="auto"/>
            <w:left w:val="none" w:sz="0" w:space="0" w:color="auto"/>
            <w:bottom w:val="none" w:sz="0" w:space="0" w:color="auto"/>
            <w:right w:val="none" w:sz="0" w:space="0" w:color="auto"/>
          </w:divBdr>
        </w:div>
        <w:div w:id="74403630">
          <w:marLeft w:val="0"/>
          <w:marRight w:val="0"/>
          <w:marTop w:val="0"/>
          <w:marBottom w:val="101"/>
          <w:divBdr>
            <w:top w:val="none" w:sz="0" w:space="0" w:color="auto"/>
            <w:left w:val="none" w:sz="0" w:space="0" w:color="auto"/>
            <w:bottom w:val="none" w:sz="0" w:space="0" w:color="auto"/>
            <w:right w:val="none" w:sz="0" w:space="0" w:color="auto"/>
          </w:divBdr>
        </w:div>
        <w:div w:id="1182746150">
          <w:marLeft w:val="0"/>
          <w:marRight w:val="0"/>
          <w:marTop w:val="0"/>
          <w:marBottom w:val="101"/>
          <w:divBdr>
            <w:top w:val="none" w:sz="0" w:space="0" w:color="auto"/>
            <w:left w:val="none" w:sz="0" w:space="0" w:color="auto"/>
            <w:bottom w:val="none" w:sz="0" w:space="0" w:color="auto"/>
            <w:right w:val="none" w:sz="0" w:space="0" w:color="auto"/>
          </w:divBdr>
        </w:div>
        <w:div w:id="1068962999">
          <w:marLeft w:val="0"/>
          <w:marRight w:val="0"/>
          <w:marTop w:val="0"/>
          <w:marBottom w:val="101"/>
          <w:divBdr>
            <w:top w:val="none" w:sz="0" w:space="0" w:color="auto"/>
            <w:left w:val="none" w:sz="0" w:space="0" w:color="auto"/>
            <w:bottom w:val="none" w:sz="0" w:space="0" w:color="auto"/>
            <w:right w:val="none" w:sz="0" w:space="0" w:color="auto"/>
          </w:divBdr>
        </w:div>
        <w:div w:id="1236164671">
          <w:marLeft w:val="0"/>
          <w:marRight w:val="0"/>
          <w:marTop w:val="0"/>
          <w:marBottom w:val="101"/>
          <w:divBdr>
            <w:top w:val="none" w:sz="0" w:space="0" w:color="auto"/>
            <w:left w:val="none" w:sz="0" w:space="0" w:color="auto"/>
            <w:bottom w:val="none" w:sz="0" w:space="0" w:color="auto"/>
            <w:right w:val="none" w:sz="0" w:space="0" w:color="auto"/>
          </w:divBdr>
        </w:div>
        <w:div w:id="1705136045">
          <w:marLeft w:val="0"/>
          <w:marRight w:val="0"/>
          <w:marTop w:val="0"/>
          <w:marBottom w:val="101"/>
          <w:divBdr>
            <w:top w:val="none" w:sz="0" w:space="0" w:color="auto"/>
            <w:left w:val="none" w:sz="0" w:space="0" w:color="auto"/>
            <w:bottom w:val="none" w:sz="0" w:space="0" w:color="auto"/>
            <w:right w:val="none" w:sz="0" w:space="0" w:color="auto"/>
          </w:divBdr>
        </w:div>
        <w:div w:id="1316371117">
          <w:marLeft w:val="0"/>
          <w:marRight w:val="0"/>
          <w:marTop w:val="0"/>
          <w:marBottom w:val="101"/>
          <w:divBdr>
            <w:top w:val="none" w:sz="0" w:space="0" w:color="auto"/>
            <w:left w:val="none" w:sz="0" w:space="0" w:color="auto"/>
            <w:bottom w:val="none" w:sz="0" w:space="0" w:color="auto"/>
            <w:right w:val="none" w:sz="0" w:space="0" w:color="auto"/>
          </w:divBdr>
        </w:div>
        <w:div w:id="595019889">
          <w:marLeft w:val="0"/>
          <w:marRight w:val="0"/>
          <w:marTop w:val="0"/>
          <w:marBottom w:val="101"/>
          <w:divBdr>
            <w:top w:val="none" w:sz="0" w:space="0" w:color="auto"/>
            <w:left w:val="none" w:sz="0" w:space="0" w:color="auto"/>
            <w:bottom w:val="none" w:sz="0" w:space="0" w:color="auto"/>
            <w:right w:val="none" w:sz="0" w:space="0" w:color="auto"/>
          </w:divBdr>
        </w:div>
        <w:div w:id="1300918314">
          <w:marLeft w:val="0"/>
          <w:marRight w:val="0"/>
          <w:marTop w:val="0"/>
          <w:marBottom w:val="101"/>
          <w:divBdr>
            <w:top w:val="none" w:sz="0" w:space="0" w:color="auto"/>
            <w:left w:val="none" w:sz="0" w:space="0" w:color="auto"/>
            <w:bottom w:val="none" w:sz="0" w:space="0" w:color="auto"/>
            <w:right w:val="none" w:sz="0" w:space="0" w:color="auto"/>
          </w:divBdr>
        </w:div>
        <w:div w:id="828983485">
          <w:marLeft w:val="0"/>
          <w:marRight w:val="0"/>
          <w:marTop w:val="0"/>
          <w:marBottom w:val="101"/>
          <w:divBdr>
            <w:top w:val="none" w:sz="0" w:space="0" w:color="auto"/>
            <w:left w:val="none" w:sz="0" w:space="0" w:color="auto"/>
            <w:bottom w:val="none" w:sz="0" w:space="0" w:color="auto"/>
            <w:right w:val="none" w:sz="0" w:space="0" w:color="auto"/>
          </w:divBdr>
        </w:div>
        <w:div w:id="292299324">
          <w:marLeft w:val="0"/>
          <w:marRight w:val="0"/>
          <w:marTop w:val="0"/>
          <w:marBottom w:val="101"/>
          <w:divBdr>
            <w:top w:val="none" w:sz="0" w:space="0" w:color="auto"/>
            <w:left w:val="none" w:sz="0" w:space="0" w:color="auto"/>
            <w:bottom w:val="none" w:sz="0" w:space="0" w:color="auto"/>
            <w:right w:val="none" w:sz="0" w:space="0" w:color="auto"/>
          </w:divBdr>
        </w:div>
        <w:div w:id="1571842613">
          <w:marLeft w:val="0"/>
          <w:marRight w:val="0"/>
          <w:marTop w:val="0"/>
          <w:marBottom w:val="101"/>
          <w:divBdr>
            <w:top w:val="none" w:sz="0" w:space="0" w:color="auto"/>
            <w:left w:val="none" w:sz="0" w:space="0" w:color="auto"/>
            <w:bottom w:val="none" w:sz="0" w:space="0" w:color="auto"/>
            <w:right w:val="none" w:sz="0" w:space="0" w:color="auto"/>
          </w:divBdr>
        </w:div>
        <w:div w:id="230316545">
          <w:marLeft w:val="0"/>
          <w:marRight w:val="0"/>
          <w:marTop w:val="0"/>
          <w:marBottom w:val="101"/>
          <w:divBdr>
            <w:top w:val="none" w:sz="0" w:space="0" w:color="auto"/>
            <w:left w:val="none" w:sz="0" w:space="0" w:color="auto"/>
            <w:bottom w:val="none" w:sz="0" w:space="0" w:color="auto"/>
            <w:right w:val="none" w:sz="0" w:space="0" w:color="auto"/>
          </w:divBdr>
        </w:div>
        <w:div w:id="83767368">
          <w:marLeft w:val="0"/>
          <w:marRight w:val="0"/>
          <w:marTop w:val="0"/>
          <w:marBottom w:val="101"/>
          <w:divBdr>
            <w:top w:val="none" w:sz="0" w:space="0" w:color="auto"/>
            <w:left w:val="none" w:sz="0" w:space="0" w:color="auto"/>
            <w:bottom w:val="none" w:sz="0" w:space="0" w:color="auto"/>
            <w:right w:val="none" w:sz="0" w:space="0" w:color="auto"/>
          </w:divBdr>
        </w:div>
        <w:div w:id="1266041516">
          <w:marLeft w:val="0"/>
          <w:marRight w:val="0"/>
          <w:marTop w:val="0"/>
          <w:marBottom w:val="101"/>
          <w:divBdr>
            <w:top w:val="none" w:sz="0" w:space="0" w:color="auto"/>
            <w:left w:val="none" w:sz="0" w:space="0" w:color="auto"/>
            <w:bottom w:val="none" w:sz="0" w:space="0" w:color="auto"/>
            <w:right w:val="none" w:sz="0" w:space="0" w:color="auto"/>
          </w:divBdr>
        </w:div>
        <w:div w:id="1534228993">
          <w:marLeft w:val="0"/>
          <w:marRight w:val="0"/>
          <w:marTop w:val="0"/>
          <w:marBottom w:val="101"/>
          <w:divBdr>
            <w:top w:val="none" w:sz="0" w:space="0" w:color="auto"/>
            <w:left w:val="none" w:sz="0" w:space="0" w:color="auto"/>
            <w:bottom w:val="none" w:sz="0" w:space="0" w:color="auto"/>
            <w:right w:val="none" w:sz="0" w:space="0" w:color="auto"/>
          </w:divBdr>
        </w:div>
        <w:div w:id="359203345">
          <w:marLeft w:val="0"/>
          <w:marRight w:val="0"/>
          <w:marTop w:val="0"/>
          <w:marBottom w:val="101"/>
          <w:divBdr>
            <w:top w:val="none" w:sz="0" w:space="0" w:color="auto"/>
            <w:left w:val="none" w:sz="0" w:space="0" w:color="auto"/>
            <w:bottom w:val="none" w:sz="0" w:space="0" w:color="auto"/>
            <w:right w:val="none" w:sz="0" w:space="0" w:color="auto"/>
          </w:divBdr>
        </w:div>
        <w:div w:id="1187600018">
          <w:marLeft w:val="0"/>
          <w:marRight w:val="0"/>
          <w:marTop w:val="0"/>
          <w:marBottom w:val="101"/>
          <w:divBdr>
            <w:top w:val="none" w:sz="0" w:space="0" w:color="auto"/>
            <w:left w:val="none" w:sz="0" w:space="0" w:color="auto"/>
            <w:bottom w:val="none" w:sz="0" w:space="0" w:color="auto"/>
            <w:right w:val="none" w:sz="0" w:space="0" w:color="auto"/>
          </w:divBdr>
        </w:div>
        <w:div w:id="1237134404">
          <w:marLeft w:val="0"/>
          <w:marRight w:val="0"/>
          <w:marTop w:val="0"/>
          <w:marBottom w:val="101"/>
          <w:divBdr>
            <w:top w:val="none" w:sz="0" w:space="0" w:color="auto"/>
            <w:left w:val="none" w:sz="0" w:space="0" w:color="auto"/>
            <w:bottom w:val="none" w:sz="0" w:space="0" w:color="auto"/>
            <w:right w:val="none" w:sz="0" w:space="0" w:color="auto"/>
          </w:divBdr>
        </w:div>
        <w:div w:id="1001855880">
          <w:marLeft w:val="0"/>
          <w:marRight w:val="0"/>
          <w:marTop w:val="0"/>
          <w:marBottom w:val="101"/>
          <w:divBdr>
            <w:top w:val="none" w:sz="0" w:space="0" w:color="auto"/>
            <w:left w:val="none" w:sz="0" w:space="0" w:color="auto"/>
            <w:bottom w:val="none" w:sz="0" w:space="0" w:color="auto"/>
            <w:right w:val="none" w:sz="0" w:space="0" w:color="auto"/>
          </w:divBdr>
        </w:div>
        <w:div w:id="761295436">
          <w:marLeft w:val="0"/>
          <w:marRight w:val="0"/>
          <w:marTop w:val="0"/>
          <w:marBottom w:val="101"/>
          <w:divBdr>
            <w:top w:val="none" w:sz="0" w:space="0" w:color="auto"/>
            <w:left w:val="none" w:sz="0" w:space="0" w:color="auto"/>
            <w:bottom w:val="none" w:sz="0" w:space="0" w:color="auto"/>
            <w:right w:val="none" w:sz="0" w:space="0" w:color="auto"/>
          </w:divBdr>
        </w:div>
        <w:div w:id="104810407">
          <w:marLeft w:val="0"/>
          <w:marRight w:val="0"/>
          <w:marTop w:val="0"/>
          <w:marBottom w:val="101"/>
          <w:divBdr>
            <w:top w:val="none" w:sz="0" w:space="0" w:color="auto"/>
            <w:left w:val="none" w:sz="0" w:space="0" w:color="auto"/>
            <w:bottom w:val="none" w:sz="0" w:space="0" w:color="auto"/>
            <w:right w:val="none" w:sz="0" w:space="0" w:color="auto"/>
          </w:divBdr>
        </w:div>
        <w:div w:id="35352933">
          <w:marLeft w:val="0"/>
          <w:marRight w:val="0"/>
          <w:marTop w:val="0"/>
          <w:marBottom w:val="101"/>
          <w:divBdr>
            <w:top w:val="none" w:sz="0" w:space="0" w:color="auto"/>
            <w:left w:val="none" w:sz="0" w:space="0" w:color="auto"/>
            <w:bottom w:val="none" w:sz="0" w:space="0" w:color="auto"/>
            <w:right w:val="none" w:sz="0" w:space="0" w:color="auto"/>
          </w:divBdr>
        </w:div>
        <w:div w:id="1523935336">
          <w:marLeft w:val="0"/>
          <w:marRight w:val="0"/>
          <w:marTop w:val="0"/>
          <w:marBottom w:val="101"/>
          <w:divBdr>
            <w:top w:val="none" w:sz="0" w:space="0" w:color="auto"/>
            <w:left w:val="none" w:sz="0" w:space="0" w:color="auto"/>
            <w:bottom w:val="none" w:sz="0" w:space="0" w:color="auto"/>
            <w:right w:val="none" w:sz="0" w:space="0" w:color="auto"/>
          </w:divBdr>
        </w:div>
        <w:div w:id="69499652">
          <w:marLeft w:val="0"/>
          <w:marRight w:val="0"/>
          <w:marTop w:val="0"/>
          <w:marBottom w:val="101"/>
          <w:divBdr>
            <w:top w:val="none" w:sz="0" w:space="0" w:color="auto"/>
            <w:left w:val="none" w:sz="0" w:space="0" w:color="auto"/>
            <w:bottom w:val="none" w:sz="0" w:space="0" w:color="auto"/>
            <w:right w:val="none" w:sz="0" w:space="0" w:color="auto"/>
          </w:divBdr>
        </w:div>
        <w:div w:id="114952957">
          <w:marLeft w:val="0"/>
          <w:marRight w:val="0"/>
          <w:marTop w:val="0"/>
          <w:marBottom w:val="101"/>
          <w:divBdr>
            <w:top w:val="none" w:sz="0" w:space="0" w:color="auto"/>
            <w:left w:val="none" w:sz="0" w:space="0" w:color="auto"/>
            <w:bottom w:val="none" w:sz="0" w:space="0" w:color="auto"/>
            <w:right w:val="none" w:sz="0" w:space="0" w:color="auto"/>
          </w:divBdr>
        </w:div>
        <w:div w:id="1523976731">
          <w:marLeft w:val="0"/>
          <w:marRight w:val="0"/>
          <w:marTop w:val="0"/>
          <w:marBottom w:val="101"/>
          <w:divBdr>
            <w:top w:val="none" w:sz="0" w:space="0" w:color="auto"/>
            <w:left w:val="none" w:sz="0" w:space="0" w:color="auto"/>
            <w:bottom w:val="none" w:sz="0" w:space="0" w:color="auto"/>
            <w:right w:val="none" w:sz="0" w:space="0" w:color="auto"/>
          </w:divBdr>
        </w:div>
        <w:div w:id="1154876809">
          <w:marLeft w:val="0"/>
          <w:marRight w:val="0"/>
          <w:marTop w:val="0"/>
          <w:marBottom w:val="101"/>
          <w:divBdr>
            <w:top w:val="none" w:sz="0" w:space="0" w:color="auto"/>
            <w:left w:val="none" w:sz="0" w:space="0" w:color="auto"/>
            <w:bottom w:val="none" w:sz="0" w:space="0" w:color="auto"/>
            <w:right w:val="none" w:sz="0" w:space="0" w:color="auto"/>
          </w:divBdr>
        </w:div>
        <w:div w:id="1531256345">
          <w:marLeft w:val="0"/>
          <w:marRight w:val="0"/>
          <w:marTop w:val="0"/>
          <w:marBottom w:val="101"/>
          <w:divBdr>
            <w:top w:val="none" w:sz="0" w:space="0" w:color="auto"/>
            <w:left w:val="none" w:sz="0" w:space="0" w:color="auto"/>
            <w:bottom w:val="none" w:sz="0" w:space="0" w:color="auto"/>
            <w:right w:val="none" w:sz="0" w:space="0" w:color="auto"/>
          </w:divBdr>
        </w:div>
        <w:div w:id="795755791">
          <w:marLeft w:val="0"/>
          <w:marRight w:val="0"/>
          <w:marTop w:val="0"/>
          <w:marBottom w:val="101"/>
          <w:divBdr>
            <w:top w:val="none" w:sz="0" w:space="0" w:color="auto"/>
            <w:left w:val="none" w:sz="0" w:space="0" w:color="auto"/>
            <w:bottom w:val="none" w:sz="0" w:space="0" w:color="auto"/>
            <w:right w:val="none" w:sz="0" w:space="0" w:color="auto"/>
          </w:divBdr>
        </w:div>
        <w:div w:id="1724329110">
          <w:marLeft w:val="0"/>
          <w:marRight w:val="0"/>
          <w:marTop w:val="0"/>
          <w:marBottom w:val="101"/>
          <w:divBdr>
            <w:top w:val="none" w:sz="0" w:space="0" w:color="auto"/>
            <w:left w:val="none" w:sz="0" w:space="0" w:color="auto"/>
            <w:bottom w:val="none" w:sz="0" w:space="0" w:color="auto"/>
            <w:right w:val="none" w:sz="0" w:space="0" w:color="auto"/>
          </w:divBdr>
        </w:div>
        <w:div w:id="294798465">
          <w:marLeft w:val="0"/>
          <w:marRight w:val="0"/>
          <w:marTop w:val="0"/>
          <w:marBottom w:val="101"/>
          <w:divBdr>
            <w:top w:val="none" w:sz="0" w:space="0" w:color="auto"/>
            <w:left w:val="none" w:sz="0" w:space="0" w:color="auto"/>
            <w:bottom w:val="none" w:sz="0" w:space="0" w:color="auto"/>
            <w:right w:val="none" w:sz="0" w:space="0" w:color="auto"/>
          </w:divBdr>
        </w:div>
        <w:div w:id="552692301">
          <w:marLeft w:val="0"/>
          <w:marRight w:val="0"/>
          <w:marTop w:val="0"/>
          <w:marBottom w:val="101"/>
          <w:divBdr>
            <w:top w:val="none" w:sz="0" w:space="0" w:color="auto"/>
            <w:left w:val="none" w:sz="0" w:space="0" w:color="auto"/>
            <w:bottom w:val="none" w:sz="0" w:space="0" w:color="auto"/>
            <w:right w:val="none" w:sz="0" w:space="0" w:color="auto"/>
          </w:divBdr>
        </w:div>
        <w:div w:id="1088388675">
          <w:marLeft w:val="0"/>
          <w:marRight w:val="0"/>
          <w:marTop w:val="0"/>
          <w:marBottom w:val="101"/>
          <w:divBdr>
            <w:top w:val="none" w:sz="0" w:space="0" w:color="auto"/>
            <w:left w:val="none" w:sz="0" w:space="0" w:color="auto"/>
            <w:bottom w:val="none" w:sz="0" w:space="0" w:color="auto"/>
            <w:right w:val="none" w:sz="0" w:space="0" w:color="auto"/>
          </w:divBdr>
        </w:div>
        <w:div w:id="1993677871">
          <w:marLeft w:val="0"/>
          <w:marRight w:val="0"/>
          <w:marTop w:val="0"/>
          <w:marBottom w:val="101"/>
          <w:divBdr>
            <w:top w:val="none" w:sz="0" w:space="0" w:color="auto"/>
            <w:left w:val="none" w:sz="0" w:space="0" w:color="auto"/>
            <w:bottom w:val="none" w:sz="0" w:space="0" w:color="auto"/>
            <w:right w:val="none" w:sz="0" w:space="0" w:color="auto"/>
          </w:divBdr>
        </w:div>
        <w:div w:id="1081221495">
          <w:marLeft w:val="0"/>
          <w:marRight w:val="0"/>
          <w:marTop w:val="0"/>
          <w:marBottom w:val="101"/>
          <w:divBdr>
            <w:top w:val="none" w:sz="0" w:space="0" w:color="auto"/>
            <w:left w:val="none" w:sz="0" w:space="0" w:color="auto"/>
            <w:bottom w:val="none" w:sz="0" w:space="0" w:color="auto"/>
            <w:right w:val="none" w:sz="0" w:space="0" w:color="auto"/>
          </w:divBdr>
        </w:div>
        <w:div w:id="1680963390">
          <w:marLeft w:val="0"/>
          <w:marRight w:val="0"/>
          <w:marTop w:val="0"/>
          <w:marBottom w:val="101"/>
          <w:divBdr>
            <w:top w:val="none" w:sz="0" w:space="0" w:color="auto"/>
            <w:left w:val="none" w:sz="0" w:space="0" w:color="auto"/>
            <w:bottom w:val="none" w:sz="0" w:space="0" w:color="auto"/>
            <w:right w:val="none" w:sz="0" w:space="0" w:color="auto"/>
          </w:divBdr>
        </w:div>
        <w:div w:id="595942449">
          <w:marLeft w:val="0"/>
          <w:marRight w:val="0"/>
          <w:marTop w:val="0"/>
          <w:marBottom w:val="101"/>
          <w:divBdr>
            <w:top w:val="none" w:sz="0" w:space="0" w:color="auto"/>
            <w:left w:val="none" w:sz="0" w:space="0" w:color="auto"/>
            <w:bottom w:val="none" w:sz="0" w:space="0" w:color="auto"/>
            <w:right w:val="none" w:sz="0" w:space="0" w:color="auto"/>
          </w:divBdr>
        </w:div>
        <w:div w:id="1566137731">
          <w:marLeft w:val="0"/>
          <w:marRight w:val="0"/>
          <w:marTop w:val="0"/>
          <w:marBottom w:val="101"/>
          <w:divBdr>
            <w:top w:val="none" w:sz="0" w:space="0" w:color="auto"/>
            <w:left w:val="none" w:sz="0" w:space="0" w:color="auto"/>
            <w:bottom w:val="none" w:sz="0" w:space="0" w:color="auto"/>
            <w:right w:val="none" w:sz="0" w:space="0" w:color="auto"/>
          </w:divBdr>
        </w:div>
        <w:div w:id="522940373">
          <w:marLeft w:val="0"/>
          <w:marRight w:val="0"/>
          <w:marTop w:val="0"/>
          <w:marBottom w:val="101"/>
          <w:divBdr>
            <w:top w:val="none" w:sz="0" w:space="0" w:color="auto"/>
            <w:left w:val="none" w:sz="0" w:space="0" w:color="auto"/>
            <w:bottom w:val="none" w:sz="0" w:space="0" w:color="auto"/>
            <w:right w:val="none" w:sz="0" w:space="0" w:color="auto"/>
          </w:divBdr>
        </w:div>
        <w:div w:id="1926066529">
          <w:marLeft w:val="0"/>
          <w:marRight w:val="0"/>
          <w:marTop w:val="0"/>
          <w:marBottom w:val="101"/>
          <w:divBdr>
            <w:top w:val="none" w:sz="0" w:space="0" w:color="auto"/>
            <w:left w:val="none" w:sz="0" w:space="0" w:color="auto"/>
            <w:bottom w:val="none" w:sz="0" w:space="0" w:color="auto"/>
            <w:right w:val="none" w:sz="0" w:space="0" w:color="auto"/>
          </w:divBdr>
        </w:div>
        <w:div w:id="1190997601">
          <w:marLeft w:val="0"/>
          <w:marRight w:val="0"/>
          <w:marTop w:val="0"/>
          <w:marBottom w:val="101"/>
          <w:divBdr>
            <w:top w:val="none" w:sz="0" w:space="0" w:color="auto"/>
            <w:left w:val="none" w:sz="0" w:space="0" w:color="auto"/>
            <w:bottom w:val="none" w:sz="0" w:space="0" w:color="auto"/>
            <w:right w:val="none" w:sz="0" w:space="0" w:color="auto"/>
          </w:divBdr>
        </w:div>
        <w:div w:id="1537886137">
          <w:marLeft w:val="0"/>
          <w:marRight w:val="0"/>
          <w:marTop w:val="0"/>
          <w:marBottom w:val="101"/>
          <w:divBdr>
            <w:top w:val="none" w:sz="0" w:space="0" w:color="auto"/>
            <w:left w:val="none" w:sz="0" w:space="0" w:color="auto"/>
            <w:bottom w:val="none" w:sz="0" w:space="0" w:color="auto"/>
            <w:right w:val="none" w:sz="0" w:space="0" w:color="auto"/>
          </w:divBdr>
        </w:div>
        <w:div w:id="248779980">
          <w:marLeft w:val="0"/>
          <w:marRight w:val="0"/>
          <w:marTop w:val="0"/>
          <w:marBottom w:val="101"/>
          <w:divBdr>
            <w:top w:val="none" w:sz="0" w:space="0" w:color="auto"/>
            <w:left w:val="none" w:sz="0" w:space="0" w:color="auto"/>
            <w:bottom w:val="none" w:sz="0" w:space="0" w:color="auto"/>
            <w:right w:val="none" w:sz="0" w:space="0" w:color="auto"/>
          </w:divBdr>
        </w:div>
        <w:div w:id="392967532">
          <w:marLeft w:val="0"/>
          <w:marRight w:val="0"/>
          <w:marTop w:val="0"/>
          <w:marBottom w:val="80"/>
          <w:divBdr>
            <w:top w:val="none" w:sz="0" w:space="0" w:color="auto"/>
            <w:left w:val="none" w:sz="0" w:space="0" w:color="auto"/>
            <w:bottom w:val="none" w:sz="0" w:space="0" w:color="auto"/>
            <w:right w:val="none" w:sz="0" w:space="0" w:color="auto"/>
          </w:divBdr>
        </w:div>
        <w:div w:id="1987587265">
          <w:marLeft w:val="0"/>
          <w:marRight w:val="0"/>
          <w:marTop w:val="0"/>
          <w:marBottom w:val="80"/>
          <w:divBdr>
            <w:top w:val="none" w:sz="0" w:space="0" w:color="auto"/>
            <w:left w:val="none" w:sz="0" w:space="0" w:color="auto"/>
            <w:bottom w:val="none" w:sz="0" w:space="0" w:color="auto"/>
            <w:right w:val="none" w:sz="0" w:space="0" w:color="auto"/>
          </w:divBdr>
        </w:div>
        <w:div w:id="1906136002">
          <w:marLeft w:val="0"/>
          <w:marRight w:val="0"/>
          <w:marTop w:val="0"/>
          <w:marBottom w:val="60"/>
          <w:divBdr>
            <w:top w:val="none" w:sz="0" w:space="0" w:color="auto"/>
            <w:left w:val="none" w:sz="0" w:space="0" w:color="auto"/>
            <w:bottom w:val="none" w:sz="0" w:space="0" w:color="auto"/>
            <w:right w:val="none" w:sz="0" w:space="0" w:color="auto"/>
          </w:divBdr>
        </w:div>
        <w:div w:id="1488790827">
          <w:marLeft w:val="0"/>
          <w:marRight w:val="0"/>
          <w:marTop w:val="0"/>
          <w:marBottom w:val="60"/>
          <w:divBdr>
            <w:top w:val="none" w:sz="0" w:space="0" w:color="auto"/>
            <w:left w:val="none" w:sz="0" w:space="0" w:color="auto"/>
            <w:bottom w:val="none" w:sz="0" w:space="0" w:color="auto"/>
            <w:right w:val="none" w:sz="0" w:space="0" w:color="auto"/>
          </w:divBdr>
        </w:div>
        <w:div w:id="47800827">
          <w:marLeft w:val="0"/>
          <w:marRight w:val="0"/>
          <w:marTop w:val="0"/>
          <w:marBottom w:val="60"/>
          <w:divBdr>
            <w:top w:val="none" w:sz="0" w:space="0" w:color="auto"/>
            <w:left w:val="none" w:sz="0" w:space="0" w:color="auto"/>
            <w:bottom w:val="none" w:sz="0" w:space="0" w:color="auto"/>
            <w:right w:val="none" w:sz="0" w:space="0" w:color="auto"/>
          </w:divBdr>
        </w:div>
        <w:div w:id="2002007463">
          <w:marLeft w:val="0"/>
          <w:marRight w:val="0"/>
          <w:marTop w:val="0"/>
          <w:marBottom w:val="60"/>
          <w:divBdr>
            <w:top w:val="none" w:sz="0" w:space="0" w:color="auto"/>
            <w:left w:val="none" w:sz="0" w:space="0" w:color="auto"/>
            <w:bottom w:val="none" w:sz="0" w:space="0" w:color="auto"/>
            <w:right w:val="none" w:sz="0" w:space="0" w:color="auto"/>
          </w:divBdr>
        </w:div>
        <w:div w:id="1515267323">
          <w:marLeft w:val="0"/>
          <w:marRight w:val="0"/>
          <w:marTop w:val="0"/>
          <w:marBottom w:val="60"/>
          <w:divBdr>
            <w:top w:val="none" w:sz="0" w:space="0" w:color="auto"/>
            <w:left w:val="none" w:sz="0" w:space="0" w:color="auto"/>
            <w:bottom w:val="none" w:sz="0" w:space="0" w:color="auto"/>
            <w:right w:val="none" w:sz="0" w:space="0" w:color="auto"/>
          </w:divBdr>
        </w:div>
        <w:div w:id="1373113879">
          <w:marLeft w:val="0"/>
          <w:marRight w:val="0"/>
          <w:marTop w:val="0"/>
          <w:marBottom w:val="60"/>
          <w:divBdr>
            <w:top w:val="none" w:sz="0" w:space="0" w:color="auto"/>
            <w:left w:val="none" w:sz="0" w:space="0" w:color="auto"/>
            <w:bottom w:val="none" w:sz="0" w:space="0" w:color="auto"/>
            <w:right w:val="none" w:sz="0" w:space="0" w:color="auto"/>
          </w:divBdr>
        </w:div>
        <w:div w:id="88235740">
          <w:marLeft w:val="0"/>
          <w:marRight w:val="0"/>
          <w:marTop w:val="0"/>
          <w:marBottom w:val="60"/>
          <w:divBdr>
            <w:top w:val="none" w:sz="0" w:space="0" w:color="auto"/>
            <w:left w:val="none" w:sz="0" w:space="0" w:color="auto"/>
            <w:bottom w:val="none" w:sz="0" w:space="0" w:color="auto"/>
            <w:right w:val="none" w:sz="0" w:space="0" w:color="auto"/>
          </w:divBdr>
        </w:div>
        <w:div w:id="1311255360">
          <w:marLeft w:val="0"/>
          <w:marRight w:val="0"/>
          <w:marTop w:val="0"/>
          <w:marBottom w:val="60"/>
          <w:divBdr>
            <w:top w:val="none" w:sz="0" w:space="0" w:color="auto"/>
            <w:left w:val="none" w:sz="0" w:space="0" w:color="auto"/>
            <w:bottom w:val="none" w:sz="0" w:space="0" w:color="auto"/>
            <w:right w:val="none" w:sz="0" w:space="0" w:color="auto"/>
          </w:divBdr>
        </w:div>
        <w:div w:id="1351568268">
          <w:marLeft w:val="0"/>
          <w:marRight w:val="0"/>
          <w:marTop w:val="0"/>
          <w:marBottom w:val="60"/>
          <w:divBdr>
            <w:top w:val="none" w:sz="0" w:space="0" w:color="auto"/>
            <w:left w:val="none" w:sz="0" w:space="0" w:color="auto"/>
            <w:bottom w:val="none" w:sz="0" w:space="0" w:color="auto"/>
            <w:right w:val="none" w:sz="0" w:space="0" w:color="auto"/>
          </w:divBdr>
        </w:div>
        <w:div w:id="1522890705">
          <w:marLeft w:val="0"/>
          <w:marRight w:val="0"/>
          <w:marTop w:val="0"/>
          <w:marBottom w:val="60"/>
          <w:divBdr>
            <w:top w:val="none" w:sz="0" w:space="0" w:color="auto"/>
            <w:left w:val="none" w:sz="0" w:space="0" w:color="auto"/>
            <w:bottom w:val="none" w:sz="0" w:space="0" w:color="auto"/>
            <w:right w:val="none" w:sz="0" w:space="0" w:color="auto"/>
          </w:divBdr>
        </w:div>
        <w:div w:id="1038312518">
          <w:marLeft w:val="0"/>
          <w:marRight w:val="0"/>
          <w:marTop w:val="0"/>
          <w:marBottom w:val="60"/>
          <w:divBdr>
            <w:top w:val="none" w:sz="0" w:space="0" w:color="auto"/>
            <w:left w:val="none" w:sz="0" w:space="0" w:color="auto"/>
            <w:bottom w:val="none" w:sz="0" w:space="0" w:color="auto"/>
            <w:right w:val="none" w:sz="0" w:space="0" w:color="auto"/>
          </w:divBdr>
        </w:div>
        <w:div w:id="78790548">
          <w:marLeft w:val="0"/>
          <w:marRight w:val="0"/>
          <w:marTop w:val="0"/>
          <w:marBottom w:val="60"/>
          <w:divBdr>
            <w:top w:val="none" w:sz="0" w:space="0" w:color="auto"/>
            <w:left w:val="none" w:sz="0" w:space="0" w:color="auto"/>
            <w:bottom w:val="none" w:sz="0" w:space="0" w:color="auto"/>
            <w:right w:val="none" w:sz="0" w:space="0" w:color="auto"/>
          </w:divBdr>
        </w:div>
        <w:div w:id="1401050983">
          <w:marLeft w:val="0"/>
          <w:marRight w:val="0"/>
          <w:marTop w:val="0"/>
          <w:marBottom w:val="60"/>
          <w:divBdr>
            <w:top w:val="none" w:sz="0" w:space="0" w:color="auto"/>
            <w:left w:val="none" w:sz="0" w:space="0" w:color="auto"/>
            <w:bottom w:val="none" w:sz="0" w:space="0" w:color="auto"/>
            <w:right w:val="none" w:sz="0" w:space="0" w:color="auto"/>
          </w:divBdr>
        </w:div>
        <w:div w:id="583074769">
          <w:marLeft w:val="0"/>
          <w:marRight w:val="0"/>
          <w:marTop w:val="0"/>
          <w:marBottom w:val="60"/>
          <w:divBdr>
            <w:top w:val="none" w:sz="0" w:space="0" w:color="auto"/>
            <w:left w:val="none" w:sz="0" w:space="0" w:color="auto"/>
            <w:bottom w:val="none" w:sz="0" w:space="0" w:color="auto"/>
            <w:right w:val="none" w:sz="0" w:space="0" w:color="auto"/>
          </w:divBdr>
        </w:div>
        <w:div w:id="1809056501">
          <w:marLeft w:val="0"/>
          <w:marRight w:val="0"/>
          <w:marTop w:val="0"/>
          <w:marBottom w:val="60"/>
          <w:divBdr>
            <w:top w:val="none" w:sz="0" w:space="0" w:color="auto"/>
            <w:left w:val="none" w:sz="0" w:space="0" w:color="auto"/>
            <w:bottom w:val="none" w:sz="0" w:space="0" w:color="auto"/>
            <w:right w:val="none" w:sz="0" w:space="0" w:color="auto"/>
          </w:divBdr>
        </w:div>
        <w:div w:id="1810052025">
          <w:marLeft w:val="0"/>
          <w:marRight w:val="0"/>
          <w:marTop w:val="0"/>
          <w:marBottom w:val="60"/>
          <w:divBdr>
            <w:top w:val="none" w:sz="0" w:space="0" w:color="auto"/>
            <w:left w:val="none" w:sz="0" w:space="0" w:color="auto"/>
            <w:bottom w:val="none" w:sz="0" w:space="0" w:color="auto"/>
            <w:right w:val="none" w:sz="0" w:space="0" w:color="auto"/>
          </w:divBdr>
        </w:div>
        <w:div w:id="1396197684">
          <w:marLeft w:val="0"/>
          <w:marRight w:val="0"/>
          <w:marTop w:val="0"/>
          <w:marBottom w:val="60"/>
          <w:divBdr>
            <w:top w:val="none" w:sz="0" w:space="0" w:color="auto"/>
            <w:left w:val="none" w:sz="0" w:space="0" w:color="auto"/>
            <w:bottom w:val="none" w:sz="0" w:space="0" w:color="auto"/>
            <w:right w:val="none" w:sz="0" w:space="0" w:color="auto"/>
          </w:divBdr>
        </w:div>
        <w:div w:id="2048409048">
          <w:marLeft w:val="0"/>
          <w:marRight w:val="0"/>
          <w:marTop w:val="0"/>
          <w:marBottom w:val="60"/>
          <w:divBdr>
            <w:top w:val="none" w:sz="0" w:space="0" w:color="auto"/>
            <w:left w:val="none" w:sz="0" w:space="0" w:color="auto"/>
            <w:bottom w:val="none" w:sz="0" w:space="0" w:color="auto"/>
            <w:right w:val="none" w:sz="0" w:space="0" w:color="auto"/>
          </w:divBdr>
        </w:div>
        <w:div w:id="549653762">
          <w:marLeft w:val="0"/>
          <w:marRight w:val="0"/>
          <w:marTop w:val="0"/>
          <w:marBottom w:val="60"/>
          <w:divBdr>
            <w:top w:val="none" w:sz="0" w:space="0" w:color="auto"/>
            <w:left w:val="none" w:sz="0" w:space="0" w:color="auto"/>
            <w:bottom w:val="none" w:sz="0" w:space="0" w:color="auto"/>
            <w:right w:val="none" w:sz="0" w:space="0" w:color="auto"/>
          </w:divBdr>
        </w:div>
        <w:div w:id="344409546">
          <w:marLeft w:val="0"/>
          <w:marRight w:val="0"/>
          <w:marTop w:val="0"/>
          <w:marBottom w:val="60"/>
          <w:divBdr>
            <w:top w:val="none" w:sz="0" w:space="0" w:color="auto"/>
            <w:left w:val="none" w:sz="0" w:space="0" w:color="auto"/>
            <w:bottom w:val="none" w:sz="0" w:space="0" w:color="auto"/>
            <w:right w:val="none" w:sz="0" w:space="0" w:color="auto"/>
          </w:divBdr>
        </w:div>
        <w:div w:id="1657415437">
          <w:marLeft w:val="0"/>
          <w:marRight w:val="0"/>
          <w:marTop w:val="0"/>
          <w:marBottom w:val="60"/>
          <w:divBdr>
            <w:top w:val="none" w:sz="0" w:space="0" w:color="auto"/>
            <w:left w:val="none" w:sz="0" w:space="0" w:color="auto"/>
            <w:bottom w:val="none" w:sz="0" w:space="0" w:color="auto"/>
            <w:right w:val="none" w:sz="0" w:space="0" w:color="auto"/>
          </w:divBdr>
        </w:div>
        <w:div w:id="541869519">
          <w:marLeft w:val="0"/>
          <w:marRight w:val="0"/>
          <w:marTop w:val="0"/>
          <w:marBottom w:val="60"/>
          <w:divBdr>
            <w:top w:val="none" w:sz="0" w:space="0" w:color="auto"/>
            <w:left w:val="none" w:sz="0" w:space="0" w:color="auto"/>
            <w:bottom w:val="none" w:sz="0" w:space="0" w:color="auto"/>
            <w:right w:val="none" w:sz="0" w:space="0" w:color="auto"/>
          </w:divBdr>
        </w:div>
        <w:div w:id="625621500">
          <w:marLeft w:val="0"/>
          <w:marRight w:val="0"/>
          <w:marTop w:val="0"/>
          <w:marBottom w:val="60"/>
          <w:divBdr>
            <w:top w:val="none" w:sz="0" w:space="0" w:color="auto"/>
            <w:left w:val="none" w:sz="0" w:space="0" w:color="auto"/>
            <w:bottom w:val="none" w:sz="0" w:space="0" w:color="auto"/>
            <w:right w:val="none" w:sz="0" w:space="0" w:color="auto"/>
          </w:divBdr>
        </w:div>
        <w:div w:id="376049467">
          <w:marLeft w:val="0"/>
          <w:marRight w:val="0"/>
          <w:marTop w:val="0"/>
          <w:marBottom w:val="60"/>
          <w:divBdr>
            <w:top w:val="none" w:sz="0" w:space="0" w:color="auto"/>
            <w:left w:val="none" w:sz="0" w:space="0" w:color="auto"/>
            <w:bottom w:val="none" w:sz="0" w:space="0" w:color="auto"/>
            <w:right w:val="none" w:sz="0" w:space="0" w:color="auto"/>
          </w:divBdr>
        </w:div>
        <w:div w:id="1403483620">
          <w:marLeft w:val="0"/>
          <w:marRight w:val="0"/>
          <w:marTop w:val="0"/>
          <w:marBottom w:val="60"/>
          <w:divBdr>
            <w:top w:val="none" w:sz="0" w:space="0" w:color="auto"/>
            <w:left w:val="none" w:sz="0" w:space="0" w:color="auto"/>
            <w:bottom w:val="none" w:sz="0" w:space="0" w:color="auto"/>
            <w:right w:val="none" w:sz="0" w:space="0" w:color="auto"/>
          </w:divBdr>
        </w:div>
        <w:div w:id="572666826">
          <w:marLeft w:val="0"/>
          <w:marRight w:val="0"/>
          <w:marTop w:val="0"/>
          <w:marBottom w:val="60"/>
          <w:divBdr>
            <w:top w:val="none" w:sz="0" w:space="0" w:color="auto"/>
            <w:left w:val="none" w:sz="0" w:space="0" w:color="auto"/>
            <w:bottom w:val="none" w:sz="0" w:space="0" w:color="auto"/>
            <w:right w:val="none" w:sz="0" w:space="0" w:color="auto"/>
          </w:divBdr>
        </w:div>
        <w:div w:id="1549754498">
          <w:marLeft w:val="0"/>
          <w:marRight w:val="0"/>
          <w:marTop w:val="0"/>
          <w:marBottom w:val="60"/>
          <w:divBdr>
            <w:top w:val="none" w:sz="0" w:space="0" w:color="auto"/>
            <w:left w:val="none" w:sz="0" w:space="0" w:color="auto"/>
            <w:bottom w:val="none" w:sz="0" w:space="0" w:color="auto"/>
            <w:right w:val="none" w:sz="0" w:space="0" w:color="auto"/>
          </w:divBdr>
        </w:div>
        <w:div w:id="1954902796">
          <w:marLeft w:val="0"/>
          <w:marRight w:val="0"/>
          <w:marTop w:val="0"/>
          <w:marBottom w:val="60"/>
          <w:divBdr>
            <w:top w:val="none" w:sz="0" w:space="0" w:color="auto"/>
            <w:left w:val="none" w:sz="0" w:space="0" w:color="auto"/>
            <w:bottom w:val="none" w:sz="0" w:space="0" w:color="auto"/>
            <w:right w:val="none" w:sz="0" w:space="0" w:color="auto"/>
          </w:divBdr>
        </w:div>
        <w:div w:id="1133058750">
          <w:marLeft w:val="0"/>
          <w:marRight w:val="0"/>
          <w:marTop w:val="0"/>
          <w:marBottom w:val="60"/>
          <w:divBdr>
            <w:top w:val="none" w:sz="0" w:space="0" w:color="auto"/>
            <w:left w:val="none" w:sz="0" w:space="0" w:color="auto"/>
            <w:bottom w:val="none" w:sz="0" w:space="0" w:color="auto"/>
            <w:right w:val="none" w:sz="0" w:space="0" w:color="auto"/>
          </w:divBdr>
        </w:div>
        <w:div w:id="69276845">
          <w:marLeft w:val="0"/>
          <w:marRight w:val="0"/>
          <w:marTop w:val="0"/>
          <w:marBottom w:val="60"/>
          <w:divBdr>
            <w:top w:val="none" w:sz="0" w:space="0" w:color="auto"/>
            <w:left w:val="none" w:sz="0" w:space="0" w:color="auto"/>
            <w:bottom w:val="none" w:sz="0" w:space="0" w:color="auto"/>
            <w:right w:val="none" w:sz="0" w:space="0" w:color="auto"/>
          </w:divBdr>
        </w:div>
        <w:div w:id="887230408">
          <w:marLeft w:val="0"/>
          <w:marRight w:val="0"/>
          <w:marTop w:val="0"/>
          <w:marBottom w:val="60"/>
          <w:divBdr>
            <w:top w:val="none" w:sz="0" w:space="0" w:color="auto"/>
            <w:left w:val="none" w:sz="0" w:space="0" w:color="auto"/>
            <w:bottom w:val="none" w:sz="0" w:space="0" w:color="auto"/>
            <w:right w:val="none" w:sz="0" w:space="0" w:color="auto"/>
          </w:divBdr>
        </w:div>
        <w:div w:id="2114783384">
          <w:marLeft w:val="0"/>
          <w:marRight w:val="0"/>
          <w:marTop w:val="0"/>
          <w:marBottom w:val="60"/>
          <w:divBdr>
            <w:top w:val="none" w:sz="0" w:space="0" w:color="auto"/>
            <w:left w:val="none" w:sz="0" w:space="0" w:color="auto"/>
            <w:bottom w:val="none" w:sz="0" w:space="0" w:color="auto"/>
            <w:right w:val="none" w:sz="0" w:space="0" w:color="auto"/>
          </w:divBdr>
        </w:div>
        <w:div w:id="1940479825">
          <w:marLeft w:val="0"/>
          <w:marRight w:val="0"/>
          <w:marTop w:val="0"/>
          <w:marBottom w:val="60"/>
          <w:divBdr>
            <w:top w:val="none" w:sz="0" w:space="0" w:color="auto"/>
            <w:left w:val="none" w:sz="0" w:space="0" w:color="auto"/>
            <w:bottom w:val="none" w:sz="0" w:space="0" w:color="auto"/>
            <w:right w:val="none" w:sz="0" w:space="0" w:color="auto"/>
          </w:divBdr>
        </w:div>
        <w:div w:id="1369643369">
          <w:marLeft w:val="0"/>
          <w:marRight w:val="0"/>
          <w:marTop w:val="0"/>
          <w:marBottom w:val="60"/>
          <w:divBdr>
            <w:top w:val="none" w:sz="0" w:space="0" w:color="auto"/>
            <w:left w:val="none" w:sz="0" w:space="0" w:color="auto"/>
            <w:bottom w:val="none" w:sz="0" w:space="0" w:color="auto"/>
            <w:right w:val="none" w:sz="0" w:space="0" w:color="auto"/>
          </w:divBdr>
        </w:div>
        <w:div w:id="1843542415">
          <w:marLeft w:val="0"/>
          <w:marRight w:val="0"/>
          <w:marTop w:val="0"/>
          <w:marBottom w:val="60"/>
          <w:divBdr>
            <w:top w:val="none" w:sz="0" w:space="0" w:color="auto"/>
            <w:left w:val="none" w:sz="0" w:space="0" w:color="auto"/>
            <w:bottom w:val="none" w:sz="0" w:space="0" w:color="auto"/>
            <w:right w:val="none" w:sz="0" w:space="0" w:color="auto"/>
          </w:divBdr>
        </w:div>
        <w:div w:id="692651721">
          <w:marLeft w:val="0"/>
          <w:marRight w:val="0"/>
          <w:marTop w:val="0"/>
          <w:marBottom w:val="60"/>
          <w:divBdr>
            <w:top w:val="none" w:sz="0" w:space="0" w:color="auto"/>
            <w:left w:val="none" w:sz="0" w:space="0" w:color="auto"/>
            <w:bottom w:val="none" w:sz="0" w:space="0" w:color="auto"/>
            <w:right w:val="none" w:sz="0" w:space="0" w:color="auto"/>
          </w:divBdr>
        </w:div>
        <w:div w:id="1467045139">
          <w:marLeft w:val="0"/>
          <w:marRight w:val="0"/>
          <w:marTop w:val="0"/>
          <w:marBottom w:val="60"/>
          <w:divBdr>
            <w:top w:val="none" w:sz="0" w:space="0" w:color="auto"/>
            <w:left w:val="none" w:sz="0" w:space="0" w:color="auto"/>
            <w:bottom w:val="none" w:sz="0" w:space="0" w:color="auto"/>
            <w:right w:val="none" w:sz="0" w:space="0" w:color="auto"/>
          </w:divBdr>
        </w:div>
        <w:div w:id="1275021315">
          <w:marLeft w:val="0"/>
          <w:marRight w:val="0"/>
          <w:marTop w:val="0"/>
          <w:marBottom w:val="60"/>
          <w:divBdr>
            <w:top w:val="none" w:sz="0" w:space="0" w:color="auto"/>
            <w:left w:val="none" w:sz="0" w:space="0" w:color="auto"/>
            <w:bottom w:val="none" w:sz="0" w:space="0" w:color="auto"/>
            <w:right w:val="none" w:sz="0" w:space="0" w:color="auto"/>
          </w:divBdr>
        </w:div>
        <w:div w:id="1121339680">
          <w:marLeft w:val="0"/>
          <w:marRight w:val="0"/>
          <w:marTop w:val="0"/>
          <w:marBottom w:val="60"/>
          <w:divBdr>
            <w:top w:val="none" w:sz="0" w:space="0" w:color="auto"/>
            <w:left w:val="none" w:sz="0" w:space="0" w:color="auto"/>
            <w:bottom w:val="none" w:sz="0" w:space="0" w:color="auto"/>
            <w:right w:val="none" w:sz="0" w:space="0" w:color="auto"/>
          </w:divBdr>
        </w:div>
        <w:div w:id="1699308294">
          <w:marLeft w:val="0"/>
          <w:marRight w:val="0"/>
          <w:marTop w:val="0"/>
          <w:marBottom w:val="60"/>
          <w:divBdr>
            <w:top w:val="none" w:sz="0" w:space="0" w:color="auto"/>
            <w:left w:val="none" w:sz="0" w:space="0" w:color="auto"/>
            <w:bottom w:val="none" w:sz="0" w:space="0" w:color="auto"/>
            <w:right w:val="none" w:sz="0" w:space="0" w:color="auto"/>
          </w:divBdr>
        </w:div>
        <w:div w:id="262956839">
          <w:marLeft w:val="0"/>
          <w:marRight w:val="0"/>
          <w:marTop w:val="0"/>
          <w:marBottom w:val="60"/>
          <w:divBdr>
            <w:top w:val="none" w:sz="0" w:space="0" w:color="auto"/>
            <w:left w:val="none" w:sz="0" w:space="0" w:color="auto"/>
            <w:bottom w:val="none" w:sz="0" w:space="0" w:color="auto"/>
            <w:right w:val="none" w:sz="0" w:space="0" w:color="auto"/>
          </w:divBdr>
        </w:div>
        <w:div w:id="1469590273">
          <w:marLeft w:val="0"/>
          <w:marRight w:val="0"/>
          <w:marTop w:val="0"/>
          <w:marBottom w:val="60"/>
          <w:divBdr>
            <w:top w:val="none" w:sz="0" w:space="0" w:color="auto"/>
            <w:left w:val="none" w:sz="0" w:space="0" w:color="auto"/>
            <w:bottom w:val="none" w:sz="0" w:space="0" w:color="auto"/>
            <w:right w:val="none" w:sz="0" w:space="0" w:color="auto"/>
          </w:divBdr>
        </w:div>
        <w:div w:id="1194923002">
          <w:marLeft w:val="0"/>
          <w:marRight w:val="0"/>
          <w:marTop w:val="0"/>
          <w:marBottom w:val="60"/>
          <w:divBdr>
            <w:top w:val="none" w:sz="0" w:space="0" w:color="auto"/>
            <w:left w:val="none" w:sz="0" w:space="0" w:color="auto"/>
            <w:bottom w:val="none" w:sz="0" w:space="0" w:color="auto"/>
            <w:right w:val="none" w:sz="0" w:space="0" w:color="auto"/>
          </w:divBdr>
        </w:div>
        <w:div w:id="1527254313">
          <w:marLeft w:val="0"/>
          <w:marRight w:val="0"/>
          <w:marTop w:val="0"/>
          <w:marBottom w:val="60"/>
          <w:divBdr>
            <w:top w:val="none" w:sz="0" w:space="0" w:color="auto"/>
            <w:left w:val="none" w:sz="0" w:space="0" w:color="auto"/>
            <w:bottom w:val="none" w:sz="0" w:space="0" w:color="auto"/>
            <w:right w:val="none" w:sz="0" w:space="0" w:color="auto"/>
          </w:divBdr>
        </w:div>
        <w:div w:id="1650095136">
          <w:marLeft w:val="0"/>
          <w:marRight w:val="0"/>
          <w:marTop w:val="0"/>
          <w:marBottom w:val="60"/>
          <w:divBdr>
            <w:top w:val="none" w:sz="0" w:space="0" w:color="auto"/>
            <w:left w:val="none" w:sz="0" w:space="0" w:color="auto"/>
            <w:bottom w:val="none" w:sz="0" w:space="0" w:color="auto"/>
            <w:right w:val="none" w:sz="0" w:space="0" w:color="auto"/>
          </w:divBdr>
        </w:div>
        <w:div w:id="192621017">
          <w:marLeft w:val="0"/>
          <w:marRight w:val="0"/>
          <w:marTop w:val="0"/>
          <w:marBottom w:val="60"/>
          <w:divBdr>
            <w:top w:val="none" w:sz="0" w:space="0" w:color="auto"/>
            <w:left w:val="none" w:sz="0" w:space="0" w:color="auto"/>
            <w:bottom w:val="none" w:sz="0" w:space="0" w:color="auto"/>
            <w:right w:val="none" w:sz="0" w:space="0" w:color="auto"/>
          </w:divBdr>
        </w:div>
        <w:div w:id="2112431346">
          <w:marLeft w:val="0"/>
          <w:marRight w:val="0"/>
          <w:marTop w:val="0"/>
          <w:marBottom w:val="60"/>
          <w:divBdr>
            <w:top w:val="none" w:sz="0" w:space="0" w:color="auto"/>
            <w:left w:val="none" w:sz="0" w:space="0" w:color="auto"/>
            <w:bottom w:val="none" w:sz="0" w:space="0" w:color="auto"/>
            <w:right w:val="none" w:sz="0" w:space="0" w:color="auto"/>
          </w:divBdr>
        </w:div>
        <w:div w:id="1574006086">
          <w:marLeft w:val="0"/>
          <w:marRight w:val="0"/>
          <w:marTop w:val="101"/>
          <w:marBottom w:val="101"/>
          <w:divBdr>
            <w:top w:val="none" w:sz="0" w:space="0" w:color="auto"/>
            <w:left w:val="none" w:sz="0" w:space="0" w:color="auto"/>
            <w:bottom w:val="none" w:sz="0" w:space="0" w:color="auto"/>
            <w:right w:val="none" w:sz="0" w:space="0" w:color="auto"/>
          </w:divBdr>
        </w:div>
        <w:div w:id="1257205891">
          <w:marLeft w:val="0"/>
          <w:marRight w:val="0"/>
          <w:marTop w:val="0"/>
          <w:marBottom w:val="60"/>
          <w:divBdr>
            <w:top w:val="none" w:sz="0" w:space="0" w:color="auto"/>
            <w:left w:val="none" w:sz="0" w:space="0" w:color="auto"/>
            <w:bottom w:val="none" w:sz="0" w:space="0" w:color="auto"/>
            <w:right w:val="none" w:sz="0" w:space="0" w:color="auto"/>
          </w:divBdr>
        </w:div>
        <w:div w:id="1963800667">
          <w:marLeft w:val="0"/>
          <w:marRight w:val="0"/>
          <w:marTop w:val="0"/>
          <w:marBottom w:val="101"/>
          <w:divBdr>
            <w:top w:val="none" w:sz="0" w:space="0" w:color="auto"/>
            <w:left w:val="none" w:sz="0" w:space="0" w:color="auto"/>
            <w:bottom w:val="none" w:sz="0" w:space="0" w:color="auto"/>
            <w:right w:val="none" w:sz="0" w:space="0" w:color="auto"/>
          </w:divBdr>
        </w:div>
        <w:div w:id="80832393">
          <w:marLeft w:val="0"/>
          <w:marRight w:val="0"/>
          <w:marTop w:val="0"/>
          <w:marBottom w:val="60"/>
          <w:divBdr>
            <w:top w:val="none" w:sz="0" w:space="0" w:color="auto"/>
            <w:left w:val="none" w:sz="0" w:space="0" w:color="auto"/>
            <w:bottom w:val="none" w:sz="0" w:space="0" w:color="auto"/>
            <w:right w:val="none" w:sz="0" w:space="0" w:color="auto"/>
          </w:divBdr>
        </w:div>
        <w:div w:id="746070651">
          <w:marLeft w:val="0"/>
          <w:marRight w:val="0"/>
          <w:marTop w:val="0"/>
          <w:marBottom w:val="60"/>
          <w:divBdr>
            <w:top w:val="none" w:sz="0" w:space="0" w:color="auto"/>
            <w:left w:val="none" w:sz="0" w:space="0" w:color="auto"/>
            <w:bottom w:val="none" w:sz="0" w:space="0" w:color="auto"/>
            <w:right w:val="none" w:sz="0" w:space="0" w:color="auto"/>
          </w:divBdr>
        </w:div>
        <w:div w:id="1667514610">
          <w:marLeft w:val="0"/>
          <w:marRight w:val="0"/>
          <w:marTop w:val="0"/>
          <w:marBottom w:val="60"/>
          <w:divBdr>
            <w:top w:val="none" w:sz="0" w:space="0" w:color="auto"/>
            <w:left w:val="none" w:sz="0" w:space="0" w:color="auto"/>
            <w:bottom w:val="none" w:sz="0" w:space="0" w:color="auto"/>
            <w:right w:val="none" w:sz="0" w:space="0" w:color="auto"/>
          </w:divBdr>
        </w:div>
        <w:div w:id="664553197">
          <w:marLeft w:val="0"/>
          <w:marRight w:val="0"/>
          <w:marTop w:val="0"/>
          <w:marBottom w:val="60"/>
          <w:divBdr>
            <w:top w:val="none" w:sz="0" w:space="0" w:color="auto"/>
            <w:left w:val="none" w:sz="0" w:space="0" w:color="auto"/>
            <w:bottom w:val="none" w:sz="0" w:space="0" w:color="auto"/>
            <w:right w:val="none" w:sz="0" w:space="0" w:color="auto"/>
          </w:divBdr>
        </w:div>
        <w:div w:id="404912715">
          <w:marLeft w:val="0"/>
          <w:marRight w:val="0"/>
          <w:marTop w:val="0"/>
          <w:marBottom w:val="60"/>
          <w:divBdr>
            <w:top w:val="none" w:sz="0" w:space="0" w:color="auto"/>
            <w:left w:val="none" w:sz="0" w:space="0" w:color="auto"/>
            <w:bottom w:val="none" w:sz="0" w:space="0" w:color="auto"/>
            <w:right w:val="none" w:sz="0" w:space="0" w:color="auto"/>
          </w:divBdr>
        </w:div>
        <w:div w:id="1317143514">
          <w:marLeft w:val="0"/>
          <w:marRight w:val="0"/>
          <w:marTop w:val="0"/>
          <w:marBottom w:val="60"/>
          <w:divBdr>
            <w:top w:val="none" w:sz="0" w:space="0" w:color="auto"/>
            <w:left w:val="none" w:sz="0" w:space="0" w:color="auto"/>
            <w:bottom w:val="none" w:sz="0" w:space="0" w:color="auto"/>
            <w:right w:val="none" w:sz="0" w:space="0" w:color="auto"/>
          </w:divBdr>
        </w:div>
        <w:div w:id="1452360931">
          <w:marLeft w:val="0"/>
          <w:marRight w:val="0"/>
          <w:marTop w:val="0"/>
          <w:marBottom w:val="60"/>
          <w:divBdr>
            <w:top w:val="none" w:sz="0" w:space="0" w:color="auto"/>
            <w:left w:val="none" w:sz="0" w:space="0" w:color="auto"/>
            <w:bottom w:val="none" w:sz="0" w:space="0" w:color="auto"/>
            <w:right w:val="none" w:sz="0" w:space="0" w:color="auto"/>
          </w:divBdr>
        </w:div>
        <w:div w:id="1547909726">
          <w:marLeft w:val="0"/>
          <w:marRight w:val="0"/>
          <w:marTop w:val="0"/>
          <w:marBottom w:val="60"/>
          <w:divBdr>
            <w:top w:val="none" w:sz="0" w:space="0" w:color="auto"/>
            <w:left w:val="none" w:sz="0" w:space="0" w:color="auto"/>
            <w:bottom w:val="none" w:sz="0" w:space="0" w:color="auto"/>
            <w:right w:val="none" w:sz="0" w:space="0" w:color="auto"/>
          </w:divBdr>
        </w:div>
        <w:div w:id="1378822548">
          <w:marLeft w:val="0"/>
          <w:marRight w:val="0"/>
          <w:marTop w:val="0"/>
          <w:marBottom w:val="60"/>
          <w:divBdr>
            <w:top w:val="none" w:sz="0" w:space="0" w:color="auto"/>
            <w:left w:val="none" w:sz="0" w:space="0" w:color="auto"/>
            <w:bottom w:val="none" w:sz="0" w:space="0" w:color="auto"/>
            <w:right w:val="none" w:sz="0" w:space="0" w:color="auto"/>
          </w:divBdr>
        </w:div>
        <w:div w:id="758985486">
          <w:marLeft w:val="0"/>
          <w:marRight w:val="0"/>
          <w:marTop w:val="0"/>
          <w:marBottom w:val="60"/>
          <w:divBdr>
            <w:top w:val="none" w:sz="0" w:space="0" w:color="auto"/>
            <w:left w:val="none" w:sz="0" w:space="0" w:color="auto"/>
            <w:bottom w:val="none" w:sz="0" w:space="0" w:color="auto"/>
            <w:right w:val="none" w:sz="0" w:space="0" w:color="auto"/>
          </w:divBdr>
        </w:div>
        <w:div w:id="298654146">
          <w:marLeft w:val="0"/>
          <w:marRight w:val="0"/>
          <w:marTop w:val="0"/>
          <w:marBottom w:val="60"/>
          <w:divBdr>
            <w:top w:val="none" w:sz="0" w:space="0" w:color="auto"/>
            <w:left w:val="none" w:sz="0" w:space="0" w:color="auto"/>
            <w:bottom w:val="none" w:sz="0" w:space="0" w:color="auto"/>
            <w:right w:val="none" w:sz="0" w:space="0" w:color="auto"/>
          </w:divBdr>
        </w:div>
        <w:div w:id="778379854">
          <w:marLeft w:val="0"/>
          <w:marRight w:val="0"/>
          <w:marTop w:val="0"/>
          <w:marBottom w:val="60"/>
          <w:divBdr>
            <w:top w:val="none" w:sz="0" w:space="0" w:color="auto"/>
            <w:left w:val="none" w:sz="0" w:space="0" w:color="auto"/>
            <w:bottom w:val="none" w:sz="0" w:space="0" w:color="auto"/>
            <w:right w:val="none" w:sz="0" w:space="0" w:color="auto"/>
          </w:divBdr>
        </w:div>
        <w:div w:id="658002518">
          <w:marLeft w:val="0"/>
          <w:marRight w:val="0"/>
          <w:marTop w:val="0"/>
          <w:marBottom w:val="101"/>
          <w:divBdr>
            <w:top w:val="none" w:sz="0" w:space="0" w:color="auto"/>
            <w:left w:val="none" w:sz="0" w:space="0" w:color="auto"/>
            <w:bottom w:val="none" w:sz="0" w:space="0" w:color="auto"/>
            <w:right w:val="none" w:sz="0" w:space="0" w:color="auto"/>
          </w:divBdr>
        </w:div>
        <w:div w:id="1099639017">
          <w:marLeft w:val="0"/>
          <w:marRight w:val="0"/>
          <w:marTop w:val="0"/>
          <w:marBottom w:val="60"/>
          <w:divBdr>
            <w:top w:val="none" w:sz="0" w:space="0" w:color="auto"/>
            <w:left w:val="none" w:sz="0" w:space="0" w:color="auto"/>
            <w:bottom w:val="none" w:sz="0" w:space="0" w:color="auto"/>
            <w:right w:val="none" w:sz="0" w:space="0" w:color="auto"/>
          </w:divBdr>
        </w:div>
        <w:div w:id="298387391">
          <w:marLeft w:val="0"/>
          <w:marRight w:val="0"/>
          <w:marTop w:val="0"/>
          <w:marBottom w:val="60"/>
          <w:divBdr>
            <w:top w:val="none" w:sz="0" w:space="0" w:color="auto"/>
            <w:left w:val="none" w:sz="0" w:space="0" w:color="auto"/>
            <w:bottom w:val="none" w:sz="0" w:space="0" w:color="auto"/>
            <w:right w:val="none" w:sz="0" w:space="0" w:color="auto"/>
          </w:divBdr>
        </w:div>
        <w:div w:id="1181434265">
          <w:marLeft w:val="0"/>
          <w:marRight w:val="0"/>
          <w:marTop w:val="0"/>
          <w:marBottom w:val="60"/>
          <w:divBdr>
            <w:top w:val="none" w:sz="0" w:space="0" w:color="auto"/>
            <w:left w:val="none" w:sz="0" w:space="0" w:color="auto"/>
            <w:bottom w:val="none" w:sz="0" w:space="0" w:color="auto"/>
            <w:right w:val="none" w:sz="0" w:space="0" w:color="auto"/>
          </w:divBdr>
        </w:div>
        <w:div w:id="626862824">
          <w:marLeft w:val="0"/>
          <w:marRight w:val="0"/>
          <w:marTop w:val="0"/>
          <w:marBottom w:val="60"/>
          <w:divBdr>
            <w:top w:val="none" w:sz="0" w:space="0" w:color="auto"/>
            <w:left w:val="none" w:sz="0" w:space="0" w:color="auto"/>
            <w:bottom w:val="none" w:sz="0" w:space="0" w:color="auto"/>
            <w:right w:val="none" w:sz="0" w:space="0" w:color="auto"/>
          </w:divBdr>
        </w:div>
        <w:div w:id="616369868">
          <w:marLeft w:val="0"/>
          <w:marRight w:val="0"/>
          <w:marTop w:val="0"/>
          <w:marBottom w:val="60"/>
          <w:divBdr>
            <w:top w:val="none" w:sz="0" w:space="0" w:color="auto"/>
            <w:left w:val="none" w:sz="0" w:space="0" w:color="auto"/>
            <w:bottom w:val="none" w:sz="0" w:space="0" w:color="auto"/>
            <w:right w:val="none" w:sz="0" w:space="0" w:color="auto"/>
          </w:divBdr>
        </w:div>
        <w:div w:id="197940272">
          <w:marLeft w:val="0"/>
          <w:marRight w:val="0"/>
          <w:marTop w:val="101"/>
          <w:marBottom w:val="40"/>
          <w:divBdr>
            <w:top w:val="none" w:sz="0" w:space="0" w:color="auto"/>
            <w:left w:val="none" w:sz="0" w:space="0" w:color="auto"/>
            <w:bottom w:val="none" w:sz="0" w:space="0" w:color="auto"/>
            <w:right w:val="none" w:sz="0" w:space="0" w:color="auto"/>
          </w:divBdr>
        </w:div>
        <w:div w:id="1415472807">
          <w:marLeft w:val="0"/>
          <w:marRight w:val="0"/>
          <w:marTop w:val="0"/>
          <w:marBottom w:val="40"/>
          <w:divBdr>
            <w:top w:val="none" w:sz="0" w:space="0" w:color="auto"/>
            <w:left w:val="none" w:sz="0" w:space="0" w:color="auto"/>
            <w:bottom w:val="none" w:sz="0" w:space="0" w:color="auto"/>
            <w:right w:val="none" w:sz="0" w:space="0" w:color="auto"/>
          </w:divBdr>
        </w:div>
        <w:div w:id="1266811107">
          <w:marLeft w:val="0"/>
          <w:marRight w:val="0"/>
          <w:marTop w:val="0"/>
          <w:marBottom w:val="40"/>
          <w:divBdr>
            <w:top w:val="none" w:sz="0" w:space="0" w:color="auto"/>
            <w:left w:val="none" w:sz="0" w:space="0" w:color="auto"/>
            <w:bottom w:val="none" w:sz="0" w:space="0" w:color="auto"/>
            <w:right w:val="none" w:sz="0" w:space="0" w:color="auto"/>
          </w:divBdr>
        </w:div>
        <w:div w:id="477378343">
          <w:marLeft w:val="0"/>
          <w:marRight w:val="0"/>
          <w:marTop w:val="0"/>
          <w:marBottom w:val="40"/>
          <w:divBdr>
            <w:top w:val="none" w:sz="0" w:space="0" w:color="auto"/>
            <w:left w:val="none" w:sz="0" w:space="0" w:color="auto"/>
            <w:bottom w:val="none" w:sz="0" w:space="0" w:color="auto"/>
            <w:right w:val="none" w:sz="0" w:space="0" w:color="auto"/>
          </w:divBdr>
        </w:div>
        <w:div w:id="1794444423">
          <w:marLeft w:val="720"/>
          <w:marRight w:val="0"/>
          <w:marTop w:val="0"/>
          <w:marBottom w:val="40"/>
          <w:divBdr>
            <w:top w:val="none" w:sz="0" w:space="0" w:color="auto"/>
            <w:left w:val="none" w:sz="0" w:space="0" w:color="auto"/>
            <w:bottom w:val="none" w:sz="0" w:space="0" w:color="auto"/>
            <w:right w:val="none" w:sz="0" w:space="0" w:color="auto"/>
          </w:divBdr>
        </w:div>
        <w:div w:id="898832361">
          <w:marLeft w:val="720"/>
          <w:marRight w:val="0"/>
          <w:marTop w:val="0"/>
          <w:marBottom w:val="40"/>
          <w:divBdr>
            <w:top w:val="none" w:sz="0" w:space="0" w:color="auto"/>
            <w:left w:val="none" w:sz="0" w:space="0" w:color="auto"/>
            <w:bottom w:val="none" w:sz="0" w:space="0" w:color="auto"/>
            <w:right w:val="none" w:sz="0" w:space="0" w:color="auto"/>
          </w:divBdr>
        </w:div>
        <w:div w:id="1552039210">
          <w:marLeft w:val="720"/>
          <w:marRight w:val="0"/>
          <w:marTop w:val="0"/>
          <w:marBottom w:val="40"/>
          <w:divBdr>
            <w:top w:val="none" w:sz="0" w:space="0" w:color="auto"/>
            <w:left w:val="none" w:sz="0" w:space="0" w:color="auto"/>
            <w:bottom w:val="none" w:sz="0" w:space="0" w:color="auto"/>
            <w:right w:val="none" w:sz="0" w:space="0" w:color="auto"/>
          </w:divBdr>
        </w:div>
        <w:div w:id="2069985751">
          <w:marLeft w:val="720"/>
          <w:marRight w:val="0"/>
          <w:marTop w:val="0"/>
          <w:marBottom w:val="40"/>
          <w:divBdr>
            <w:top w:val="none" w:sz="0" w:space="0" w:color="auto"/>
            <w:left w:val="none" w:sz="0" w:space="0" w:color="auto"/>
            <w:bottom w:val="none" w:sz="0" w:space="0" w:color="auto"/>
            <w:right w:val="none" w:sz="0" w:space="0" w:color="auto"/>
          </w:divBdr>
        </w:div>
        <w:div w:id="1793867993">
          <w:marLeft w:val="1080"/>
          <w:marRight w:val="0"/>
          <w:marTop w:val="0"/>
          <w:marBottom w:val="40"/>
          <w:divBdr>
            <w:top w:val="none" w:sz="0" w:space="0" w:color="auto"/>
            <w:left w:val="none" w:sz="0" w:space="0" w:color="auto"/>
            <w:bottom w:val="none" w:sz="0" w:space="0" w:color="auto"/>
            <w:right w:val="none" w:sz="0" w:space="0" w:color="auto"/>
          </w:divBdr>
        </w:div>
        <w:div w:id="1352949533">
          <w:marLeft w:val="1080"/>
          <w:marRight w:val="0"/>
          <w:marTop w:val="0"/>
          <w:marBottom w:val="40"/>
          <w:divBdr>
            <w:top w:val="none" w:sz="0" w:space="0" w:color="auto"/>
            <w:left w:val="none" w:sz="0" w:space="0" w:color="auto"/>
            <w:bottom w:val="none" w:sz="0" w:space="0" w:color="auto"/>
            <w:right w:val="none" w:sz="0" w:space="0" w:color="auto"/>
          </w:divBdr>
        </w:div>
        <w:div w:id="154225649">
          <w:marLeft w:val="720"/>
          <w:marRight w:val="0"/>
          <w:marTop w:val="0"/>
          <w:marBottom w:val="40"/>
          <w:divBdr>
            <w:top w:val="none" w:sz="0" w:space="0" w:color="auto"/>
            <w:left w:val="none" w:sz="0" w:space="0" w:color="auto"/>
            <w:bottom w:val="none" w:sz="0" w:space="0" w:color="auto"/>
            <w:right w:val="none" w:sz="0" w:space="0" w:color="auto"/>
          </w:divBdr>
        </w:div>
        <w:div w:id="2034381349">
          <w:marLeft w:val="720"/>
          <w:marRight w:val="0"/>
          <w:marTop w:val="0"/>
          <w:marBottom w:val="40"/>
          <w:divBdr>
            <w:top w:val="none" w:sz="0" w:space="0" w:color="auto"/>
            <w:left w:val="none" w:sz="0" w:space="0" w:color="auto"/>
            <w:bottom w:val="none" w:sz="0" w:space="0" w:color="auto"/>
            <w:right w:val="none" w:sz="0" w:space="0" w:color="auto"/>
          </w:divBdr>
        </w:div>
        <w:div w:id="1347906805">
          <w:marLeft w:val="720"/>
          <w:marRight w:val="0"/>
          <w:marTop w:val="0"/>
          <w:marBottom w:val="40"/>
          <w:divBdr>
            <w:top w:val="none" w:sz="0" w:space="0" w:color="auto"/>
            <w:left w:val="none" w:sz="0" w:space="0" w:color="auto"/>
            <w:bottom w:val="none" w:sz="0" w:space="0" w:color="auto"/>
            <w:right w:val="none" w:sz="0" w:space="0" w:color="auto"/>
          </w:divBdr>
        </w:div>
        <w:div w:id="167402664">
          <w:marLeft w:val="1080"/>
          <w:marRight w:val="0"/>
          <w:marTop w:val="0"/>
          <w:marBottom w:val="40"/>
          <w:divBdr>
            <w:top w:val="none" w:sz="0" w:space="0" w:color="auto"/>
            <w:left w:val="none" w:sz="0" w:space="0" w:color="auto"/>
            <w:bottom w:val="none" w:sz="0" w:space="0" w:color="auto"/>
            <w:right w:val="none" w:sz="0" w:space="0" w:color="auto"/>
          </w:divBdr>
        </w:div>
        <w:div w:id="1222522580">
          <w:marLeft w:val="1080"/>
          <w:marRight w:val="0"/>
          <w:marTop w:val="0"/>
          <w:marBottom w:val="40"/>
          <w:divBdr>
            <w:top w:val="none" w:sz="0" w:space="0" w:color="auto"/>
            <w:left w:val="none" w:sz="0" w:space="0" w:color="auto"/>
            <w:bottom w:val="none" w:sz="0" w:space="0" w:color="auto"/>
            <w:right w:val="none" w:sz="0" w:space="0" w:color="auto"/>
          </w:divBdr>
        </w:div>
        <w:div w:id="2016180934">
          <w:marLeft w:val="1080"/>
          <w:marRight w:val="0"/>
          <w:marTop w:val="0"/>
          <w:marBottom w:val="40"/>
          <w:divBdr>
            <w:top w:val="none" w:sz="0" w:space="0" w:color="auto"/>
            <w:left w:val="none" w:sz="0" w:space="0" w:color="auto"/>
            <w:bottom w:val="none" w:sz="0" w:space="0" w:color="auto"/>
            <w:right w:val="none" w:sz="0" w:space="0" w:color="auto"/>
          </w:divBdr>
        </w:div>
        <w:div w:id="494414361">
          <w:marLeft w:val="1080"/>
          <w:marRight w:val="0"/>
          <w:marTop w:val="0"/>
          <w:marBottom w:val="40"/>
          <w:divBdr>
            <w:top w:val="none" w:sz="0" w:space="0" w:color="auto"/>
            <w:left w:val="none" w:sz="0" w:space="0" w:color="auto"/>
            <w:bottom w:val="none" w:sz="0" w:space="0" w:color="auto"/>
            <w:right w:val="none" w:sz="0" w:space="0" w:color="auto"/>
          </w:divBdr>
        </w:div>
        <w:div w:id="294528437">
          <w:marLeft w:val="1080"/>
          <w:marRight w:val="0"/>
          <w:marTop w:val="0"/>
          <w:marBottom w:val="40"/>
          <w:divBdr>
            <w:top w:val="none" w:sz="0" w:space="0" w:color="auto"/>
            <w:left w:val="none" w:sz="0" w:space="0" w:color="auto"/>
            <w:bottom w:val="none" w:sz="0" w:space="0" w:color="auto"/>
            <w:right w:val="none" w:sz="0" w:space="0" w:color="auto"/>
          </w:divBdr>
        </w:div>
        <w:div w:id="406848013">
          <w:marLeft w:val="1080"/>
          <w:marRight w:val="0"/>
          <w:marTop w:val="0"/>
          <w:marBottom w:val="40"/>
          <w:divBdr>
            <w:top w:val="none" w:sz="0" w:space="0" w:color="auto"/>
            <w:left w:val="none" w:sz="0" w:space="0" w:color="auto"/>
            <w:bottom w:val="none" w:sz="0" w:space="0" w:color="auto"/>
            <w:right w:val="none" w:sz="0" w:space="0" w:color="auto"/>
          </w:divBdr>
        </w:div>
        <w:div w:id="883566011">
          <w:marLeft w:val="1080"/>
          <w:marRight w:val="0"/>
          <w:marTop w:val="0"/>
          <w:marBottom w:val="40"/>
          <w:divBdr>
            <w:top w:val="none" w:sz="0" w:space="0" w:color="auto"/>
            <w:left w:val="none" w:sz="0" w:space="0" w:color="auto"/>
            <w:bottom w:val="none" w:sz="0" w:space="0" w:color="auto"/>
            <w:right w:val="none" w:sz="0" w:space="0" w:color="auto"/>
          </w:divBdr>
        </w:div>
        <w:div w:id="3090517">
          <w:marLeft w:val="1080"/>
          <w:marRight w:val="0"/>
          <w:marTop w:val="0"/>
          <w:marBottom w:val="40"/>
          <w:divBdr>
            <w:top w:val="none" w:sz="0" w:space="0" w:color="auto"/>
            <w:left w:val="none" w:sz="0" w:space="0" w:color="auto"/>
            <w:bottom w:val="none" w:sz="0" w:space="0" w:color="auto"/>
            <w:right w:val="none" w:sz="0" w:space="0" w:color="auto"/>
          </w:divBdr>
        </w:div>
        <w:div w:id="1367564602">
          <w:marLeft w:val="1080"/>
          <w:marRight w:val="0"/>
          <w:marTop w:val="0"/>
          <w:marBottom w:val="40"/>
          <w:divBdr>
            <w:top w:val="none" w:sz="0" w:space="0" w:color="auto"/>
            <w:left w:val="none" w:sz="0" w:space="0" w:color="auto"/>
            <w:bottom w:val="none" w:sz="0" w:space="0" w:color="auto"/>
            <w:right w:val="none" w:sz="0" w:space="0" w:color="auto"/>
          </w:divBdr>
        </w:div>
        <w:div w:id="357001854">
          <w:marLeft w:val="1080"/>
          <w:marRight w:val="0"/>
          <w:marTop w:val="0"/>
          <w:marBottom w:val="40"/>
          <w:divBdr>
            <w:top w:val="none" w:sz="0" w:space="0" w:color="auto"/>
            <w:left w:val="none" w:sz="0" w:space="0" w:color="auto"/>
            <w:bottom w:val="none" w:sz="0" w:space="0" w:color="auto"/>
            <w:right w:val="none" w:sz="0" w:space="0" w:color="auto"/>
          </w:divBdr>
        </w:div>
        <w:div w:id="35855959">
          <w:marLeft w:val="1080"/>
          <w:marRight w:val="0"/>
          <w:marTop w:val="0"/>
          <w:marBottom w:val="40"/>
          <w:divBdr>
            <w:top w:val="none" w:sz="0" w:space="0" w:color="auto"/>
            <w:left w:val="none" w:sz="0" w:space="0" w:color="auto"/>
            <w:bottom w:val="none" w:sz="0" w:space="0" w:color="auto"/>
            <w:right w:val="none" w:sz="0" w:space="0" w:color="auto"/>
          </w:divBdr>
        </w:div>
        <w:div w:id="1999965701">
          <w:marLeft w:val="720"/>
          <w:marRight w:val="0"/>
          <w:marTop w:val="0"/>
          <w:marBottom w:val="40"/>
          <w:divBdr>
            <w:top w:val="none" w:sz="0" w:space="0" w:color="auto"/>
            <w:left w:val="none" w:sz="0" w:space="0" w:color="auto"/>
            <w:bottom w:val="none" w:sz="0" w:space="0" w:color="auto"/>
            <w:right w:val="none" w:sz="0" w:space="0" w:color="auto"/>
          </w:divBdr>
        </w:div>
        <w:div w:id="1894802791">
          <w:marLeft w:val="0"/>
          <w:marRight w:val="0"/>
          <w:marTop w:val="101"/>
          <w:marBottom w:val="101"/>
          <w:divBdr>
            <w:top w:val="none" w:sz="0" w:space="0" w:color="auto"/>
            <w:left w:val="none" w:sz="0" w:space="0" w:color="auto"/>
            <w:bottom w:val="none" w:sz="0" w:space="0" w:color="auto"/>
            <w:right w:val="none" w:sz="0" w:space="0" w:color="auto"/>
          </w:divBdr>
        </w:div>
        <w:div w:id="1295528725">
          <w:marLeft w:val="0"/>
          <w:marRight w:val="0"/>
          <w:marTop w:val="101"/>
          <w:marBottom w:val="101"/>
          <w:divBdr>
            <w:top w:val="none" w:sz="0" w:space="0" w:color="auto"/>
            <w:left w:val="none" w:sz="0" w:space="0" w:color="auto"/>
            <w:bottom w:val="none" w:sz="0" w:space="0" w:color="auto"/>
            <w:right w:val="none" w:sz="0" w:space="0" w:color="auto"/>
          </w:divBdr>
        </w:div>
        <w:div w:id="1234581804">
          <w:marLeft w:val="0"/>
          <w:marRight w:val="0"/>
          <w:marTop w:val="0"/>
          <w:marBottom w:val="101"/>
          <w:divBdr>
            <w:top w:val="none" w:sz="0" w:space="0" w:color="auto"/>
            <w:left w:val="none" w:sz="0" w:space="0" w:color="auto"/>
            <w:bottom w:val="none" w:sz="0" w:space="0" w:color="auto"/>
            <w:right w:val="none" w:sz="0" w:space="0" w:color="auto"/>
          </w:divBdr>
        </w:div>
        <w:div w:id="1551765078">
          <w:marLeft w:val="0"/>
          <w:marRight w:val="0"/>
          <w:marTop w:val="0"/>
          <w:marBottom w:val="101"/>
          <w:divBdr>
            <w:top w:val="none" w:sz="0" w:space="0" w:color="auto"/>
            <w:left w:val="none" w:sz="0" w:space="0" w:color="auto"/>
            <w:bottom w:val="none" w:sz="0" w:space="0" w:color="auto"/>
            <w:right w:val="none" w:sz="0" w:space="0" w:color="auto"/>
          </w:divBdr>
        </w:div>
        <w:div w:id="174000864">
          <w:marLeft w:val="0"/>
          <w:marRight w:val="0"/>
          <w:marTop w:val="0"/>
          <w:marBottom w:val="101"/>
          <w:divBdr>
            <w:top w:val="none" w:sz="0" w:space="0" w:color="auto"/>
            <w:left w:val="none" w:sz="0" w:space="0" w:color="auto"/>
            <w:bottom w:val="none" w:sz="0" w:space="0" w:color="auto"/>
            <w:right w:val="none" w:sz="0" w:space="0" w:color="auto"/>
          </w:divBdr>
        </w:div>
        <w:div w:id="744373475">
          <w:marLeft w:val="720"/>
          <w:marRight w:val="0"/>
          <w:marTop w:val="0"/>
          <w:marBottom w:val="101"/>
          <w:divBdr>
            <w:top w:val="none" w:sz="0" w:space="0" w:color="auto"/>
            <w:left w:val="none" w:sz="0" w:space="0" w:color="auto"/>
            <w:bottom w:val="none" w:sz="0" w:space="0" w:color="auto"/>
            <w:right w:val="none" w:sz="0" w:space="0" w:color="auto"/>
          </w:divBdr>
        </w:div>
        <w:div w:id="1713840909">
          <w:marLeft w:val="720"/>
          <w:marRight w:val="0"/>
          <w:marTop w:val="0"/>
          <w:marBottom w:val="101"/>
          <w:divBdr>
            <w:top w:val="none" w:sz="0" w:space="0" w:color="auto"/>
            <w:left w:val="none" w:sz="0" w:space="0" w:color="auto"/>
            <w:bottom w:val="none" w:sz="0" w:space="0" w:color="auto"/>
            <w:right w:val="none" w:sz="0" w:space="0" w:color="auto"/>
          </w:divBdr>
        </w:div>
        <w:div w:id="917206778">
          <w:marLeft w:val="720"/>
          <w:marRight w:val="0"/>
          <w:marTop w:val="0"/>
          <w:marBottom w:val="101"/>
          <w:divBdr>
            <w:top w:val="none" w:sz="0" w:space="0" w:color="auto"/>
            <w:left w:val="none" w:sz="0" w:space="0" w:color="auto"/>
            <w:bottom w:val="none" w:sz="0" w:space="0" w:color="auto"/>
            <w:right w:val="none" w:sz="0" w:space="0" w:color="auto"/>
          </w:divBdr>
        </w:div>
        <w:div w:id="2096246839">
          <w:marLeft w:val="0"/>
          <w:marRight w:val="0"/>
          <w:marTop w:val="0"/>
          <w:marBottom w:val="101"/>
          <w:divBdr>
            <w:top w:val="none" w:sz="0" w:space="0" w:color="auto"/>
            <w:left w:val="none" w:sz="0" w:space="0" w:color="auto"/>
            <w:bottom w:val="none" w:sz="0" w:space="0" w:color="auto"/>
            <w:right w:val="none" w:sz="0" w:space="0" w:color="auto"/>
          </w:divBdr>
        </w:div>
        <w:div w:id="1123039737">
          <w:marLeft w:val="720"/>
          <w:marRight w:val="0"/>
          <w:marTop w:val="0"/>
          <w:marBottom w:val="101"/>
          <w:divBdr>
            <w:top w:val="none" w:sz="0" w:space="0" w:color="auto"/>
            <w:left w:val="none" w:sz="0" w:space="0" w:color="auto"/>
            <w:bottom w:val="none" w:sz="0" w:space="0" w:color="auto"/>
            <w:right w:val="none" w:sz="0" w:space="0" w:color="auto"/>
          </w:divBdr>
        </w:div>
        <w:div w:id="775713286">
          <w:marLeft w:val="720"/>
          <w:marRight w:val="0"/>
          <w:marTop w:val="0"/>
          <w:marBottom w:val="101"/>
          <w:divBdr>
            <w:top w:val="none" w:sz="0" w:space="0" w:color="auto"/>
            <w:left w:val="none" w:sz="0" w:space="0" w:color="auto"/>
            <w:bottom w:val="none" w:sz="0" w:space="0" w:color="auto"/>
            <w:right w:val="none" w:sz="0" w:space="0" w:color="auto"/>
          </w:divBdr>
        </w:div>
        <w:div w:id="219630404">
          <w:marLeft w:val="720"/>
          <w:marRight w:val="0"/>
          <w:marTop w:val="0"/>
          <w:marBottom w:val="101"/>
          <w:divBdr>
            <w:top w:val="none" w:sz="0" w:space="0" w:color="auto"/>
            <w:left w:val="none" w:sz="0" w:space="0" w:color="auto"/>
            <w:bottom w:val="none" w:sz="0" w:space="0" w:color="auto"/>
            <w:right w:val="none" w:sz="0" w:space="0" w:color="auto"/>
          </w:divBdr>
        </w:div>
        <w:div w:id="320156955">
          <w:marLeft w:val="720"/>
          <w:marRight w:val="0"/>
          <w:marTop w:val="0"/>
          <w:marBottom w:val="101"/>
          <w:divBdr>
            <w:top w:val="none" w:sz="0" w:space="0" w:color="auto"/>
            <w:left w:val="none" w:sz="0" w:space="0" w:color="auto"/>
            <w:bottom w:val="none" w:sz="0" w:space="0" w:color="auto"/>
            <w:right w:val="none" w:sz="0" w:space="0" w:color="auto"/>
          </w:divBdr>
        </w:div>
        <w:div w:id="1782218360">
          <w:marLeft w:val="720"/>
          <w:marRight w:val="0"/>
          <w:marTop w:val="0"/>
          <w:marBottom w:val="101"/>
          <w:divBdr>
            <w:top w:val="none" w:sz="0" w:space="0" w:color="auto"/>
            <w:left w:val="none" w:sz="0" w:space="0" w:color="auto"/>
            <w:bottom w:val="none" w:sz="0" w:space="0" w:color="auto"/>
            <w:right w:val="none" w:sz="0" w:space="0" w:color="auto"/>
          </w:divBdr>
        </w:div>
        <w:div w:id="1624731096">
          <w:marLeft w:val="720"/>
          <w:marRight w:val="0"/>
          <w:marTop w:val="0"/>
          <w:marBottom w:val="101"/>
          <w:divBdr>
            <w:top w:val="none" w:sz="0" w:space="0" w:color="auto"/>
            <w:left w:val="none" w:sz="0" w:space="0" w:color="auto"/>
            <w:bottom w:val="none" w:sz="0" w:space="0" w:color="auto"/>
            <w:right w:val="none" w:sz="0" w:space="0" w:color="auto"/>
          </w:divBdr>
        </w:div>
        <w:div w:id="715157774">
          <w:marLeft w:val="0"/>
          <w:marRight w:val="0"/>
          <w:marTop w:val="101"/>
          <w:marBottom w:val="101"/>
          <w:divBdr>
            <w:top w:val="none" w:sz="0" w:space="0" w:color="auto"/>
            <w:left w:val="none" w:sz="0" w:space="0" w:color="auto"/>
            <w:bottom w:val="none" w:sz="0" w:space="0" w:color="auto"/>
            <w:right w:val="none" w:sz="0" w:space="0" w:color="auto"/>
          </w:divBdr>
        </w:div>
        <w:div w:id="1386875189">
          <w:marLeft w:val="0"/>
          <w:marRight w:val="0"/>
          <w:marTop w:val="0"/>
          <w:marBottom w:val="101"/>
          <w:divBdr>
            <w:top w:val="none" w:sz="0" w:space="0" w:color="auto"/>
            <w:left w:val="none" w:sz="0" w:space="0" w:color="auto"/>
            <w:bottom w:val="none" w:sz="0" w:space="0" w:color="auto"/>
            <w:right w:val="none" w:sz="0" w:space="0" w:color="auto"/>
          </w:divBdr>
        </w:div>
        <w:div w:id="1228809465">
          <w:marLeft w:val="0"/>
          <w:marRight w:val="0"/>
          <w:marTop w:val="0"/>
          <w:marBottom w:val="101"/>
          <w:divBdr>
            <w:top w:val="none" w:sz="0" w:space="0" w:color="auto"/>
            <w:left w:val="none" w:sz="0" w:space="0" w:color="auto"/>
            <w:bottom w:val="none" w:sz="0" w:space="0" w:color="auto"/>
            <w:right w:val="none" w:sz="0" w:space="0" w:color="auto"/>
          </w:divBdr>
        </w:div>
        <w:div w:id="1859150427">
          <w:marLeft w:val="0"/>
          <w:marRight w:val="0"/>
          <w:marTop w:val="0"/>
          <w:marBottom w:val="101"/>
          <w:divBdr>
            <w:top w:val="none" w:sz="0" w:space="0" w:color="auto"/>
            <w:left w:val="none" w:sz="0" w:space="0" w:color="auto"/>
            <w:bottom w:val="none" w:sz="0" w:space="0" w:color="auto"/>
            <w:right w:val="none" w:sz="0" w:space="0" w:color="auto"/>
          </w:divBdr>
        </w:div>
        <w:div w:id="1924610168">
          <w:marLeft w:val="0"/>
          <w:marRight w:val="0"/>
          <w:marTop w:val="0"/>
          <w:marBottom w:val="101"/>
          <w:divBdr>
            <w:top w:val="none" w:sz="0" w:space="0" w:color="auto"/>
            <w:left w:val="none" w:sz="0" w:space="0" w:color="auto"/>
            <w:bottom w:val="none" w:sz="0" w:space="0" w:color="auto"/>
            <w:right w:val="none" w:sz="0" w:space="0" w:color="auto"/>
          </w:divBdr>
        </w:div>
        <w:div w:id="1963878882">
          <w:marLeft w:val="0"/>
          <w:marRight w:val="0"/>
          <w:marTop w:val="0"/>
          <w:marBottom w:val="101"/>
          <w:divBdr>
            <w:top w:val="none" w:sz="0" w:space="0" w:color="auto"/>
            <w:left w:val="none" w:sz="0" w:space="0" w:color="auto"/>
            <w:bottom w:val="none" w:sz="0" w:space="0" w:color="auto"/>
            <w:right w:val="none" w:sz="0" w:space="0" w:color="auto"/>
          </w:divBdr>
        </w:div>
        <w:div w:id="429618931">
          <w:marLeft w:val="0"/>
          <w:marRight w:val="0"/>
          <w:marTop w:val="0"/>
          <w:marBottom w:val="101"/>
          <w:divBdr>
            <w:top w:val="none" w:sz="0" w:space="0" w:color="auto"/>
            <w:left w:val="none" w:sz="0" w:space="0" w:color="auto"/>
            <w:bottom w:val="none" w:sz="0" w:space="0" w:color="auto"/>
            <w:right w:val="none" w:sz="0" w:space="0" w:color="auto"/>
          </w:divBdr>
        </w:div>
        <w:div w:id="2055695761">
          <w:marLeft w:val="0"/>
          <w:marRight w:val="0"/>
          <w:marTop w:val="0"/>
          <w:marBottom w:val="101"/>
          <w:divBdr>
            <w:top w:val="none" w:sz="0" w:space="0" w:color="auto"/>
            <w:left w:val="none" w:sz="0" w:space="0" w:color="auto"/>
            <w:bottom w:val="none" w:sz="0" w:space="0" w:color="auto"/>
            <w:right w:val="none" w:sz="0" w:space="0" w:color="auto"/>
          </w:divBdr>
        </w:div>
        <w:div w:id="1890650342">
          <w:marLeft w:val="0"/>
          <w:marRight w:val="0"/>
          <w:marTop w:val="0"/>
          <w:marBottom w:val="101"/>
          <w:divBdr>
            <w:top w:val="none" w:sz="0" w:space="0" w:color="auto"/>
            <w:left w:val="none" w:sz="0" w:space="0" w:color="auto"/>
            <w:bottom w:val="none" w:sz="0" w:space="0" w:color="auto"/>
            <w:right w:val="none" w:sz="0" w:space="0" w:color="auto"/>
          </w:divBdr>
        </w:div>
        <w:div w:id="1534686874">
          <w:marLeft w:val="907"/>
          <w:marRight w:val="432"/>
          <w:marTop w:val="0"/>
          <w:marBottom w:val="101"/>
          <w:divBdr>
            <w:top w:val="none" w:sz="0" w:space="0" w:color="auto"/>
            <w:left w:val="none" w:sz="0" w:space="0" w:color="auto"/>
            <w:bottom w:val="none" w:sz="0" w:space="0" w:color="auto"/>
            <w:right w:val="none" w:sz="0" w:space="0" w:color="auto"/>
          </w:divBdr>
        </w:div>
        <w:div w:id="301160742">
          <w:marLeft w:val="907"/>
          <w:marRight w:val="432"/>
          <w:marTop w:val="0"/>
          <w:marBottom w:val="101"/>
          <w:divBdr>
            <w:top w:val="none" w:sz="0" w:space="0" w:color="auto"/>
            <w:left w:val="none" w:sz="0" w:space="0" w:color="auto"/>
            <w:bottom w:val="none" w:sz="0" w:space="0" w:color="auto"/>
            <w:right w:val="none" w:sz="0" w:space="0" w:color="auto"/>
          </w:divBdr>
        </w:div>
        <w:div w:id="763958425">
          <w:marLeft w:val="907"/>
          <w:marRight w:val="432"/>
          <w:marTop w:val="0"/>
          <w:marBottom w:val="101"/>
          <w:divBdr>
            <w:top w:val="none" w:sz="0" w:space="0" w:color="auto"/>
            <w:left w:val="none" w:sz="0" w:space="0" w:color="auto"/>
            <w:bottom w:val="none" w:sz="0" w:space="0" w:color="auto"/>
            <w:right w:val="none" w:sz="0" w:space="0" w:color="auto"/>
          </w:divBdr>
        </w:div>
        <w:div w:id="1219437821">
          <w:marLeft w:val="907"/>
          <w:marRight w:val="432"/>
          <w:marTop w:val="0"/>
          <w:marBottom w:val="101"/>
          <w:divBdr>
            <w:top w:val="none" w:sz="0" w:space="0" w:color="auto"/>
            <w:left w:val="none" w:sz="0" w:space="0" w:color="auto"/>
            <w:bottom w:val="none" w:sz="0" w:space="0" w:color="auto"/>
            <w:right w:val="none" w:sz="0" w:space="0" w:color="auto"/>
          </w:divBdr>
        </w:div>
        <w:div w:id="195582549">
          <w:marLeft w:val="907"/>
          <w:marRight w:val="432"/>
          <w:marTop w:val="0"/>
          <w:marBottom w:val="101"/>
          <w:divBdr>
            <w:top w:val="none" w:sz="0" w:space="0" w:color="auto"/>
            <w:left w:val="none" w:sz="0" w:space="0" w:color="auto"/>
            <w:bottom w:val="none" w:sz="0" w:space="0" w:color="auto"/>
            <w:right w:val="none" w:sz="0" w:space="0" w:color="auto"/>
          </w:divBdr>
        </w:div>
        <w:div w:id="238561083">
          <w:marLeft w:val="907"/>
          <w:marRight w:val="432"/>
          <w:marTop w:val="0"/>
          <w:marBottom w:val="101"/>
          <w:divBdr>
            <w:top w:val="none" w:sz="0" w:space="0" w:color="auto"/>
            <w:left w:val="none" w:sz="0" w:space="0" w:color="auto"/>
            <w:bottom w:val="none" w:sz="0" w:space="0" w:color="auto"/>
            <w:right w:val="none" w:sz="0" w:space="0" w:color="auto"/>
          </w:divBdr>
        </w:div>
        <w:div w:id="522019457">
          <w:marLeft w:val="907"/>
          <w:marRight w:val="432"/>
          <w:marTop w:val="0"/>
          <w:marBottom w:val="101"/>
          <w:divBdr>
            <w:top w:val="none" w:sz="0" w:space="0" w:color="auto"/>
            <w:left w:val="none" w:sz="0" w:space="0" w:color="auto"/>
            <w:bottom w:val="none" w:sz="0" w:space="0" w:color="auto"/>
            <w:right w:val="none" w:sz="0" w:space="0" w:color="auto"/>
          </w:divBdr>
        </w:div>
        <w:div w:id="180435661">
          <w:marLeft w:val="907"/>
          <w:marRight w:val="432"/>
          <w:marTop w:val="0"/>
          <w:marBottom w:val="101"/>
          <w:divBdr>
            <w:top w:val="none" w:sz="0" w:space="0" w:color="auto"/>
            <w:left w:val="none" w:sz="0" w:space="0" w:color="auto"/>
            <w:bottom w:val="none" w:sz="0" w:space="0" w:color="auto"/>
            <w:right w:val="none" w:sz="0" w:space="0" w:color="auto"/>
          </w:divBdr>
        </w:div>
        <w:div w:id="1449279314">
          <w:marLeft w:val="907"/>
          <w:marRight w:val="432"/>
          <w:marTop w:val="0"/>
          <w:marBottom w:val="101"/>
          <w:divBdr>
            <w:top w:val="none" w:sz="0" w:space="0" w:color="auto"/>
            <w:left w:val="none" w:sz="0" w:space="0" w:color="auto"/>
            <w:bottom w:val="none" w:sz="0" w:space="0" w:color="auto"/>
            <w:right w:val="none" w:sz="0" w:space="0" w:color="auto"/>
          </w:divBdr>
        </w:div>
        <w:div w:id="1035496090">
          <w:marLeft w:val="907"/>
          <w:marRight w:val="432"/>
          <w:marTop w:val="0"/>
          <w:marBottom w:val="101"/>
          <w:divBdr>
            <w:top w:val="none" w:sz="0" w:space="0" w:color="auto"/>
            <w:left w:val="none" w:sz="0" w:space="0" w:color="auto"/>
            <w:bottom w:val="none" w:sz="0" w:space="0" w:color="auto"/>
            <w:right w:val="none" w:sz="0" w:space="0" w:color="auto"/>
          </w:divBdr>
        </w:div>
        <w:div w:id="921765016">
          <w:marLeft w:val="0"/>
          <w:marRight w:val="432"/>
          <w:marTop w:val="0"/>
          <w:marBottom w:val="101"/>
          <w:divBdr>
            <w:top w:val="none" w:sz="0" w:space="0" w:color="auto"/>
            <w:left w:val="none" w:sz="0" w:space="0" w:color="auto"/>
            <w:bottom w:val="none" w:sz="0" w:space="0" w:color="auto"/>
            <w:right w:val="none" w:sz="0" w:space="0" w:color="auto"/>
          </w:divBdr>
        </w:div>
        <w:div w:id="1256674486">
          <w:marLeft w:val="0"/>
          <w:marRight w:val="0"/>
          <w:marTop w:val="0"/>
          <w:marBottom w:val="101"/>
          <w:divBdr>
            <w:top w:val="none" w:sz="0" w:space="0" w:color="auto"/>
            <w:left w:val="none" w:sz="0" w:space="0" w:color="auto"/>
            <w:bottom w:val="none" w:sz="0" w:space="0" w:color="auto"/>
            <w:right w:val="none" w:sz="0" w:space="0" w:color="auto"/>
          </w:divBdr>
        </w:div>
        <w:div w:id="2042432004">
          <w:marLeft w:val="0"/>
          <w:marRight w:val="0"/>
          <w:marTop w:val="0"/>
          <w:marBottom w:val="72"/>
          <w:divBdr>
            <w:top w:val="none" w:sz="0" w:space="0" w:color="auto"/>
            <w:left w:val="none" w:sz="0" w:space="0" w:color="auto"/>
            <w:bottom w:val="none" w:sz="0" w:space="0" w:color="auto"/>
            <w:right w:val="none" w:sz="0" w:space="0" w:color="auto"/>
          </w:divBdr>
        </w:div>
        <w:div w:id="1051081165">
          <w:marLeft w:val="0"/>
          <w:marRight w:val="0"/>
          <w:marTop w:val="0"/>
          <w:marBottom w:val="72"/>
          <w:divBdr>
            <w:top w:val="none" w:sz="0" w:space="0" w:color="auto"/>
            <w:left w:val="none" w:sz="0" w:space="0" w:color="auto"/>
            <w:bottom w:val="none" w:sz="0" w:space="0" w:color="auto"/>
            <w:right w:val="none" w:sz="0" w:space="0" w:color="auto"/>
          </w:divBdr>
        </w:div>
        <w:div w:id="128018662">
          <w:marLeft w:val="0"/>
          <w:marRight w:val="0"/>
          <w:marTop w:val="0"/>
          <w:marBottom w:val="72"/>
          <w:divBdr>
            <w:top w:val="none" w:sz="0" w:space="0" w:color="auto"/>
            <w:left w:val="none" w:sz="0" w:space="0" w:color="auto"/>
            <w:bottom w:val="none" w:sz="0" w:space="0" w:color="auto"/>
            <w:right w:val="none" w:sz="0" w:space="0" w:color="auto"/>
          </w:divBdr>
        </w:div>
        <w:div w:id="1725979213">
          <w:marLeft w:val="0"/>
          <w:marRight w:val="0"/>
          <w:marTop w:val="0"/>
          <w:marBottom w:val="72"/>
          <w:divBdr>
            <w:top w:val="none" w:sz="0" w:space="0" w:color="auto"/>
            <w:left w:val="none" w:sz="0" w:space="0" w:color="auto"/>
            <w:bottom w:val="none" w:sz="0" w:space="0" w:color="auto"/>
            <w:right w:val="none" w:sz="0" w:space="0" w:color="auto"/>
          </w:divBdr>
        </w:div>
        <w:div w:id="1831628132">
          <w:marLeft w:val="0"/>
          <w:marRight w:val="0"/>
          <w:marTop w:val="0"/>
          <w:marBottom w:val="72"/>
          <w:divBdr>
            <w:top w:val="none" w:sz="0" w:space="0" w:color="auto"/>
            <w:left w:val="none" w:sz="0" w:space="0" w:color="auto"/>
            <w:bottom w:val="none" w:sz="0" w:space="0" w:color="auto"/>
            <w:right w:val="none" w:sz="0" w:space="0" w:color="auto"/>
          </w:divBdr>
        </w:div>
        <w:div w:id="952400884">
          <w:marLeft w:val="0"/>
          <w:marRight w:val="0"/>
          <w:marTop w:val="0"/>
          <w:marBottom w:val="72"/>
          <w:divBdr>
            <w:top w:val="none" w:sz="0" w:space="0" w:color="auto"/>
            <w:left w:val="none" w:sz="0" w:space="0" w:color="auto"/>
            <w:bottom w:val="none" w:sz="0" w:space="0" w:color="auto"/>
            <w:right w:val="none" w:sz="0" w:space="0" w:color="auto"/>
          </w:divBdr>
        </w:div>
        <w:div w:id="1537694143">
          <w:marLeft w:val="0"/>
          <w:marRight w:val="0"/>
          <w:marTop w:val="0"/>
          <w:marBottom w:val="72"/>
          <w:divBdr>
            <w:top w:val="none" w:sz="0" w:space="0" w:color="auto"/>
            <w:left w:val="none" w:sz="0" w:space="0" w:color="auto"/>
            <w:bottom w:val="none" w:sz="0" w:space="0" w:color="auto"/>
            <w:right w:val="none" w:sz="0" w:space="0" w:color="auto"/>
          </w:divBdr>
        </w:div>
        <w:div w:id="450560981">
          <w:marLeft w:val="0"/>
          <w:marRight w:val="0"/>
          <w:marTop w:val="0"/>
          <w:marBottom w:val="72"/>
          <w:divBdr>
            <w:top w:val="none" w:sz="0" w:space="0" w:color="auto"/>
            <w:left w:val="none" w:sz="0" w:space="0" w:color="auto"/>
            <w:bottom w:val="none" w:sz="0" w:space="0" w:color="auto"/>
            <w:right w:val="none" w:sz="0" w:space="0" w:color="auto"/>
          </w:divBdr>
        </w:div>
        <w:div w:id="2091265659">
          <w:marLeft w:val="0"/>
          <w:marRight w:val="0"/>
          <w:marTop w:val="0"/>
          <w:marBottom w:val="101"/>
          <w:divBdr>
            <w:top w:val="none" w:sz="0" w:space="0" w:color="auto"/>
            <w:left w:val="none" w:sz="0" w:space="0" w:color="auto"/>
            <w:bottom w:val="none" w:sz="0" w:space="0" w:color="auto"/>
            <w:right w:val="none" w:sz="0" w:space="0" w:color="auto"/>
          </w:divBdr>
        </w:div>
        <w:div w:id="939147855">
          <w:marLeft w:val="0"/>
          <w:marRight w:val="0"/>
          <w:marTop w:val="0"/>
          <w:marBottom w:val="101"/>
          <w:divBdr>
            <w:top w:val="none" w:sz="0" w:space="0" w:color="auto"/>
            <w:left w:val="none" w:sz="0" w:space="0" w:color="auto"/>
            <w:bottom w:val="none" w:sz="0" w:space="0" w:color="auto"/>
            <w:right w:val="none" w:sz="0" w:space="0" w:color="auto"/>
          </w:divBdr>
        </w:div>
        <w:div w:id="1508710294">
          <w:marLeft w:val="720"/>
          <w:marRight w:val="0"/>
          <w:marTop w:val="0"/>
          <w:marBottom w:val="101"/>
          <w:divBdr>
            <w:top w:val="none" w:sz="0" w:space="0" w:color="auto"/>
            <w:left w:val="none" w:sz="0" w:space="0" w:color="auto"/>
            <w:bottom w:val="none" w:sz="0" w:space="0" w:color="auto"/>
            <w:right w:val="none" w:sz="0" w:space="0" w:color="auto"/>
          </w:divBdr>
        </w:div>
        <w:div w:id="1878542695">
          <w:marLeft w:val="720"/>
          <w:marRight w:val="0"/>
          <w:marTop w:val="0"/>
          <w:marBottom w:val="101"/>
          <w:divBdr>
            <w:top w:val="none" w:sz="0" w:space="0" w:color="auto"/>
            <w:left w:val="none" w:sz="0" w:space="0" w:color="auto"/>
            <w:bottom w:val="none" w:sz="0" w:space="0" w:color="auto"/>
            <w:right w:val="none" w:sz="0" w:space="0" w:color="auto"/>
          </w:divBdr>
        </w:div>
        <w:div w:id="335495592">
          <w:marLeft w:val="720"/>
          <w:marRight w:val="0"/>
          <w:marTop w:val="0"/>
          <w:marBottom w:val="101"/>
          <w:divBdr>
            <w:top w:val="none" w:sz="0" w:space="0" w:color="auto"/>
            <w:left w:val="none" w:sz="0" w:space="0" w:color="auto"/>
            <w:bottom w:val="none" w:sz="0" w:space="0" w:color="auto"/>
            <w:right w:val="none" w:sz="0" w:space="0" w:color="auto"/>
          </w:divBdr>
        </w:div>
        <w:div w:id="1876502366">
          <w:marLeft w:val="720"/>
          <w:marRight w:val="0"/>
          <w:marTop w:val="0"/>
          <w:marBottom w:val="101"/>
          <w:divBdr>
            <w:top w:val="none" w:sz="0" w:space="0" w:color="auto"/>
            <w:left w:val="none" w:sz="0" w:space="0" w:color="auto"/>
            <w:bottom w:val="none" w:sz="0" w:space="0" w:color="auto"/>
            <w:right w:val="none" w:sz="0" w:space="0" w:color="auto"/>
          </w:divBdr>
        </w:div>
        <w:div w:id="1326982224">
          <w:marLeft w:val="720"/>
          <w:marRight w:val="0"/>
          <w:marTop w:val="0"/>
          <w:marBottom w:val="101"/>
          <w:divBdr>
            <w:top w:val="none" w:sz="0" w:space="0" w:color="auto"/>
            <w:left w:val="none" w:sz="0" w:space="0" w:color="auto"/>
            <w:bottom w:val="none" w:sz="0" w:space="0" w:color="auto"/>
            <w:right w:val="none" w:sz="0" w:space="0" w:color="auto"/>
          </w:divBdr>
        </w:div>
        <w:div w:id="455835618">
          <w:marLeft w:val="720"/>
          <w:marRight w:val="0"/>
          <w:marTop w:val="0"/>
          <w:marBottom w:val="101"/>
          <w:divBdr>
            <w:top w:val="none" w:sz="0" w:space="0" w:color="auto"/>
            <w:left w:val="none" w:sz="0" w:space="0" w:color="auto"/>
            <w:bottom w:val="none" w:sz="0" w:space="0" w:color="auto"/>
            <w:right w:val="none" w:sz="0" w:space="0" w:color="auto"/>
          </w:divBdr>
        </w:div>
        <w:div w:id="537549508">
          <w:marLeft w:val="0"/>
          <w:marRight w:val="0"/>
          <w:marTop w:val="0"/>
          <w:marBottom w:val="101"/>
          <w:divBdr>
            <w:top w:val="none" w:sz="0" w:space="0" w:color="auto"/>
            <w:left w:val="none" w:sz="0" w:space="0" w:color="auto"/>
            <w:bottom w:val="none" w:sz="0" w:space="0" w:color="auto"/>
            <w:right w:val="none" w:sz="0" w:space="0" w:color="auto"/>
          </w:divBdr>
        </w:div>
        <w:div w:id="938365755">
          <w:marLeft w:val="0"/>
          <w:marRight w:val="0"/>
          <w:marTop w:val="0"/>
          <w:marBottom w:val="101"/>
          <w:divBdr>
            <w:top w:val="none" w:sz="0" w:space="0" w:color="auto"/>
            <w:left w:val="none" w:sz="0" w:space="0" w:color="auto"/>
            <w:bottom w:val="none" w:sz="0" w:space="0" w:color="auto"/>
            <w:right w:val="none" w:sz="0" w:space="0" w:color="auto"/>
          </w:divBdr>
        </w:div>
        <w:div w:id="682168756">
          <w:marLeft w:val="0"/>
          <w:marRight w:val="0"/>
          <w:marTop w:val="101"/>
          <w:marBottom w:val="101"/>
          <w:divBdr>
            <w:top w:val="none" w:sz="0" w:space="0" w:color="auto"/>
            <w:left w:val="none" w:sz="0" w:space="0" w:color="auto"/>
            <w:bottom w:val="none" w:sz="0" w:space="0" w:color="auto"/>
            <w:right w:val="none" w:sz="0" w:space="0" w:color="auto"/>
          </w:divBdr>
        </w:div>
        <w:div w:id="627971714">
          <w:marLeft w:val="0"/>
          <w:marRight w:val="0"/>
          <w:marTop w:val="0"/>
          <w:marBottom w:val="101"/>
          <w:divBdr>
            <w:top w:val="none" w:sz="0" w:space="0" w:color="auto"/>
            <w:left w:val="none" w:sz="0" w:space="0" w:color="auto"/>
            <w:bottom w:val="none" w:sz="0" w:space="0" w:color="auto"/>
            <w:right w:val="none" w:sz="0" w:space="0" w:color="auto"/>
          </w:divBdr>
        </w:div>
        <w:div w:id="1971588445">
          <w:marLeft w:val="0"/>
          <w:marRight w:val="0"/>
          <w:marTop w:val="0"/>
          <w:marBottom w:val="101"/>
          <w:divBdr>
            <w:top w:val="none" w:sz="0" w:space="0" w:color="auto"/>
            <w:left w:val="none" w:sz="0" w:space="0" w:color="auto"/>
            <w:bottom w:val="none" w:sz="0" w:space="0" w:color="auto"/>
            <w:right w:val="none" w:sz="0" w:space="0" w:color="auto"/>
          </w:divBdr>
        </w:div>
        <w:div w:id="1035232702">
          <w:marLeft w:val="720"/>
          <w:marRight w:val="0"/>
          <w:marTop w:val="0"/>
          <w:marBottom w:val="101"/>
          <w:divBdr>
            <w:top w:val="none" w:sz="0" w:space="0" w:color="auto"/>
            <w:left w:val="none" w:sz="0" w:space="0" w:color="auto"/>
            <w:bottom w:val="none" w:sz="0" w:space="0" w:color="auto"/>
            <w:right w:val="none" w:sz="0" w:space="0" w:color="auto"/>
          </w:divBdr>
        </w:div>
        <w:div w:id="1231118573">
          <w:marLeft w:val="720"/>
          <w:marRight w:val="0"/>
          <w:marTop w:val="0"/>
          <w:marBottom w:val="101"/>
          <w:divBdr>
            <w:top w:val="none" w:sz="0" w:space="0" w:color="auto"/>
            <w:left w:val="none" w:sz="0" w:space="0" w:color="auto"/>
            <w:bottom w:val="none" w:sz="0" w:space="0" w:color="auto"/>
            <w:right w:val="none" w:sz="0" w:space="0" w:color="auto"/>
          </w:divBdr>
        </w:div>
        <w:div w:id="187065022">
          <w:marLeft w:val="720"/>
          <w:marRight w:val="0"/>
          <w:marTop w:val="0"/>
          <w:marBottom w:val="101"/>
          <w:divBdr>
            <w:top w:val="none" w:sz="0" w:space="0" w:color="auto"/>
            <w:left w:val="none" w:sz="0" w:space="0" w:color="auto"/>
            <w:bottom w:val="none" w:sz="0" w:space="0" w:color="auto"/>
            <w:right w:val="none" w:sz="0" w:space="0" w:color="auto"/>
          </w:divBdr>
        </w:div>
        <w:div w:id="982467591">
          <w:marLeft w:val="720"/>
          <w:marRight w:val="0"/>
          <w:marTop w:val="0"/>
          <w:marBottom w:val="101"/>
          <w:divBdr>
            <w:top w:val="none" w:sz="0" w:space="0" w:color="auto"/>
            <w:left w:val="none" w:sz="0" w:space="0" w:color="auto"/>
            <w:bottom w:val="none" w:sz="0" w:space="0" w:color="auto"/>
            <w:right w:val="none" w:sz="0" w:space="0" w:color="auto"/>
          </w:divBdr>
        </w:div>
        <w:div w:id="1688484435">
          <w:marLeft w:val="720"/>
          <w:marRight w:val="0"/>
          <w:marTop w:val="0"/>
          <w:marBottom w:val="101"/>
          <w:divBdr>
            <w:top w:val="none" w:sz="0" w:space="0" w:color="auto"/>
            <w:left w:val="none" w:sz="0" w:space="0" w:color="auto"/>
            <w:bottom w:val="none" w:sz="0" w:space="0" w:color="auto"/>
            <w:right w:val="none" w:sz="0" w:space="0" w:color="auto"/>
          </w:divBdr>
        </w:div>
        <w:div w:id="619847427">
          <w:marLeft w:val="720"/>
          <w:marRight w:val="0"/>
          <w:marTop w:val="0"/>
          <w:marBottom w:val="101"/>
          <w:divBdr>
            <w:top w:val="none" w:sz="0" w:space="0" w:color="auto"/>
            <w:left w:val="none" w:sz="0" w:space="0" w:color="auto"/>
            <w:bottom w:val="none" w:sz="0" w:space="0" w:color="auto"/>
            <w:right w:val="none" w:sz="0" w:space="0" w:color="auto"/>
          </w:divBdr>
        </w:div>
        <w:div w:id="1334530554">
          <w:marLeft w:val="720"/>
          <w:marRight w:val="0"/>
          <w:marTop w:val="0"/>
          <w:marBottom w:val="101"/>
          <w:divBdr>
            <w:top w:val="none" w:sz="0" w:space="0" w:color="auto"/>
            <w:left w:val="none" w:sz="0" w:space="0" w:color="auto"/>
            <w:bottom w:val="none" w:sz="0" w:space="0" w:color="auto"/>
            <w:right w:val="none" w:sz="0" w:space="0" w:color="auto"/>
          </w:divBdr>
        </w:div>
        <w:div w:id="245575986">
          <w:marLeft w:val="720"/>
          <w:marRight w:val="0"/>
          <w:marTop w:val="0"/>
          <w:marBottom w:val="101"/>
          <w:divBdr>
            <w:top w:val="none" w:sz="0" w:space="0" w:color="auto"/>
            <w:left w:val="none" w:sz="0" w:space="0" w:color="auto"/>
            <w:bottom w:val="none" w:sz="0" w:space="0" w:color="auto"/>
            <w:right w:val="none" w:sz="0" w:space="0" w:color="auto"/>
          </w:divBdr>
        </w:div>
        <w:div w:id="1324966529">
          <w:marLeft w:val="0"/>
          <w:marRight w:val="0"/>
          <w:marTop w:val="101"/>
          <w:marBottom w:val="101"/>
          <w:divBdr>
            <w:top w:val="none" w:sz="0" w:space="0" w:color="auto"/>
            <w:left w:val="none" w:sz="0" w:space="0" w:color="auto"/>
            <w:bottom w:val="none" w:sz="0" w:space="0" w:color="auto"/>
            <w:right w:val="none" w:sz="0" w:space="0" w:color="auto"/>
          </w:divBdr>
        </w:div>
        <w:div w:id="359670018">
          <w:marLeft w:val="0"/>
          <w:marRight w:val="0"/>
          <w:marTop w:val="0"/>
          <w:marBottom w:val="101"/>
          <w:divBdr>
            <w:top w:val="none" w:sz="0" w:space="0" w:color="auto"/>
            <w:left w:val="none" w:sz="0" w:space="0" w:color="auto"/>
            <w:bottom w:val="none" w:sz="0" w:space="0" w:color="auto"/>
            <w:right w:val="none" w:sz="0" w:space="0" w:color="auto"/>
          </w:divBdr>
        </w:div>
        <w:div w:id="1629436829">
          <w:marLeft w:val="0"/>
          <w:marRight w:val="0"/>
          <w:marTop w:val="0"/>
          <w:marBottom w:val="101"/>
          <w:divBdr>
            <w:top w:val="none" w:sz="0" w:space="0" w:color="auto"/>
            <w:left w:val="none" w:sz="0" w:space="0" w:color="auto"/>
            <w:bottom w:val="none" w:sz="0" w:space="0" w:color="auto"/>
            <w:right w:val="none" w:sz="0" w:space="0" w:color="auto"/>
          </w:divBdr>
        </w:div>
        <w:div w:id="506407134">
          <w:marLeft w:val="0"/>
          <w:marRight w:val="0"/>
          <w:marTop w:val="0"/>
          <w:marBottom w:val="101"/>
          <w:divBdr>
            <w:top w:val="none" w:sz="0" w:space="0" w:color="auto"/>
            <w:left w:val="none" w:sz="0" w:space="0" w:color="auto"/>
            <w:bottom w:val="none" w:sz="0" w:space="0" w:color="auto"/>
            <w:right w:val="none" w:sz="0" w:space="0" w:color="auto"/>
          </w:divBdr>
        </w:div>
        <w:div w:id="1615792448">
          <w:marLeft w:val="0"/>
          <w:marRight w:val="0"/>
          <w:marTop w:val="120"/>
          <w:marBottom w:val="240"/>
          <w:divBdr>
            <w:top w:val="none" w:sz="0" w:space="0" w:color="auto"/>
            <w:left w:val="none" w:sz="0" w:space="0" w:color="auto"/>
            <w:bottom w:val="none" w:sz="0" w:space="0" w:color="auto"/>
            <w:right w:val="none" w:sz="0" w:space="0" w:color="auto"/>
          </w:divBdr>
        </w:div>
        <w:div w:id="1486047147">
          <w:marLeft w:val="0"/>
          <w:marRight w:val="0"/>
          <w:marTop w:val="0"/>
          <w:marBottom w:val="101"/>
          <w:divBdr>
            <w:top w:val="none" w:sz="0" w:space="0" w:color="auto"/>
            <w:left w:val="none" w:sz="0" w:space="0" w:color="auto"/>
            <w:bottom w:val="none" w:sz="0" w:space="0" w:color="auto"/>
            <w:right w:val="none" w:sz="0" w:space="0" w:color="auto"/>
          </w:divBdr>
        </w:div>
        <w:div w:id="413280848">
          <w:marLeft w:val="0"/>
          <w:marRight w:val="0"/>
          <w:marTop w:val="0"/>
          <w:marBottom w:val="101"/>
          <w:divBdr>
            <w:top w:val="none" w:sz="0" w:space="0" w:color="auto"/>
            <w:left w:val="none" w:sz="0" w:space="0" w:color="auto"/>
            <w:bottom w:val="none" w:sz="0" w:space="0" w:color="auto"/>
            <w:right w:val="none" w:sz="0" w:space="0" w:color="auto"/>
          </w:divBdr>
        </w:div>
        <w:div w:id="1586110315">
          <w:marLeft w:val="126"/>
          <w:marRight w:val="0"/>
          <w:marTop w:val="0"/>
          <w:marBottom w:val="101"/>
          <w:divBdr>
            <w:top w:val="none" w:sz="0" w:space="0" w:color="auto"/>
            <w:left w:val="none" w:sz="0" w:space="0" w:color="auto"/>
            <w:bottom w:val="none" w:sz="0" w:space="0" w:color="auto"/>
            <w:right w:val="none" w:sz="0" w:space="0" w:color="auto"/>
          </w:divBdr>
        </w:div>
        <w:div w:id="1253777748">
          <w:marLeft w:val="126"/>
          <w:marRight w:val="0"/>
          <w:marTop w:val="0"/>
          <w:marBottom w:val="101"/>
          <w:divBdr>
            <w:top w:val="none" w:sz="0" w:space="0" w:color="auto"/>
            <w:left w:val="none" w:sz="0" w:space="0" w:color="auto"/>
            <w:bottom w:val="none" w:sz="0" w:space="0" w:color="auto"/>
            <w:right w:val="none" w:sz="0" w:space="0" w:color="auto"/>
          </w:divBdr>
        </w:div>
        <w:div w:id="704596808">
          <w:marLeft w:val="126"/>
          <w:marRight w:val="0"/>
          <w:marTop w:val="0"/>
          <w:marBottom w:val="101"/>
          <w:divBdr>
            <w:top w:val="none" w:sz="0" w:space="0" w:color="auto"/>
            <w:left w:val="none" w:sz="0" w:space="0" w:color="auto"/>
            <w:bottom w:val="none" w:sz="0" w:space="0" w:color="auto"/>
            <w:right w:val="none" w:sz="0" w:space="0" w:color="auto"/>
          </w:divBdr>
        </w:div>
        <w:div w:id="591864872">
          <w:marLeft w:val="126"/>
          <w:marRight w:val="0"/>
          <w:marTop w:val="0"/>
          <w:marBottom w:val="101"/>
          <w:divBdr>
            <w:top w:val="none" w:sz="0" w:space="0" w:color="auto"/>
            <w:left w:val="none" w:sz="0" w:space="0" w:color="auto"/>
            <w:bottom w:val="none" w:sz="0" w:space="0" w:color="auto"/>
            <w:right w:val="none" w:sz="0" w:space="0" w:color="auto"/>
          </w:divBdr>
        </w:div>
        <w:div w:id="726805673">
          <w:marLeft w:val="126"/>
          <w:marRight w:val="0"/>
          <w:marTop w:val="0"/>
          <w:marBottom w:val="101"/>
          <w:divBdr>
            <w:top w:val="none" w:sz="0" w:space="0" w:color="auto"/>
            <w:left w:val="none" w:sz="0" w:space="0" w:color="auto"/>
            <w:bottom w:val="none" w:sz="0" w:space="0" w:color="auto"/>
            <w:right w:val="none" w:sz="0" w:space="0" w:color="auto"/>
          </w:divBdr>
        </w:div>
        <w:div w:id="1465735291">
          <w:marLeft w:val="126"/>
          <w:marRight w:val="0"/>
          <w:marTop w:val="0"/>
          <w:marBottom w:val="101"/>
          <w:divBdr>
            <w:top w:val="none" w:sz="0" w:space="0" w:color="auto"/>
            <w:left w:val="none" w:sz="0" w:space="0" w:color="auto"/>
            <w:bottom w:val="none" w:sz="0" w:space="0" w:color="auto"/>
            <w:right w:val="none" w:sz="0" w:space="0" w:color="auto"/>
          </w:divBdr>
        </w:div>
        <w:div w:id="2142069146">
          <w:marLeft w:val="126"/>
          <w:marRight w:val="0"/>
          <w:marTop w:val="0"/>
          <w:marBottom w:val="101"/>
          <w:divBdr>
            <w:top w:val="none" w:sz="0" w:space="0" w:color="auto"/>
            <w:left w:val="none" w:sz="0" w:space="0" w:color="auto"/>
            <w:bottom w:val="none" w:sz="0" w:space="0" w:color="auto"/>
            <w:right w:val="none" w:sz="0" w:space="0" w:color="auto"/>
          </w:divBdr>
        </w:div>
        <w:div w:id="67388193">
          <w:marLeft w:val="126"/>
          <w:marRight w:val="0"/>
          <w:marTop w:val="0"/>
          <w:marBottom w:val="101"/>
          <w:divBdr>
            <w:top w:val="none" w:sz="0" w:space="0" w:color="auto"/>
            <w:left w:val="none" w:sz="0" w:space="0" w:color="auto"/>
            <w:bottom w:val="none" w:sz="0" w:space="0" w:color="auto"/>
            <w:right w:val="none" w:sz="0" w:space="0" w:color="auto"/>
          </w:divBdr>
        </w:div>
        <w:div w:id="1530214430">
          <w:marLeft w:val="126"/>
          <w:marRight w:val="0"/>
          <w:marTop w:val="0"/>
          <w:marBottom w:val="101"/>
          <w:divBdr>
            <w:top w:val="none" w:sz="0" w:space="0" w:color="auto"/>
            <w:left w:val="none" w:sz="0" w:space="0" w:color="auto"/>
            <w:bottom w:val="none" w:sz="0" w:space="0" w:color="auto"/>
            <w:right w:val="none" w:sz="0" w:space="0" w:color="auto"/>
          </w:divBdr>
        </w:div>
        <w:div w:id="1938711086">
          <w:marLeft w:val="0"/>
          <w:marRight w:val="0"/>
          <w:marTop w:val="120"/>
          <w:marBottom w:val="240"/>
          <w:divBdr>
            <w:top w:val="none" w:sz="0" w:space="0" w:color="auto"/>
            <w:left w:val="none" w:sz="0" w:space="0" w:color="auto"/>
            <w:bottom w:val="none" w:sz="0" w:space="0" w:color="auto"/>
            <w:right w:val="none" w:sz="0" w:space="0" w:color="auto"/>
          </w:divBdr>
        </w:div>
        <w:div w:id="872889467">
          <w:marLeft w:val="0"/>
          <w:marRight w:val="0"/>
          <w:marTop w:val="0"/>
          <w:marBottom w:val="101"/>
          <w:divBdr>
            <w:top w:val="none" w:sz="0" w:space="0" w:color="auto"/>
            <w:left w:val="none" w:sz="0" w:space="0" w:color="auto"/>
            <w:bottom w:val="none" w:sz="0" w:space="0" w:color="auto"/>
            <w:right w:val="none" w:sz="0" w:space="0" w:color="auto"/>
          </w:divBdr>
        </w:div>
        <w:div w:id="1754399519">
          <w:marLeft w:val="0"/>
          <w:marRight w:val="0"/>
          <w:marTop w:val="101"/>
          <w:marBottom w:val="101"/>
          <w:divBdr>
            <w:top w:val="none" w:sz="0" w:space="0" w:color="auto"/>
            <w:left w:val="none" w:sz="0" w:space="0" w:color="auto"/>
            <w:bottom w:val="none" w:sz="0" w:space="0" w:color="auto"/>
            <w:right w:val="none" w:sz="0" w:space="0" w:color="auto"/>
          </w:divBdr>
        </w:div>
        <w:div w:id="1428035754">
          <w:marLeft w:val="0"/>
          <w:marRight w:val="0"/>
          <w:marTop w:val="0"/>
          <w:marBottom w:val="200"/>
          <w:divBdr>
            <w:top w:val="none" w:sz="0" w:space="0" w:color="auto"/>
            <w:left w:val="none" w:sz="0" w:space="0" w:color="auto"/>
            <w:bottom w:val="none" w:sz="0" w:space="0" w:color="auto"/>
            <w:right w:val="none" w:sz="0" w:space="0" w:color="auto"/>
          </w:divBdr>
        </w:div>
        <w:div w:id="1102385161">
          <w:marLeft w:val="0"/>
          <w:marRight w:val="0"/>
          <w:marTop w:val="0"/>
          <w:marBottom w:val="101"/>
          <w:divBdr>
            <w:top w:val="none" w:sz="0" w:space="0" w:color="auto"/>
            <w:left w:val="none" w:sz="0" w:space="0" w:color="auto"/>
            <w:bottom w:val="none" w:sz="0" w:space="0" w:color="auto"/>
            <w:right w:val="none" w:sz="0" w:space="0" w:color="auto"/>
          </w:divBdr>
        </w:div>
        <w:div w:id="795101131">
          <w:marLeft w:val="288"/>
          <w:marRight w:val="0"/>
          <w:marTop w:val="0"/>
          <w:marBottom w:val="101"/>
          <w:divBdr>
            <w:top w:val="none" w:sz="0" w:space="0" w:color="auto"/>
            <w:left w:val="none" w:sz="0" w:space="0" w:color="auto"/>
            <w:bottom w:val="none" w:sz="0" w:space="0" w:color="auto"/>
            <w:right w:val="none" w:sz="0" w:space="0" w:color="auto"/>
          </w:divBdr>
        </w:div>
        <w:div w:id="1421221429">
          <w:marLeft w:val="0"/>
          <w:marRight w:val="0"/>
          <w:marTop w:val="0"/>
          <w:marBottom w:val="101"/>
          <w:divBdr>
            <w:top w:val="none" w:sz="0" w:space="0" w:color="auto"/>
            <w:left w:val="none" w:sz="0" w:space="0" w:color="auto"/>
            <w:bottom w:val="none" w:sz="0" w:space="0" w:color="auto"/>
            <w:right w:val="none" w:sz="0" w:space="0" w:color="auto"/>
          </w:divBdr>
        </w:div>
        <w:div w:id="1807699986">
          <w:marLeft w:val="277"/>
          <w:marRight w:val="0"/>
          <w:marTop w:val="0"/>
          <w:marBottom w:val="101"/>
          <w:divBdr>
            <w:top w:val="none" w:sz="0" w:space="0" w:color="auto"/>
            <w:left w:val="none" w:sz="0" w:space="0" w:color="auto"/>
            <w:bottom w:val="none" w:sz="0" w:space="0" w:color="auto"/>
            <w:right w:val="none" w:sz="0" w:space="0" w:color="auto"/>
          </w:divBdr>
        </w:div>
        <w:div w:id="1715546107">
          <w:marLeft w:val="0"/>
          <w:marRight w:val="0"/>
          <w:marTop w:val="0"/>
          <w:marBottom w:val="101"/>
          <w:divBdr>
            <w:top w:val="none" w:sz="0" w:space="0" w:color="auto"/>
            <w:left w:val="none" w:sz="0" w:space="0" w:color="auto"/>
            <w:bottom w:val="none" w:sz="0" w:space="0" w:color="auto"/>
            <w:right w:val="none" w:sz="0" w:space="0" w:color="auto"/>
          </w:divBdr>
        </w:div>
        <w:div w:id="1772046064">
          <w:marLeft w:val="0"/>
          <w:marRight w:val="0"/>
          <w:marTop w:val="0"/>
          <w:marBottom w:val="101"/>
          <w:divBdr>
            <w:top w:val="none" w:sz="0" w:space="0" w:color="auto"/>
            <w:left w:val="none" w:sz="0" w:space="0" w:color="auto"/>
            <w:bottom w:val="none" w:sz="0" w:space="0" w:color="auto"/>
            <w:right w:val="none" w:sz="0" w:space="0" w:color="auto"/>
          </w:divBdr>
        </w:div>
        <w:div w:id="2029404141">
          <w:marLeft w:val="277"/>
          <w:marRight w:val="0"/>
          <w:marTop w:val="0"/>
          <w:marBottom w:val="101"/>
          <w:divBdr>
            <w:top w:val="none" w:sz="0" w:space="0" w:color="auto"/>
            <w:left w:val="none" w:sz="0" w:space="0" w:color="auto"/>
            <w:bottom w:val="none" w:sz="0" w:space="0" w:color="auto"/>
            <w:right w:val="none" w:sz="0" w:space="0" w:color="auto"/>
          </w:divBdr>
        </w:div>
        <w:div w:id="199976024">
          <w:marLeft w:val="277"/>
          <w:marRight w:val="0"/>
          <w:marTop w:val="0"/>
          <w:marBottom w:val="101"/>
          <w:divBdr>
            <w:top w:val="none" w:sz="0" w:space="0" w:color="auto"/>
            <w:left w:val="none" w:sz="0" w:space="0" w:color="auto"/>
            <w:bottom w:val="none" w:sz="0" w:space="0" w:color="auto"/>
            <w:right w:val="none" w:sz="0" w:space="0" w:color="auto"/>
          </w:divBdr>
        </w:div>
        <w:div w:id="550844190">
          <w:marLeft w:val="0"/>
          <w:marRight w:val="0"/>
          <w:marTop w:val="0"/>
          <w:marBottom w:val="101"/>
          <w:divBdr>
            <w:top w:val="none" w:sz="0" w:space="0" w:color="auto"/>
            <w:left w:val="none" w:sz="0" w:space="0" w:color="auto"/>
            <w:bottom w:val="none" w:sz="0" w:space="0" w:color="auto"/>
            <w:right w:val="none" w:sz="0" w:space="0" w:color="auto"/>
          </w:divBdr>
        </w:div>
        <w:div w:id="1430855386">
          <w:marLeft w:val="0"/>
          <w:marRight w:val="0"/>
          <w:marTop w:val="0"/>
          <w:marBottom w:val="200"/>
          <w:divBdr>
            <w:top w:val="none" w:sz="0" w:space="0" w:color="auto"/>
            <w:left w:val="none" w:sz="0" w:space="0" w:color="auto"/>
            <w:bottom w:val="none" w:sz="0" w:space="0" w:color="auto"/>
            <w:right w:val="none" w:sz="0" w:space="0" w:color="auto"/>
          </w:divBdr>
        </w:div>
        <w:div w:id="520781214">
          <w:marLeft w:val="288"/>
          <w:marRight w:val="0"/>
          <w:marTop w:val="0"/>
          <w:marBottom w:val="101"/>
          <w:divBdr>
            <w:top w:val="none" w:sz="0" w:space="0" w:color="auto"/>
            <w:left w:val="none" w:sz="0" w:space="0" w:color="auto"/>
            <w:bottom w:val="none" w:sz="0" w:space="0" w:color="auto"/>
            <w:right w:val="none" w:sz="0" w:space="0" w:color="auto"/>
          </w:divBdr>
        </w:div>
        <w:div w:id="1268272726">
          <w:marLeft w:val="288"/>
          <w:marRight w:val="0"/>
          <w:marTop w:val="0"/>
          <w:marBottom w:val="101"/>
          <w:divBdr>
            <w:top w:val="none" w:sz="0" w:space="0" w:color="auto"/>
            <w:left w:val="none" w:sz="0" w:space="0" w:color="auto"/>
            <w:bottom w:val="none" w:sz="0" w:space="0" w:color="auto"/>
            <w:right w:val="none" w:sz="0" w:space="0" w:color="auto"/>
          </w:divBdr>
        </w:div>
        <w:div w:id="1332836230">
          <w:marLeft w:val="0"/>
          <w:marRight w:val="0"/>
          <w:marTop w:val="0"/>
          <w:marBottom w:val="101"/>
          <w:divBdr>
            <w:top w:val="none" w:sz="0" w:space="0" w:color="auto"/>
            <w:left w:val="none" w:sz="0" w:space="0" w:color="auto"/>
            <w:bottom w:val="none" w:sz="0" w:space="0" w:color="auto"/>
            <w:right w:val="none" w:sz="0" w:space="0" w:color="auto"/>
          </w:divBdr>
        </w:div>
        <w:div w:id="155149381">
          <w:marLeft w:val="0"/>
          <w:marRight w:val="0"/>
          <w:marTop w:val="0"/>
          <w:marBottom w:val="101"/>
          <w:divBdr>
            <w:top w:val="none" w:sz="0" w:space="0" w:color="auto"/>
            <w:left w:val="none" w:sz="0" w:space="0" w:color="auto"/>
            <w:bottom w:val="none" w:sz="0" w:space="0" w:color="auto"/>
            <w:right w:val="none" w:sz="0" w:space="0" w:color="auto"/>
          </w:divBdr>
        </w:div>
        <w:div w:id="1268124380">
          <w:marLeft w:val="288"/>
          <w:marRight w:val="0"/>
          <w:marTop w:val="0"/>
          <w:marBottom w:val="101"/>
          <w:divBdr>
            <w:top w:val="none" w:sz="0" w:space="0" w:color="auto"/>
            <w:left w:val="none" w:sz="0" w:space="0" w:color="auto"/>
            <w:bottom w:val="none" w:sz="0" w:space="0" w:color="auto"/>
            <w:right w:val="none" w:sz="0" w:space="0" w:color="auto"/>
          </w:divBdr>
        </w:div>
        <w:div w:id="503085101">
          <w:marLeft w:val="288"/>
          <w:marRight w:val="0"/>
          <w:marTop w:val="0"/>
          <w:marBottom w:val="101"/>
          <w:divBdr>
            <w:top w:val="none" w:sz="0" w:space="0" w:color="auto"/>
            <w:left w:val="none" w:sz="0" w:space="0" w:color="auto"/>
            <w:bottom w:val="none" w:sz="0" w:space="0" w:color="auto"/>
            <w:right w:val="none" w:sz="0" w:space="0" w:color="auto"/>
          </w:divBdr>
        </w:div>
        <w:div w:id="221215605">
          <w:marLeft w:val="288"/>
          <w:marRight w:val="0"/>
          <w:marTop w:val="0"/>
          <w:marBottom w:val="101"/>
          <w:divBdr>
            <w:top w:val="none" w:sz="0" w:space="0" w:color="auto"/>
            <w:left w:val="none" w:sz="0" w:space="0" w:color="auto"/>
            <w:bottom w:val="none" w:sz="0" w:space="0" w:color="auto"/>
            <w:right w:val="none" w:sz="0" w:space="0" w:color="auto"/>
          </w:divBdr>
        </w:div>
        <w:div w:id="1680425237">
          <w:marLeft w:val="0"/>
          <w:marRight w:val="0"/>
          <w:marTop w:val="0"/>
          <w:marBottom w:val="101"/>
          <w:divBdr>
            <w:top w:val="none" w:sz="0" w:space="0" w:color="auto"/>
            <w:left w:val="none" w:sz="0" w:space="0" w:color="auto"/>
            <w:bottom w:val="none" w:sz="0" w:space="0" w:color="auto"/>
            <w:right w:val="none" w:sz="0" w:space="0" w:color="auto"/>
          </w:divBdr>
        </w:div>
        <w:div w:id="1666125436">
          <w:marLeft w:val="446"/>
          <w:marRight w:val="0"/>
          <w:marTop w:val="0"/>
          <w:marBottom w:val="101"/>
          <w:divBdr>
            <w:top w:val="none" w:sz="0" w:space="0" w:color="auto"/>
            <w:left w:val="none" w:sz="0" w:space="0" w:color="auto"/>
            <w:bottom w:val="none" w:sz="0" w:space="0" w:color="auto"/>
            <w:right w:val="none" w:sz="0" w:space="0" w:color="auto"/>
          </w:divBdr>
        </w:div>
        <w:div w:id="1099372462">
          <w:marLeft w:val="82"/>
          <w:marRight w:val="0"/>
          <w:marTop w:val="0"/>
          <w:marBottom w:val="20"/>
          <w:divBdr>
            <w:top w:val="none" w:sz="0" w:space="0" w:color="auto"/>
            <w:left w:val="none" w:sz="0" w:space="0" w:color="auto"/>
            <w:bottom w:val="none" w:sz="0" w:space="0" w:color="auto"/>
            <w:right w:val="none" w:sz="0" w:space="0" w:color="auto"/>
          </w:divBdr>
        </w:div>
        <w:div w:id="1824272974">
          <w:marLeft w:val="0"/>
          <w:marRight w:val="0"/>
          <w:marTop w:val="0"/>
          <w:marBottom w:val="20"/>
          <w:divBdr>
            <w:top w:val="none" w:sz="0" w:space="0" w:color="auto"/>
            <w:left w:val="none" w:sz="0" w:space="0" w:color="auto"/>
            <w:bottom w:val="none" w:sz="0" w:space="0" w:color="auto"/>
            <w:right w:val="none" w:sz="0" w:space="0" w:color="auto"/>
          </w:divBdr>
        </w:div>
        <w:div w:id="2013793896">
          <w:marLeft w:val="0"/>
          <w:marRight w:val="0"/>
          <w:marTop w:val="0"/>
          <w:marBottom w:val="20"/>
          <w:divBdr>
            <w:top w:val="none" w:sz="0" w:space="0" w:color="auto"/>
            <w:left w:val="none" w:sz="0" w:space="0" w:color="auto"/>
            <w:bottom w:val="none" w:sz="0" w:space="0" w:color="auto"/>
            <w:right w:val="none" w:sz="0" w:space="0" w:color="auto"/>
          </w:divBdr>
        </w:div>
        <w:div w:id="895043873">
          <w:marLeft w:val="0"/>
          <w:marRight w:val="0"/>
          <w:marTop w:val="0"/>
          <w:marBottom w:val="20"/>
          <w:divBdr>
            <w:top w:val="none" w:sz="0" w:space="0" w:color="auto"/>
            <w:left w:val="none" w:sz="0" w:space="0" w:color="auto"/>
            <w:bottom w:val="none" w:sz="0" w:space="0" w:color="auto"/>
            <w:right w:val="none" w:sz="0" w:space="0" w:color="auto"/>
          </w:divBdr>
        </w:div>
        <w:div w:id="395664906">
          <w:marLeft w:val="0"/>
          <w:marRight w:val="0"/>
          <w:marTop w:val="0"/>
          <w:marBottom w:val="20"/>
          <w:divBdr>
            <w:top w:val="none" w:sz="0" w:space="0" w:color="auto"/>
            <w:left w:val="none" w:sz="0" w:space="0" w:color="auto"/>
            <w:bottom w:val="none" w:sz="0" w:space="0" w:color="auto"/>
            <w:right w:val="none" w:sz="0" w:space="0" w:color="auto"/>
          </w:divBdr>
        </w:div>
        <w:div w:id="1266621774">
          <w:marLeft w:val="0"/>
          <w:marRight w:val="0"/>
          <w:marTop w:val="0"/>
          <w:marBottom w:val="20"/>
          <w:divBdr>
            <w:top w:val="none" w:sz="0" w:space="0" w:color="auto"/>
            <w:left w:val="none" w:sz="0" w:space="0" w:color="auto"/>
            <w:bottom w:val="none" w:sz="0" w:space="0" w:color="auto"/>
            <w:right w:val="none" w:sz="0" w:space="0" w:color="auto"/>
          </w:divBdr>
        </w:div>
        <w:div w:id="1350176320">
          <w:marLeft w:val="0"/>
          <w:marRight w:val="0"/>
          <w:marTop w:val="0"/>
          <w:marBottom w:val="20"/>
          <w:divBdr>
            <w:top w:val="none" w:sz="0" w:space="0" w:color="auto"/>
            <w:left w:val="none" w:sz="0" w:space="0" w:color="auto"/>
            <w:bottom w:val="none" w:sz="0" w:space="0" w:color="auto"/>
            <w:right w:val="none" w:sz="0" w:space="0" w:color="auto"/>
          </w:divBdr>
        </w:div>
        <w:div w:id="810711789">
          <w:marLeft w:val="0"/>
          <w:marRight w:val="0"/>
          <w:marTop w:val="0"/>
          <w:marBottom w:val="20"/>
          <w:divBdr>
            <w:top w:val="none" w:sz="0" w:space="0" w:color="auto"/>
            <w:left w:val="none" w:sz="0" w:space="0" w:color="auto"/>
            <w:bottom w:val="none" w:sz="0" w:space="0" w:color="auto"/>
            <w:right w:val="none" w:sz="0" w:space="0" w:color="auto"/>
          </w:divBdr>
        </w:div>
        <w:div w:id="255748365">
          <w:marLeft w:val="0"/>
          <w:marRight w:val="0"/>
          <w:marTop w:val="0"/>
          <w:marBottom w:val="20"/>
          <w:divBdr>
            <w:top w:val="none" w:sz="0" w:space="0" w:color="auto"/>
            <w:left w:val="none" w:sz="0" w:space="0" w:color="auto"/>
            <w:bottom w:val="none" w:sz="0" w:space="0" w:color="auto"/>
            <w:right w:val="none" w:sz="0" w:space="0" w:color="auto"/>
          </w:divBdr>
        </w:div>
        <w:div w:id="1208294435">
          <w:marLeft w:val="0"/>
          <w:marRight w:val="0"/>
          <w:marTop w:val="0"/>
          <w:marBottom w:val="20"/>
          <w:divBdr>
            <w:top w:val="none" w:sz="0" w:space="0" w:color="auto"/>
            <w:left w:val="none" w:sz="0" w:space="0" w:color="auto"/>
            <w:bottom w:val="none" w:sz="0" w:space="0" w:color="auto"/>
            <w:right w:val="none" w:sz="0" w:space="0" w:color="auto"/>
          </w:divBdr>
        </w:div>
        <w:div w:id="2026905868">
          <w:marLeft w:val="216"/>
          <w:marRight w:val="0"/>
          <w:marTop w:val="0"/>
          <w:marBottom w:val="20"/>
          <w:divBdr>
            <w:top w:val="none" w:sz="0" w:space="0" w:color="auto"/>
            <w:left w:val="none" w:sz="0" w:space="0" w:color="auto"/>
            <w:bottom w:val="none" w:sz="0" w:space="0" w:color="auto"/>
            <w:right w:val="none" w:sz="0" w:space="0" w:color="auto"/>
          </w:divBdr>
        </w:div>
        <w:div w:id="1458985848">
          <w:marLeft w:val="0"/>
          <w:marRight w:val="0"/>
          <w:marTop w:val="0"/>
          <w:marBottom w:val="20"/>
          <w:divBdr>
            <w:top w:val="none" w:sz="0" w:space="0" w:color="auto"/>
            <w:left w:val="none" w:sz="0" w:space="0" w:color="auto"/>
            <w:bottom w:val="none" w:sz="0" w:space="0" w:color="auto"/>
            <w:right w:val="none" w:sz="0" w:space="0" w:color="auto"/>
          </w:divBdr>
        </w:div>
        <w:div w:id="501433882">
          <w:marLeft w:val="216"/>
          <w:marRight w:val="0"/>
          <w:marTop w:val="0"/>
          <w:marBottom w:val="20"/>
          <w:divBdr>
            <w:top w:val="none" w:sz="0" w:space="0" w:color="auto"/>
            <w:left w:val="none" w:sz="0" w:space="0" w:color="auto"/>
            <w:bottom w:val="none" w:sz="0" w:space="0" w:color="auto"/>
            <w:right w:val="none" w:sz="0" w:space="0" w:color="auto"/>
          </w:divBdr>
        </w:div>
        <w:div w:id="1923563514">
          <w:marLeft w:val="0"/>
          <w:marRight w:val="0"/>
          <w:marTop w:val="0"/>
          <w:marBottom w:val="20"/>
          <w:divBdr>
            <w:top w:val="none" w:sz="0" w:space="0" w:color="auto"/>
            <w:left w:val="none" w:sz="0" w:space="0" w:color="auto"/>
            <w:bottom w:val="none" w:sz="0" w:space="0" w:color="auto"/>
            <w:right w:val="none" w:sz="0" w:space="0" w:color="auto"/>
          </w:divBdr>
        </w:div>
        <w:div w:id="1672875433">
          <w:marLeft w:val="216"/>
          <w:marRight w:val="0"/>
          <w:marTop w:val="0"/>
          <w:marBottom w:val="20"/>
          <w:divBdr>
            <w:top w:val="none" w:sz="0" w:space="0" w:color="auto"/>
            <w:left w:val="none" w:sz="0" w:space="0" w:color="auto"/>
            <w:bottom w:val="none" w:sz="0" w:space="0" w:color="auto"/>
            <w:right w:val="none" w:sz="0" w:space="0" w:color="auto"/>
          </w:divBdr>
        </w:div>
        <w:div w:id="664092337">
          <w:marLeft w:val="0"/>
          <w:marRight w:val="0"/>
          <w:marTop w:val="0"/>
          <w:marBottom w:val="20"/>
          <w:divBdr>
            <w:top w:val="none" w:sz="0" w:space="0" w:color="auto"/>
            <w:left w:val="none" w:sz="0" w:space="0" w:color="auto"/>
            <w:bottom w:val="none" w:sz="0" w:space="0" w:color="auto"/>
            <w:right w:val="none" w:sz="0" w:space="0" w:color="auto"/>
          </w:divBdr>
        </w:div>
        <w:div w:id="538130406">
          <w:marLeft w:val="0"/>
          <w:marRight w:val="0"/>
          <w:marTop w:val="0"/>
          <w:marBottom w:val="20"/>
          <w:divBdr>
            <w:top w:val="none" w:sz="0" w:space="0" w:color="auto"/>
            <w:left w:val="none" w:sz="0" w:space="0" w:color="auto"/>
            <w:bottom w:val="none" w:sz="0" w:space="0" w:color="auto"/>
            <w:right w:val="none" w:sz="0" w:space="0" w:color="auto"/>
          </w:divBdr>
        </w:div>
        <w:div w:id="2069957343">
          <w:marLeft w:val="0"/>
          <w:marRight w:val="0"/>
          <w:marTop w:val="0"/>
          <w:marBottom w:val="20"/>
          <w:divBdr>
            <w:top w:val="none" w:sz="0" w:space="0" w:color="auto"/>
            <w:left w:val="none" w:sz="0" w:space="0" w:color="auto"/>
            <w:bottom w:val="none" w:sz="0" w:space="0" w:color="auto"/>
            <w:right w:val="none" w:sz="0" w:space="0" w:color="auto"/>
          </w:divBdr>
        </w:div>
        <w:div w:id="257912197">
          <w:marLeft w:val="0"/>
          <w:marRight w:val="0"/>
          <w:marTop w:val="0"/>
          <w:marBottom w:val="20"/>
          <w:divBdr>
            <w:top w:val="none" w:sz="0" w:space="0" w:color="auto"/>
            <w:left w:val="none" w:sz="0" w:space="0" w:color="auto"/>
            <w:bottom w:val="none" w:sz="0" w:space="0" w:color="auto"/>
            <w:right w:val="none" w:sz="0" w:space="0" w:color="auto"/>
          </w:divBdr>
        </w:div>
        <w:div w:id="934706329">
          <w:marLeft w:val="0"/>
          <w:marRight w:val="0"/>
          <w:marTop w:val="0"/>
          <w:marBottom w:val="20"/>
          <w:divBdr>
            <w:top w:val="none" w:sz="0" w:space="0" w:color="auto"/>
            <w:left w:val="none" w:sz="0" w:space="0" w:color="auto"/>
            <w:bottom w:val="none" w:sz="0" w:space="0" w:color="auto"/>
            <w:right w:val="none" w:sz="0" w:space="0" w:color="auto"/>
          </w:divBdr>
        </w:div>
        <w:div w:id="710156438">
          <w:marLeft w:val="0"/>
          <w:marRight w:val="0"/>
          <w:marTop w:val="0"/>
          <w:marBottom w:val="20"/>
          <w:divBdr>
            <w:top w:val="none" w:sz="0" w:space="0" w:color="auto"/>
            <w:left w:val="none" w:sz="0" w:space="0" w:color="auto"/>
            <w:bottom w:val="none" w:sz="0" w:space="0" w:color="auto"/>
            <w:right w:val="none" w:sz="0" w:space="0" w:color="auto"/>
          </w:divBdr>
        </w:div>
        <w:div w:id="759562342">
          <w:marLeft w:val="0"/>
          <w:marRight w:val="0"/>
          <w:marTop w:val="0"/>
          <w:marBottom w:val="20"/>
          <w:divBdr>
            <w:top w:val="none" w:sz="0" w:space="0" w:color="auto"/>
            <w:left w:val="none" w:sz="0" w:space="0" w:color="auto"/>
            <w:bottom w:val="none" w:sz="0" w:space="0" w:color="auto"/>
            <w:right w:val="none" w:sz="0" w:space="0" w:color="auto"/>
          </w:divBdr>
        </w:div>
        <w:div w:id="1678653845">
          <w:marLeft w:val="0"/>
          <w:marRight w:val="0"/>
          <w:marTop w:val="0"/>
          <w:marBottom w:val="20"/>
          <w:divBdr>
            <w:top w:val="none" w:sz="0" w:space="0" w:color="auto"/>
            <w:left w:val="none" w:sz="0" w:space="0" w:color="auto"/>
            <w:bottom w:val="none" w:sz="0" w:space="0" w:color="auto"/>
            <w:right w:val="none" w:sz="0" w:space="0" w:color="auto"/>
          </w:divBdr>
        </w:div>
        <w:div w:id="414743156">
          <w:marLeft w:val="0"/>
          <w:marRight w:val="0"/>
          <w:marTop w:val="0"/>
          <w:marBottom w:val="20"/>
          <w:divBdr>
            <w:top w:val="none" w:sz="0" w:space="0" w:color="auto"/>
            <w:left w:val="none" w:sz="0" w:space="0" w:color="auto"/>
            <w:bottom w:val="none" w:sz="0" w:space="0" w:color="auto"/>
            <w:right w:val="none" w:sz="0" w:space="0" w:color="auto"/>
          </w:divBdr>
        </w:div>
        <w:div w:id="1575159490">
          <w:marLeft w:val="216"/>
          <w:marRight w:val="0"/>
          <w:marTop w:val="0"/>
          <w:marBottom w:val="20"/>
          <w:divBdr>
            <w:top w:val="none" w:sz="0" w:space="0" w:color="auto"/>
            <w:left w:val="none" w:sz="0" w:space="0" w:color="auto"/>
            <w:bottom w:val="none" w:sz="0" w:space="0" w:color="auto"/>
            <w:right w:val="none" w:sz="0" w:space="0" w:color="auto"/>
          </w:divBdr>
        </w:div>
        <w:div w:id="1170565299">
          <w:marLeft w:val="0"/>
          <w:marRight w:val="0"/>
          <w:marTop w:val="0"/>
          <w:marBottom w:val="20"/>
          <w:divBdr>
            <w:top w:val="none" w:sz="0" w:space="0" w:color="auto"/>
            <w:left w:val="none" w:sz="0" w:space="0" w:color="auto"/>
            <w:bottom w:val="none" w:sz="0" w:space="0" w:color="auto"/>
            <w:right w:val="none" w:sz="0" w:space="0" w:color="auto"/>
          </w:divBdr>
        </w:div>
        <w:div w:id="941760252">
          <w:marLeft w:val="216"/>
          <w:marRight w:val="0"/>
          <w:marTop w:val="0"/>
          <w:marBottom w:val="20"/>
          <w:divBdr>
            <w:top w:val="none" w:sz="0" w:space="0" w:color="auto"/>
            <w:left w:val="none" w:sz="0" w:space="0" w:color="auto"/>
            <w:bottom w:val="none" w:sz="0" w:space="0" w:color="auto"/>
            <w:right w:val="none" w:sz="0" w:space="0" w:color="auto"/>
          </w:divBdr>
        </w:div>
        <w:div w:id="979262582">
          <w:marLeft w:val="0"/>
          <w:marRight w:val="0"/>
          <w:marTop w:val="0"/>
          <w:marBottom w:val="20"/>
          <w:divBdr>
            <w:top w:val="none" w:sz="0" w:space="0" w:color="auto"/>
            <w:left w:val="none" w:sz="0" w:space="0" w:color="auto"/>
            <w:bottom w:val="none" w:sz="0" w:space="0" w:color="auto"/>
            <w:right w:val="none" w:sz="0" w:space="0" w:color="auto"/>
          </w:divBdr>
        </w:div>
        <w:div w:id="1215392849">
          <w:marLeft w:val="0"/>
          <w:marRight w:val="0"/>
          <w:marTop w:val="0"/>
          <w:marBottom w:val="20"/>
          <w:divBdr>
            <w:top w:val="none" w:sz="0" w:space="0" w:color="auto"/>
            <w:left w:val="none" w:sz="0" w:space="0" w:color="auto"/>
            <w:bottom w:val="none" w:sz="0" w:space="0" w:color="auto"/>
            <w:right w:val="none" w:sz="0" w:space="0" w:color="auto"/>
          </w:divBdr>
        </w:div>
        <w:div w:id="357120988">
          <w:marLeft w:val="0"/>
          <w:marRight w:val="0"/>
          <w:marTop w:val="0"/>
          <w:marBottom w:val="20"/>
          <w:divBdr>
            <w:top w:val="none" w:sz="0" w:space="0" w:color="auto"/>
            <w:left w:val="none" w:sz="0" w:space="0" w:color="auto"/>
            <w:bottom w:val="none" w:sz="0" w:space="0" w:color="auto"/>
            <w:right w:val="none" w:sz="0" w:space="0" w:color="auto"/>
          </w:divBdr>
        </w:div>
        <w:div w:id="1887528702">
          <w:marLeft w:val="216"/>
          <w:marRight w:val="0"/>
          <w:marTop w:val="0"/>
          <w:marBottom w:val="20"/>
          <w:divBdr>
            <w:top w:val="none" w:sz="0" w:space="0" w:color="auto"/>
            <w:left w:val="none" w:sz="0" w:space="0" w:color="auto"/>
            <w:bottom w:val="none" w:sz="0" w:space="0" w:color="auto"/>
            <w:right w:val="none" w:sz="0" w:space="0" w:color="auto"/>
          </w:divBdr>
        </w:div>
        <w:div w:id="1406413795">
          <w:marLeft w:val="0"/>
          <w:marRight w:val="0"/>
          <w:marTop w:val="0"/>
          <w:marBottom w:val="20"/>
          <w:divBdr>
            <w:top w:val="none" w:sz="0" w:space="0" w:color="auto"/>
            <w:left w:val="none" w:sz="0" w:space="0" w:color="auto"/>
            <w:bottom w:val="none" w:sz="0" w:space="0" w:color="auto"/>
            <w:right w:val="none" w:sz="0" w:space="0" w:color="auto"/>
          </w:divBdr>
        </w:div>
        <w:div w:id="1259942809">
          <w:marLeft w:val="216"/>
          <w:marRight w:val="0"/>
          <w:marTop w:val="0"/>
          <w:marBottom w:val="20"/>
          <w:divBdr>
            <w:top w:val="none" w:sz="0" w:space="0" w:color="auto"/>
            <w:left w:val="none" w:sz="0" w:space="0" w:color="auto"/>
            <w:bottom w:val="none" w:sz="0" w:space="0" w:color="auto"/>
            <w:right w:val="none" w:sz="0" w:space="0" w:color="auto"/>
          </w:divBdr>
        </w:div>
        <w:div w:id="256641538">
          <w:marLeft w:val="0"/>
          <w:marRight w:val="0"/>
          <w:marTop w:val="0"/>
          <w:marBottom w:val="20"/>
          <w:divBdr>
            <w:top w:val="none" w:sz="0" w:space="0" w:color="auto"/>
            <w:left w:val="none" w:sz="0" w:space="0" w:color="auto"/>
            <w:bottom w:val="none" w:sz="0" w:space="0" w:color="auto"/>
            <w:right w:val="none" w:sz="0" w:space="0" w:color="auto"/>
          </w:divBdr>
        </w:div>
        <w:div w:id="2120369476">
          <w:marLeft w:val="0"/>
          <w:marRight w:val="0"/>
          <w:marTop w:val="0"/>
          <w:marBottom w:val="20"/>
          <w:divBdr>
            <w:top w:val="none" w:sz="0" w:space="0" w:color="auto"/>
            <w:left w:val="none" w:sz="0" w:space="0" w:color="auto"/>
            <w:bottom w:val="none" w:sz="0" w:space="0" w:color="auto"/>
            <w:right w:val="none" w:sz="0" w:space="0" w:color="auto"/>
          </w:divBdr>
        </w:div>
        <w:div w:id="1861163780">
          <w:marLeft w:val="0"/>
          <w:marRight w:val="0"/>
          <w:marTop w:val="0"/>
          <w:marBottom w:val="20"/>
          <w:divBdr>
            <w:top w:val="none" w:sz="0" w:space="0" w:color="auto"/>
            <w:left w:val="none" w:sz="0" w:space="0" w:color="auto"/>
            <w:bottom w:val="none" w:sz="0" w:space="0" w:color="auto"/>
            <w:right w:val="none" w:sz="0" w:space="0" w:color="auto"/>
          </w:divBdr>
        </w:div>
        <w:div w:id="1729918914">
          <w:marLeft w:val="216"/>
          <w:marRight w:val="0"/>
          <w:marTop w:val="0"/>
          <w:marBottom w:val="20"/>
          <w:divBdr>
            <w:top w:val="none" w:sz="0" w:space="0" w:color="auto"/>
            <w:left w:val="none" w:sz="0" w:space="0" w:color="auto"/>
            <w:bottom w:val="none" w:sz="0" w:space="0" w:color="auto"/>
            <w:right w:val="none" w:sz="0" w:space="0" w:color="auto"/>
          </w:divBdr>
        </w:div>
        <w:div w:id="2084600126">
          <w:marLeft w:val="0"/>
          <w:marRight w:val="0"/>
          <w:marTop w:val="0"/>
          <w:marBottom w:val="20"/>
          <w:divBdr>
            <w:top w:val="none" w:sz="0" w:space="0" w:color="auto"/>
            <w:left w:val="none" w:sz="0" w:space="0" w:color="auto"/>
            <w:bottom w:val="none" w:sz="0" w:space="0" w:color="auto"/>
            <w:right w:val="none" w:sz="0" w:space="0" w:color="auto"/>
          </w:divBdr>
        </w:div>
        <w:div w:id="1944846388">
          <w:marLeft w:val="216"/>
          <w:marRight w:val="0"/>
          <w:marTop w:val="0"/>
          <w:marBottom w:val="20"/>
          <w:divBdr>
            <w:top w:val="none" w:sz="0" w:space="0" w:color="auto"/>
            <w:left w:val="none" w:sz="0" w:space="0" w:color="auto"/>
            <w:bottom w:val="none" w:sz="0" w:space="0" w:color="auto"/>
            <w:right w:val="none" w:sz="0" w:space="0" w:color="auto"/>
          </w:divBdr>
        </w:div>
        <w:div w:id="1698266463">
          <w:marLeft w:val="0"/>
          <w:marRight w:val="0"/>
          <w:marTop w:val="0"/>
          <w:marBottom w:val="20"/>
          <w:divBdr>
            <w:top w:val="none" w:sz="0" w:space="0" w:color="auto"/>
            <w:left w:val="none" w:sz="0" w:space="0" w:color="auto"/>
            <w:bottom w:val="none" w:sz="0" w:space="0" w:color="auto"/>
            <w:right w:val="none" w:sz="0" w:space="0" w:color="auto"/>
          </w:divBdr>
        </w:div>
        <w:div w:id="1539271251">
          <w:marLeft w:val="0"/>
          <w:marRight w:val="0"/>
          <w:marTop w:val="0"/>
          <w:marBottom w:val="20"/>
          <w:divBdr>
            <w:top w:val="none" w:sz="0" w:space="0" w:color="auto"/>
            <w:left w:val="none" w:sz="0" w:space="0" w:color="auto"/>
            <w:bottom w:val="none" w:sz="0" w:space="0" w:color="auto"/>
            <w:right w:val="none" w:sz="0" w:space="0" w:color="auto"/>
          </w:divBdr>
        </w:div>
        <w:div w:id="177820643">
          <w:marLeft w:val="0"/>
          <w:marRight w:val="0"/>
          <w:marTop w:val="0"/>
          <w:marBottom w:val="20"/>
          <w:divBdr>
            <w:top w:val="none" w:sz="0" w:space="0" w:color="auto"/>
            <w:left w:val="none" w:sz="0" w:space="0" w:color="auto"/>
            <w:bottom w:val="none" w:sz="0" w:space="0" w:color="auto"/>
            <w:right w:val="none" w:sz="0" w:space="0" w:color="auto"/>
          </w:divBdr>
        </w:div>
        <w:div w:id="1260680583">
          <w:marLeft w:val="216"/>
          <w:marRight w:val="0"/>
          <w:marTop w:val="0"/>
          <w:marBottom w:val="20"/>
          <w:divBdr>
            <w:top w:val="none" w:sz="0" w:space="0" w:color="auto"/>
            <w:left w:val="none" w:sz="0" w:space="0" w:color="auto"/>
            <w:bottom w:val="none" w:sz="0" w:space="0" w:color="auto"/>
            <w:right w:val="none" w:sz="0" w:space="0" w:color="auto"/>
          </w:divBdr>
        </w:div>
        <w:div w:id="1758406097">
          <w:marLeft w:val="0"/>
          <w:marRight w:val="0"/>
          <w:marTop w:val="0"/>
          <w:marBottom w:val="20"/>
          <w:divBdr>
            <w:top w:val="none" w:sz="0" w:space="0" w:color="auto"/>
            <w:left w:val="none" w:sz="0" w:space="0" w:color="auto"/>
            <w:bottom w:val="none" w:sz="0" w:space="0" w:color="auto"/>
            <w:right w:val="none" w:sz="0" w:space="0" w:color="auto"/>
          </w:divBdr>
        </w:div>
        <w:div w:id="1627932395">
          <w:marLeft w:val="216"/>
          <w:marRight w:val="0"/>
          <w:marTop w:val="0"/>
          <w:marBottom w:val="20"/>
          <w:divBdr>
            <w:top w:val="none" w:sz="0" w:space="0" w:color="auto"/>
            <w:left w:val="none" w:sz="0" w:space="0" w:color="auto"/>
            <w:bottom w:val="none" w:sz="0" w:space="0" w:color="auto"/>
            <w:right w:val="none" w:sz="0" w:space="0" w:color="auto"/>
          </w:divBdr>
        </w:div>
        <w:div w:id="1281454600">
          <w:marLeft w:val="0"/>
          <w:marRight w:val="0"/>
          <w:marTop w:val="0"/>
          <w:marBottom w:val="20"/>
          <w:divBdr>
            <w:top w:val="none" w:sz="0" w:space="0" w:color="auto"/>
            <w:left w:val="none" w:sz="0" w:space="0" w:color="auto"/>
            <w:bottom w:val="none" w:sz="0" w:space="0" w:color="auto"/>
            <w:right w:val="none" w:sz="0" w:space="0" w:color="auto"/>
          </w:divBdr>
        </w:div>
        <w:div w:id="924801792">
          <w:marLeft w:val="0"/>
          <w:marRight w:val="0"/>
          <w:marTop w:val="0"/>
          <w:marBottom w:val="20"/>
          <w:divBdr>
            <w:top w:val="none" w:sz="0" w:space="0" w:color="auto"/>
            <w:left w:val="none" w:sz="0" w:space="0" w:color="auto"/>
            <w:bottom w:val="none" w:sz="0" w:space="0" w:color="auto"/>
            <w:right w:val="none" w:sz="0" w:space="0" w:color="auto"/>
          </w:divBdr>
        </w:div>
        <w:div w:id="818613079">
          <w:marLeft w:val="0"/>
          <w:marRight w:val="0"/>
          <w:marTop w:val="0"/>
          <w:marBottom w:val="20"/>
          <w:divBdr>
            <w:top w:val="none" w:sz="0" w:space="0" w:color="auto"/>
            <w:left w:val="none" w:sz="0" w:space="0" w:color="auto"/>
            <w:bottom w:val="none" w:sz="0" w:space="0" w:color="auto"/>
            <w:right w:val="none" w:sz="0" w:space="0" w:color="auto"/>
          </w:divBdr>
        </w:div>
        <w:div w:id="434592047">
          <w:marLeft w:val="0"/>
          <w:marRight w:val="0"/>
          <w:marTop w:val="0"/>
          <w:marBottom w:val="20"/>
          <w:divBdr>
            <w:top w:val="none" w:sz="0" w:space="0" w:color="auto"/>
            <w:left w:val="none" w:sz="0" w:space="0" w:color="auto"/>
            <w:bottom w:val="none" w:sz="0" w:space="0" w:color="auto"/>
            <w:right w:val="none" w:sz="0" w:space="0" w:color="auto"/>
          </w:divBdr>
        </w:div>
        <w:div w:id="1932815288">
          <w:marLeft w:val="0"/>
          <w:marRight w:val="0"/>
          <w:marTop w:val="0"/>
          <w:marBottom w:val="20"/>
          <w:divBdr>
            <w:top w:val="none" w:sz="0" w:space="0" w:color="auto"/>
            <w:left w:val="none" w:sz="0" w:space="0" w:color="auto"/>
            <w:bottom w:val="none" w:sz="0" w:space="0" w:color="auto"/>
            <w:right w:val="none" w:sz="0" w:space="0" w:color="auto"/>
          </w:divBdr>
        </w:div>
        <w:div w:id="687367497">
          <w:marLeft w:val="0"/>
          <w:marRight w:val="0"/>
          <w:marTop w:val="0"/>
          <w:marBottom w:val="20"/>
          <w:divBdr>
            <w:top w:val="none" w:sz="0" w:space="0" w:color="auto"/>
            <w:left w:val="none" w:sz="0" w:space="0" w:color="auto"/>
            <w:bottom w:val="none" w:sz="0" w:space="0" w:color="auto"/>
            <w:right w:val="none" w:sz="0" w:space="0" w:color="auto"/>
          </w:divBdr>
        </w:div>
        <w:div w:id="1047527890">
          <w:marLeft w:val="0"/>
          <w:marRight w:val="0"/>
          <w:marTop w:val="0"/>
          <w:marBottom w:val="20"/>
          <w:divBdr>
            <w:top w:val="none" w:sz="0" w:space="0" w:color="auto"/>
            <w:left w:val="none" w:sz="0" w:space="0" w:color="auto"/>
            <w:bottom w:val="none" w:sz="0" w:space="0" w:color="auto"/>
            <w:right w:val="none" w:sz="0" w:space="0" w:color="auto"/>
          </w:divBdr>
        </w:div>
        <w:div w:id="1806584103">
          <w:marLeft w:val="0"/>
          <w:marRight w:val="0"/>
          <w:marTop w:val="0"/>
          <w:marBottom w:val="20"/>
          <w:divBdr>
            <w:top w:val="none" w:sz="0" w:space="0" w:color="auto"/>
            <w:left w:val="none" w:sz="0" w:space="0" w:color="auto"/>
            <w:bottom w:val="none" w:sz="0" w:space="0" w:color="auto"/>
            <w:right w:val="none" w:sz="0" w:space="0" w:color="auto"/>
          </w:divBdr>
        </w:div>
        <w:div w:id="2117096606">
          <w:marLeft w:val="0"/>
          <w:marRight w:val="0"/>
          <w:marTop w:val="0"/>
          <w:marBottom w:val="20"/>
          <w:divBdr>
            <w:top w:val="none" w:sz="0" w:space="0" w:color="auto"/>
            <w:left w:val="none" w:sz="0" w:space="0" w:color="auto"/>
            <w:bottom w:val="none" w:sz="0" w:space="0" w:color="auto"/>
            <w:right w:val="none" w:sz="0" w:space="0" w:color="auto"/>
          </w:divBdr>
        </w:div>
        <w:div w:id="1164735837">
          <w:marLeft w:val="216"/>
          <w:marRight w:val="0"/>
          <w:marTop w:val="0"/>
          <w:marBottom w:val="20"/>
          <w:divBdr>
            <w:top w:val="none" w:sz="0" w:space="0" w:color="auto"/>
            <w:left w:val="none" w:sz="0" w:space="0" w:color="auto"/>
            <w:bottom w:val="none" w:sz="0" w:space="0" w:color="auto"/>
            <w:right w:val="none" w:sz="0" w:space="0" w:color="auto"/>
          </w:divBdr>
        </w:div>
        <w:div w:id="523636098">
          <w:marLeft w:val="0"/>
          <w:marRight w:val="0"/>
          <w:marTop w:val="0"/>
          <w:marBottom w:val="20"/>
          <w:divBdr>
            <w:top w:val="none" w:sz="0" w:space="0" w:color="auto"/>
            <w:left w:val="none" w:sz="0" w:space="0" w:color="auto"/>
            <w:bottom w:val="none" w:sz="0" w:space="0" w:color="auto"/>
            <w:right w:val="none" w:sz="0" w:space="0" w:color="auto"/>
          </w:divBdr>
        </w:div>
        <w:div w:id="914170776">
          <w:marLeft w:val="216"/>
          <w:marRight w:val="0"/>
          <w:marTop w:val="0"/>
          <w:marBottom w:val="20"/>
          <w:divBdr>
            <w:top w:val="none" w:sz="0" w:space="0" w:color="auto"/>
            <w:left w:val="none" w:sz="0" w:space="0" w:color="auto"/>
            <w:bottom w:val="none" w:sz="0" w:space="0" w:color="auto"/>
            <w:right w:val="none" w:sz="0" w:space="0" w:color="auto"/>
          </w:divBdr>
        </w:div>
        <w:div w:id="123815092">
          <w:marLeft w:val="0"/>
          <w:marRight w:val="0"/>
          <w:marTop w:val="0"/>
          <w:marBottom w:val="20"/>
          <w:divBdr>
            <w:top w:val="none" w:sz="0" w:space="0" w:color="auto"/>
            <w:left w:val="none" w:sz="0" w:space="0" w:color="auto"/>
            <w:bottom w:val="none" w:sz="0" w:space="0" w:color="auto"/>
            <w:right w:val="none" w:sz="0" w:space="0" w:color="auto"/>
          </w:divBdr>
        </w:div>
        <w:div w:id="1429616000">
          <w:marLeft w:val="216"/>
          <w:marRight w:val="0"/>
          <w:marTop w:val="0"/>
          <w:marBottom w:val="20"/>
          <w:divBdr>
            <w:top w:val="none" w:sz="0" w:space="0" w:color="auto"/>
            <w:left w:val="none" w:sz="0" w:space="0" w:color="auto"/>
            <w:bottom w:val="none" w:sz="0" w:space="0" w:color="auto"/>
            <w:right w:val="none" w:sz="0" w:space="0" w:color="auto"/>
          </w:divBdr>
        </w:div>
        <w:div w:id="297346431">
          <w:marLeft w:val="0"/>
          <w:marRight w:val="0"/>
          <w:marTop w:val="0"/>
          <w:marBottom w:val="20"/>
          <w:divBdr>
            <w:top w:val="none" w:sz="0" w:space="0" w:color="auto"/>
            <w:left w:val="none" w:sz="0" w:space="0" w:color="auto"/>
            <w:bottom w:val="none" w:sz="0" w:space="0" w:color="auto"/>
            <w:right w:val="none" w:sz="0" w:space="0" w:color="auto"/>
          </w:divBdr>
        </w:div>
        <w:div w:id="454563252">
          <w:marLeft w:val="216"/>
          <w:marRight w:val="0"/>
          <w:marTop w:val="0"/>
          <w:marBottom w:val="20"/>
          <w:divBdr>
            <w:top w:val="none" w:sz="0" w:space="0" w:color="auto"/>
            <w:left w:val="none" w:sz="0" w:space="0" w:color="auto"/>
            <w:bottom w:val="none" w:sz="0" w:space="0" w:color="auto"/>
            <w:right w:val="none" w:sz="0" w:space="0" w:color="auto"/>
          </w:divBdr>
        </w:div>
        <w:div w:id="945692550">
          <w:marLeft w:val="0"/>
          <w:marRight w:val="0"/>
          <w:marTop w:val="0"/>
          <w:marBottom w:val="20"/>
          <w:divBdr>
            <w:top w:val="none" w:sz="0" w:space="0" w:color="auto"/>
            <w:left w:val="none" w:sz="0" w:space="0" w:color="auto"/>
            <w:bottom w:val="none" w:sz="0" w:space="0" w:color="auto"/>
            <w:right w:val="none" w:sz="0" w:space="0" w:color="auto"/>
          </w:divBdr>
        </w:div>
        <w:div w:id="1579246102">
          <w:marLeft w:val="216"/>
          <w:marRight w:val="0"/>
          <w:marTop w:val="0"/>
          <w:marBottom w:val="20"/>
          <w:divBdr>
            <w:top w:val="none" w:sz="0" w:space="0" w:color="auto"/>
            <w:left w:val="none" w:sz="0" w:space="0" w:color="auto"/>
            <w:bottom w:val="none" w:sz="0" w:space="0" w:color="auto"/>
            <w:right w:val="none" w:sz="0" w:space="0" w:color="auto"/>
          </w:divBdr>
        </w:div>
        <w:div w:id="2017226508">
          <w:marLeft w:val="0"/>
          <w:marRight w:val="0"/>
          <w:marTop w:val="0"/>
          <w:marBottom w:val="20"/>
          <w:divBdr>
            <w:top w:val="none" w:sz="0" w:space="0" w:color="auto"/>
            <w:left w:val="none" w:sz="0" w:space="0" w:color="auto"/>
            <w:bottom w:val="none" w:sz="0" w:space="0" w:color="auto"/>
            <w:right w:val="none" w:sz="0" w:space="0" w:color="auto"/>
          </w:divBdr>
        </w:div>
        <w:div w:id="1017848701">
          <w:marLeft w:val="216"/>
          <w:marRight w:val="0"/>
          <w:marTop w:val="0"/>
          <w:marBottom w:val="20"/>
          <w:divBdr>
            <w:top w:val="none" w:sz="0" w:space="0" w:color="auto"/>
            <w:left w:val="none" w:sz="0" w:space="0" w:color="auto"/>
            <w:bottom w:val="none" w:sz="0" w:space="0" w:color="auto"/>
            <w:right w:val="none" w:sz="0" w:space="0" w:color="auto"/>
          </w:divBdr>
        </w:div>
        <w:div w:id="2028285042">
          <w:marLeft w:val="0"/>
          <w:marRight w:val="0"/>
          <w:marTop w:val="0"/>
          <w:marBottom w:val="20"/>
          <w:divBdr>
            <w:top w:val="none" w:sz="0" w:space="0" w:color="auto"/>
            <w:left w:val="none" w:sz="0" w:space="0" w:color="auto"/>
            <w:bottom w:val="none" w:sz="0" w:space="0" w:color="auto"/>
            <w:right w:val="none" w:sz="0" w:space="0" w:color="auto"/>
          </w:divBdr>
        </w:div>
        <w:div w:id="1023094694">
          <w:marLeft w:val="252"/>
          <w:marRight w:val="0"/>
          <w:marTop w:val="0"/>
          <w:marBottom w:val="101"/>
          <w:divBdr>
            <w:top w:val="none" w:sz="0" w:space="0" w:color="auto"/>
            <w:left w:val="none" w:sz="0" w:space="0" w:color="auto"/>
            <w:bottom w:val="none" w:sz="0" w:space="0" w:color="auto"/>
            <w:right w:val="none" w:sz="0" w:space="0" w:color="auto"/>
          </w:divBdr>
        </w:div>
        <w:div w:id="410080065">
          <w:marLeft w:val="0"/>
          <w:marRight w:val="0"/>
          <w:marTop w:val="0"/>
          <w:marBottom w:val="101"/>
          <w:divBdr>
            <w:top w:val="none" w:sz="0" w:space="0" w:color="auto"/>
            <w:left w:val="none" w:sz="0" w:space="0" w:color="auto"/>
            <w:bottom w:val="none" w:sz="0" w:space="0" w:color="auto"/>
            <w:right w:val="none" w:sz="0" w:space="0" w:color="auto"/>
          </w:divBdr>
        </w:div>
        <w:div w:id="2107191143">
          <w:marLeft w:val="0"/>
          <w:marRight w:val="0"/>
          <w:marTop w:val="0"/>
          <w:marBottom w:val="101"/>
          <w:divBdr>
            <w:top w:val="none" w:sz="0" w:space="0" w:color="auto"/>
            <w:left w:val="none" w:sz="0" w:space="0" w:color="auto"/>
            <w:bottom w:val="none" w:sz="0" w:space="0" w:color="auto"/>
            <w:right w:val="none" w:sz="0" w:space="0" w:color="auto"/>
          </w:divBdr>
        </w:div>
        <w:div w:id="661928799">
          <w:marLeft w:val="342"/>
          <w:marRight w:val="0"/>
          <w:marTop w:val="0"/>
          <w:marBottom w:val="101"/>
          <w:divBdr>
            <w:top w:val="none" w:sz="0" w:space="0" w:color="auto"/>
            <w:left w:val="none" w:sz="0" w:space="0" w:color="auto"/>
            <w:bottom w:val="none" w:sz="0" w:space="0" w:color="auto"/>
            <w:right w:val="none" w:sz="0" w:space="0" w:color="auto"/>
          </w:divBdr>
        </w:div>
        <w:div w:id="1251936055">
          <w:marLeft w:val="342"/>
          <w:marRight w:val="0"/>
          <w:marTop w:val="0"/>
          <w:marBottom w:val="101"/>
          <w:divBdr>
            <w:top w:val="none" w:sz="0" w:space="0" w:color="auto"/>
            <w:left w:val="none" w:sz="0" w:space="0" w:color="auto"/>
            <w:bottom w:val="none" w:sz="0" w:space="0" w:color="auto"/>
            <w:right w:val="none" w:sz="0" w:space="0" w:color="auto"/>
          </w:divBdr>
        </w:div>
        <w:div w:id="1424758994">
          <w:marLeft w:val="0"/>
          <w:marRight w:val="0"/>
          <w:marTop w:val="0"/>
          <w:marBottom w:val="101"/>
          <w:divBdr>
            <w:top w:val="none" w:sz="0" w:space="0" w:color="auto"/>
            <w:left w:val="none" w:sz="0" w:space="0" w:color="auto"/>
            <w:bottom w:val="none" w:sz="0" w:space="0" w:color="auto"/>
            <w:right w:val="none" w:sz="0" w:space="0" w:color="auto"/>
          </w:divBdr>
        </w:div>
        <w:div w:id="117183932">
          <w:marLeft w:val="0"/>
          <w:marRight w:val="0"/>
          <w:marTop w:val="0"/>
          <w:marBottom w:val="101"/>
          <w:divBdr>
            <w:top w:val="none" w:sz="0" w:space="0" w:color="auto"/>
            <w:left w:val="none" w:sz="0" w:space="0" w:color="auto"/>
            <w:bottom w:val="none" w:sz="0" w:space="0" w:color="auto"/>
            <w:right w:val="none" w:sz="0" w:space="0" w:color="auto"/>
          </w:divBdr>
        </w:div>
        <w:div w:id="668866253">
          <w:marLeft w:val="0"/>
          <w:marRight w:val="0"/>
          <w:marTop w:val="0"/>
          <w:marBottom w:val="101"/>
          <w:divBdr>
            <w:top w:val="none" w:sz="0" w:space="0" w:color="auto"/>
            <w:left w:val="none" w:sz="0" w:space="0" w:color="auto"/>
            <w:bottom w:val="none" w:sz="0" w:space="0" w:color="auto"/>
            <w:right w:val="none" w:sz="0" w:space="0" w:color="auto"/>
          </w:divBdr>
        </w:div>
        <w:div w:id="1505246611">
          <w:marLeft w:val="0"/>
          <w:marRight w:val="0"/>
          <w:marTop w:val="0"/>
          <w:marBottom w:val="200"/>
          <w:divBdr>
            <w:top w:val="none" w:sz="0" w:space="0" w:color="auto"/>
            <w:left w:val="none" w:sz="0" w:space="0" w:color="auto"/>
            <w:bottom w:val="none" w:sz="0" w:space="0" w:color="auto"/>
            <w:right w:val="none" w:sz="0" w:space="0" w:color="auto"/>
          </w:divBdr>
        </w:div>
        <w:div w:id="1212767720">
          <w:marLeft w:val="0"/>
          <w:marRight w:val="0"/>
          <w:marTop w:val="0"/>
          <w:marBottom w:val="101"/>
          <w:divBdr>
            <w:top w:val="none" w:sz="0" w:space="0" w:color="auto"/>
            <w:left w:val="none" w:sz="0" w:space="0" w:color="auto"/>
            <w:bottom w:val="none" w:sz="0" w:space="0" w:color="auto"/>
            <w:right w:val="none" w:sz="0" w:space="0" w:color="auto"/>
          </w:divBdr>
        </w:div>
        <w:div w:id="911737285">
          <w:marLeft w:val="130"/>
          <w:marRight w:val="0"/>
          <w:marTop w:val="0"/>
          <w:marBottom w:val="20"/>
          <w:divBdr>
            <w:top w:val="none" w:sz="0" w:space="0" w:color="auto"/>
            <w:left w:val="none" w:sz="0" w:space="0" w:color="auto"/>
            <w:bottom w:val="none" w:sz="0" w:space="0" w:color="auto"/>
            <w:right w:val="none" w:sz="0" w:space="0" w:color="auto"/>
          </w:divBdr>
        </w:div>
        <w:div w:id="2094009311">
          <w:marLeft w:val="0"/>
          <w:marRight w:val="0"/>
          <w:marTop w:val="20"/>
          <w:marBottom w:val="60"/>
          <w:divBdr>
            <w:top w:val="none" w:sz="0" w:space="0" w:color="auto"/>
            <w:left w:val="none" w:sz="0" w:space="0" w:color="auto"/>
            <w:bottom w:val="none" w:sz="0" w:space="0" w:color="auto"/>
            <w:right w:val="none" w:sz="0" w:space="0" w:color="auto"/>
          </w:divBdr>
        </w:div>
        <w:div w:id="63573822">
          <w:marLeft w:val="0"/>
          <w:marRight w:val="0"/>
          <w:marTop w:val="0"/>
          <w:marBottom w:val="20"/>
          <w:divBdr>
            <w:top w:val="none" w:sz="0" w:space="0" w:color="auto"/>
            <w:left w:val="none" w:sz="0" w:space="0" w:color="auto"/>
            <w:bottom w:val="none" w:sz="0" w:space="0" w:color="auto"/>
            <w:right w:val="none" w:sz="0" w:space="0" w:color="auto"/>
          </w:divBdr>
        </w:div>
        <w:div w:id="1574699238">
          <w:marLeft w:val="0"/>
          <w:marRight w:val="0"/>
          <w:marTop w:val="0"/>
          <w:marBottom w:val="20"/>
          <w:divBdr>
            <w:top w:val="none" w:sz="0" w:space="0" w:color="auto"/>
            <w:left w:val="none" w:sz="0" w:space="0" w:color="auto"/>
            <w:bottom w:val="none" w:sz="0" w:space="0" w:color="auto"/>
            <w:right w:val="none" w:sz="0" w:space="0" w:color="auto"/>
          </w:divBdr>
        </w:div>
        <w:div w:id="153451760">
          <w:marLeft w:val="666"/>
          <w:marRight w:val="0"/>
          <w:marTop w:val="0"/>
          <w:marBottom w:val="20"/>
          <w:divBdr>
            <w:top w:val="none" w:sz="0" w:space="0" w:color="auto"/>
            <w:left w:val="none" w:sz="0" w:space="0" w:color="auto"/>
            <w:bottom w:val="none" w:sz="0" w:space="0" w:color="auto"/>
            <w:right w:val="none" w:sz="0" w:space="0" w:color="auto"/>
          </w:divBdr>
        </w:div>
        <w:div w:id="548231158">
          <w:marLeft w:val="666"/>
          <w:marRight w:val="0"/>
          <w:marTop w:val="0"/>
          <w:marBottom w:val="20"/>
          <w:divBdr>
            <w:top w:val="none" w:sz="0" w:space="0" w:color="auto"/>
            <w:left w:val="none" w:sz="0" w:space="0" w:color="auto"/>
            <w:bottom w:val="none" w:sz="0" w:space="0" w:color="auto"/>
            <w:right w:val="none" w:sz="0" w:space="0" w:color="auto"/>
          </w:divBdr>
        </w:div>
        <w:div w:id="561985166">
          <w:marLeft w:val="0"/>
          <w:marRight w:val="0"/>
          <w:marTop w:val="20"/>
          <w:marBottom w:val="60"/>
          <w:divBdr>
            <w:top w:val="none" w:sz="0" w:space="0" w:color="auto"/>
            <w:left w:val="none" w:sz="0" w:space="0" w:color="auto"/>
            <w:bottom w:val="none" w:sz="0" w:space="0" w:color="auto"/>
            <w:right w:val="none" w:sz="0" w:space="0" w:color="auto"/>
          </w:divBdr>
        </w:div>
        <w:div w:id="7102535">
          <w:marLeft w:val="0"/>
          <w:marRight w:val="0"/>
          <w:marTop w:val="0"/>
          <w:marBottom w:val="20"/>
          <w:divBdr>
            <w:top w:val="none" w:sz="0" w:space="0" w:color="auto"/>
            <w:left w:val="none" w:sz="0" w:space="0" w:color="auto"/>
            <w:bottom w:val="none" w:sz="0" w:space="0" w:color="auto"/>
            <w:right w:val="none" w:sz="0" w:space="0" w:color="auto"/>
          </w:divBdr>
        </w:div>
        <w:div w:id="332495993">
          <w:marLeft w:val="0"/>
          <w:marRight w:val="0"/>
          <w:marTop w:val="0"/>
          <w:marBottom w:val="20"/>
          <w:divBdr>
            <w:top w:val="none" w:sz="0" w:space="0" w:color="auto"/>
            <w:left w:val="none" w:sz="0" w:space="0" w:color="auto"/>
            <w:bottom w:val="none" w:sz="0" w:space="0" w:color="auto"/>
            <w:right w:val="none" w:sz="0" w:space="0" w:color="auto"/>
          </w:divBdr>
        </w:div>
        <w:div w:id="1438599016">
          <w:marLeft w:val="666"/>
          <w:marRight w:val="0"/>
          <w:marTop w:val="0"/>
          <w:marBottom w:val="20"/>
          <w:divBdr>
            <w:top w:val="none" w:sz="0" w:space="0" w:color="auto"/>
            <w:left w:val="none" w:sz="0" w:space="0" w:color="auto"/>
            <w:bottom w:val="none" w:sz="0" w:space="0" w:color="auto"/>
            <w:right w:val="none" w:sz="0" w:space="0" w:color="auto"/>
          </w:divBdr>
        </w:div>
        <w:div w:id="116411425">
          <w:marLeft w:val="0"/>
          <w:marRight w:val="0"/>
          <w:marTop w:val="20"/>
          <w:marBottom w:val="60"/>
          <w:divBdr>
            <w:top w:val="none" w:sz="0" w:space="0" w:color="auto"/>
            <w:left w:val="none" w:sz="0" w:space="0" w:color="auto"/>
            <w:bottom w:val="none" w:sz="0" w:space="0" w:color="auto"/>
            <w:right w:val="none" w:sz="0" w:space="0" w:color="auto"/>
          </w:divBdr>
        </w:div>
        <w:div w:id="494303107">
          <w:marLeft w:val="0"/>
          <w:marRight w:val="0"/>
          <w:marTop w:val="0"/>
          <w:marBottom w:val="20"/>
          <w:divBdr>
            <w:top w:val="none" w:sz="0" w:space="0" w:color="auto"/>
            <w:left w:val="none" w:sz="0" w:space="0" w:color="auto"/>
            <w:bottom w:val="none" w:sz="0" w:space="0" w:color="auto"/>
            <w:right w:val="none" w:sz="0" w:space="0" w:color="auto"/>
          </w:divBdr>
        </w:div>
        <w:div w:id="1681154179">
          <w:marLeft w:val="0"/>
          <w:marRight w:val="0"/>
          <w:marTop w:val="0"/>
          <w:marBottom w:val="20"/>
          <w:divBdr>
            <w:top w:val="none" w:sz="0" w:space="0" w:color="auto"/>
            <w:left w:val="none" w:sz="0" w:space="0" w:color="auto"/>
            <w:bottom w:val="none" w:sz="0" w:space="0" w:color="auto"/>
            <w:right w:val="none" w:sz="0" w:space="0" w:color="auto"/>
          </w:divBdr>
        </w:div>
        <w:div w:id="799763470">
          <w:marLeft w:val="666"/>
          <w:marRight w:val="0"/>
          <w:marTop w:val="0"/>
          <w:marBottom w:val="20"/>
          <w:divBdr>
            <w:top w:val="none" w:sz="0" w:space="0" w:color="auto"/>
            <w:left w:val="none" w:sz="0" w:space="0" w:color="auto"/>
            <w:bottom w:val="none" w:sz="0" w:space="0" w:color="auto"/>
            <w:right w:val="none" w:sz="0" w:space="0" w:color="auto"/>
          </w:divBdr>
        </w:div>
        <w:div w:id="1926458298">
          <w:marLeft w:val="0"/>
          <w:marRight w:val="0"/>
          <w:marTop w:val="20"/>
          <w:marBottom w:val="60"/>
          <w:divBdr>
            <w:top w:val="none" w:sz="0" w:space="0" w:color="auto"/>
            <w:left w:val="none" w:sz="0" w:space="0" w:color="auto"/>
            <w:bottom w:val="none" w:sz="0" w:space="0" w:color="auto"/>
            <w:right w:val="none" w:sz="0" w:space="0" w:color="auto"/>
          </w:divBdr>
        </w:div>
        <w:div w:id="1994332568">
          <w:marLeft w:val="0"/>
          <w:marRight w:val="0"/>
          <w:marTop w:val="0"/>
          <w:marBottom w:val="20"/>
          <w:divBdr>
            <w:top w:val="none" w:sz="0" w:space="0" w:color="auto"/>
            <w:left w:val="none" w:sz="0" w:space="0" w:color="auto"/>
            <w:bottom w:val="none" w:sz="0" w:space="0" w:color="auto"/>
            <w:right w:val="none" w:sz="0" w:space="0" w:color="auto"/>
          </w:divBdr>
        </w:div>
        <w:div w:id="327095233">
          <w:marLeft w:val="0"/>
          <w:marRight w:val="0"/>
          <w:marTop w:val="0"/>
          <w:marBottom w:val="20"/>
          <w:divBdr>
            <w:top w:val="none" w:sz="0" w:space="0" w:color="auto"/>
            <w:left w:val="none" w:sz="0" w:space="0" w:color="auto"/>
            <w:bottom w:val="none" w:sz="0" w:space="0" w:color="auto"/>
            <w:right w:val="none" w:sz="0" w:space="0" w:color="auto"/>
          </w:divBdr>
        </w:div>
        <w:div w:id="401492028">
          <w:marLeft w:val="0"/>
          <w:marRight w:val="0"/>
          <w:marTop w:val="0"/>
          <w:marBottom w:val="200"/>
          <w:divBdr>
            <w:top w:val="none" w:sz="0" w:space="0" w:color="auto"/>
            <w:left w:val="none" w:sz="0" w:space="0" w:color="auto"/>
            <w:bottom w:val="none" w:sz="0" w:space="0" w:color="auto"/>
            <w:right w:val="none" w:sz="0" w:space="0" w:color="auto"/>
          </w:divBdr>
        </w:div>
        <w:div w:id="96945664">
          <w:marLeft w:val="216"/>
          <w:marRight w:val="0"/>
          <w:marTop w:val="0"/>
          <w:marBottom w:val="20"/>
          <w:divBdr>
            <w:top w:val="none" w:sz="0" w:space="0" w:color="auto"/>
            <w:left w:val="none" w:sz="0" w:space="0" w:color="auto"/>
            <w:bottom w:val="none" w:sz="0" w:space="0" w:color="auto"/>
            <w:right w:val="none" w:sz="0" w:space="0" w:color="auto"/>
          </w:divBdr>
        </w:div>
        <w:div w:id="2050185160">
          <w:marLeft w:val="216"/>
          <w:marRight w:val="0"/>
          <w:marTop w:val="0"/>
          <w:marBottom w:val="20"/>
          <w:divBdr>
            <w:top w:val="none" w:sz="0" w:space="0" w:color="auto"/>
            <w:left w:val="none" w:sz="0" w:space="0" w:color="auto"/>
            <w:bottom w:val="none" w:sz="0" w:space="0" w:color="auto"/>
            <w:right w:val="none" w:sz="0" w:space="0" w:color="auto"/>
          </w:divBdr>
        </w:div>
        <w:div w:id="663626891">
          <w:marLeft w:val="216"/>
          <w:marRight w:val="0"/>
          <w:marTop w:val="0"/>
          <w:marBottom w:val="20"/>
          <w:divBdr>
            <w:top w:val="none" w:sz="0" w:space="0" w:color="auto"/>
            <w:left w:val="none" w:sz="0" w:space="0" w:color="auto"/>
            <w:bottom w:val="none" w:sz="0" w:space="0" w:color="auto"/>
            <w:right w:val="none" w:sz="0" w:space="0" w:color="auto"/>
          </w:divBdr>
        </w:div>
        <w:div w:id="1968659198">
          <w:marLeft w:val="216"/>
          <w:marRight w:val="0"/>
          <w:marTop w:val="0"/>
          <w:marBottom w:val="20"/>
          <w:divBdr>
            <w:top w:val="none" w:sz="0" w:space="0" w:color="auto"/>
            <w:left w:val="none" w:sz="0" w:space="0" w:color="auto"/>
            <w:bottom w:val="none" w:sz="0" w:space="0" w:color="auto"/>
            <w:right w:val="none" w:sz="0" w:space="0" w:color="auto"/>
          </w:divBdr>
        </w:div>
        <w:div w:id="1667443253">
          <w:marLeft w:val="0"/>
          <w:marRight w:val="0"/>
          <w:marTop w:val="0"/>
          <w:marBottom w:val="20"/>
          <w:divBdr>
            <w:top w:val="none" w:sz="0" w:space="0" w:color="auto"/>
            <w:left w:val="none" w:sz="0" w:space="0" w:color="auto"/>
            <w:bottom w:val="none" w:sz="0" w:space="0" w:color="auto"/>
            <w:right w:val="none" w:sz="0" w:space="0" w:color="auto"/>
          </w:divBdr>
        </w:div>
        <w:div w:id="1242955818">
          <w:marLeft w:val="0"/>
          <w:marRight w:val="0"/>
          <w:marTop w:val="0"/>
          <w:marBottom w:val="20"/>
          <w:divBdr>
            <w:top w:val="none" w:sz="0" w:space="0" w:color="auto"/>
            <w:left w:val="none" w:sz="0" w:space="0" w:color="auto"/>
            <w:bottom w:val="none" w:sz="0" w:space="0" w:color="auto"/>
            <w:right w:val="none" w:sz="0" w:space="0" w:color="auto"/>
          </w:divBdr>
        </w:div>
        <w:div w:id="1689258520">
          <w:marLeft w:val="0"/>
          <w:marRight w:val="0"/>
          <w:marTop w:val="0"/>
          <w:marBottom w:val="20"/>
          <w:divBdr>
            <w:top w:val="none" w:sz="0" w:space="0" w:color="auto"/>
            <w:left w:val="none" w:sz="0" w:space="0" w:color="auto"/>
            <w:bottom w:val="none" w:sz="0" w:space="0" w:color="auto"/>
            <w:right w:val="none" w:sz="0" w:space="0" w:color="auto"/>
          </w:divBdr>
        </w:div>
        <w:div w:id="1047530263">
          <w:marLeft w:val="0"/>
          <w:marRight w:val="0"/>
          <w:marTop w:val="0"/>
          <w:marBottom w:val="20"/>
          <w:divBdr>
            <w:top w:val="none" w:sz="0" w:space="0" w:color="auto"/>
            <w:left w:val="none" w:sz="0" w:space="0" w:color="auto"/>
            <w:bottom w:val="none" w:sz="0" w:space="0" w:color="auto"/>
            <w:right w:val="none" w:sz="0" w:space="0" w:color="auto"/>
          </w:divBdr>
        </w:div>
        <w:div w:id="2045058510">
          <w:marLeft w:val="126"/>
          <w:marRight w:val="0"/>
          <w:marTop w:val="0"/>
          <w:marBottom w:val="20"/>
          <w:divBdr>
            <w:top w:val="none" w:sz="0" w:space="0" w:color="auto"/>
            <w:left w:val="none" w:sz="0" w:space="0" w:color="auto"/>
            <w:bottom w:val="none" w:sz="0" w:space="0" w:color="auto"/>
            <w:right w:val="none" w:sz="0" w:space="0" w:color="auto"/>
          </w:divBdr>
        </w:div>
        <w:div w:id="131993207">
          <w:marLeft w:val="130"/>
          <w:marRight w:val="0"/>
          <w:marTop w:val="0"/>
          <w:marBottom w:val="20"/>
          <w:divBdr>
            <w:top w:val="none" w:sz="0" w:space="0" w:color="auto"/>
            <w:left w:val="none" w:sz="0" w:space="0" w:color="auto"/>
            <w:bottom w:val="none" w:sz="0" w:space="0" w:color="auto"/>
            <w:right w:val="none" w:sz="0" w:space="0" w:color="auto"/>
          </w:divBdr>
        </w:div>
        <w:div w:id="15085574">
          <w:marLeft w:val="130"/>
          <w:marRight w:val="0"/>
          <w:marTop w:val="0"/>
          <w:marBottom w:val="20"/>
          <w:divBdr>
            <w:top w:val="none" w:sz="0" w:space="0" w:color="auto"/>
            <w:left w:val="none" w:sz="0" w:space="0" w:color="auto"/>
            <w:bottom w:val="none" w:sz="0" w:space="0" w:color="auto"/>
            <w:right w:val="none" w:sz="0" w:space="0" w:color="auto"/>
          </w:divBdr>
        </w:div>
        <w:div w:id="1874491195">
          <w:marLeft w:val="130"/>
          <w:marRight w:val="0"/>
          <w:marTop w:val="0"/>
          <w:marBottom w:val="20"/>
          <w:divBdr>
            <w:top w:val="none" w:sz="0" w:space="0" w:color="auto"/>
            <w:left w:val="none" w:sz="0" w:space="0" w:color="auto"/>
            <w:bottom w:val="none" w:sz="0" w:space="0" w:color="auto"/>
            <w:right w:val="none" w:sz="0" w:space="0" w:color="auto"/>
          </w:divBdr>
        </w:div>
        <w:div w:id="952246774">
          <w:marLeft w:val="130"/>
          <w:marRight w:val="0"/>
          <w:marTop w:val="0"/>
          <w:marBottom w:val="20"/>
          <w:divBdr>
            <w:top w:val="none" w:sz="0" w:space="0" w:color="auto"/>
            <w:left w:val="none" w:sz="0" w:space="0" w:color="auto"/>
            <w:bottom w:val="none" w:sz="0" w:space="0" w:color="auto"/>
            <w:right w:val="none" w:sz="0" w:space="0" w:color="auto"/>
          </w:divBdr>
        </w:div>
        <w:div w:id="1558972682">
          <w:marLeft w:val="130"/>
          <w:marRight w:val="0"/>
          <w:marTop w:val="0"/>
          <w:marBottom w:val="20"/>
          <w:divBdr>
            <w:top w:val="none" w:sz="0" w:space="0" w:color="auto"/>
            <w:left w:val="none" w:sz="0" w:space="0" w:color="auto"/>
            <w:bottom w:val="none" w:sz="0" w:space="0" w:color="auto"/>
            <w:right w:val="none" w:sz="0" w:space="0" w:color="auto"/>
          </w:divBdr>
        </w:div>
        <w:div w:id="1009019104">
          <w:marLeft w:val="130"/>
          <w:marRight w:val="0"/>
          <w:marTop w:val="0"/>
          <w:marBottom w:val="20"/>
          <w:divBdr>
            <w:top w:val="none" w:sz="0" w:space="0" w:color="auto"/>
            <w:left w:val="none" w:sz="0" w:space="0" w:color="auto"/>
            <w:bottom w:val="none" w:sz="0" w:space="0" w:color="auto"/>
            <w:right w:val="none" w:sz="0" w:space="0" w:color="auto"/>
          </w:divBdr>
        </w:div>
        <w:div w:id="2130782458">
          <w:marLeft w:val="130"/>
          <w:marRight w:val="0"/>
          <w:marTop w:val="0"/>
          <w:marBottom w:val="20"/>
          <w:divBdr>
            <w:top w:val="none" w:sz="0" w:space="0" w:color="auto"/>
            <w:left w:val="none" w:sz="0" w:space="0" w:color="auto"/>
            <w:bottom w:val="none" w:sz="0" w:space="0" w:color="auto"/>
            <w:right w:val="none" w:sz="0" w:space="0" w:color="auto"/>
          </w:divBdr>
        </w:div>
        <w:div w:id="52975004">
          <w:marLeft w:val="130"/>
          <w:marRight w:val="0"/>
          <w:marTop w:val="0"/>
          <w:marBottom w:val="20"/>
          <w:divBdr>
            <w:top w:val="none" w:sz="0" w:space="0" w:color="auto"/>
            <w:left w:val="none" w:sz="0" w:space="0" w:color="auto"/>
            <w:bottom w:val="none" w:sz="0" w:space="0" w:color="auto"/>
            <w:right w:val="none" w:sz="0" w:space="0" w:color="auto"/>
          </w:divBdr>
        </w:div>
        <w:div w:id="1169246636">
          <w:marLeft w:val="0"/>
          <w:marRight w:val="0"/>
          <w:marTop w:val="0"/>
          <w:marBottom w:val="101"/>
          <w:divBdr>
            <w:top w:val="none" w:sz="0" w:space="0" w:color="auto"/>
            <w:left w:val="none" w:sz="0" w:space="0" w:color="auto"/>
            <w:bottom w:val="none" w:sz="0" w:space="0" w:color="auto"/>
            <w:right w:val="none" w:sz="0" w:space="0" w:color="auto"/>
          </w:divBdr>
        </w:div>
        <w:div w:id="1922442763">
          <w:marLeft w:val="130"/>
          <w:marRight w:val="0"/>
          <w:marTop w:val="60"/>
          <w:marBottom w:val="101"/>
          <w:divBdr>
            <w:top w:val="none" w:sz="0" w:space="0" w:color="auto"/>
            <w:left w:val="none" w:sz="0" w:space="0" w:color="auto"/>
            <w:bottom w:val="none" w:sz="0" w:space="0" w:color="auto"/>
            <w:right w:val="none" w:sz="0" w:space="0" w:color="auto"/>
          </w:divBdr>
        </w:div>
        <w:div w:id="2036416941">
          <w:marLeft w:val="130"/>
          <w:marRight w:val="0"/>
          <w:marTop w:val="60"/>
          <w:marBottom w:val="101"/>
          <w:divBdr>
            <w:top w:val="none" w:sz="0" w:space="0" w:color="auto"/>
            <w:left w:val="none" w:sz="0" w:space="0" w:color="auto"/>
            <w:bottom w:val="none" w:sz="0" w:space="0" w:color="auto"/>
            <w:right w:val="none" w:sz="0" w:space="0" w:color="auto"/>
          </w:divBdr>
        </w:div>
        <w:div w:id="549457560">
          <w:marLeft w:val="130"/>
          <w:marRight w:val="0"/>
          <w:marTop w:val="60"/>
          <w:marBottom w:val="101"/>
          <w:divBdr>
            <w:top w:val="none" w:sz="0" w:space="0" w:color="auto"/>
            <w:left w:val="none" w:sz="0" w:space="0" w:color="auto"/>
            <w:bottom w:val="none" w:sz="0" w:space="0" w:color="auto"/>
            <w:right w:val="none" w:sz="0" w:space="0" w:color="auto"/>
          </w:divBdr>
        </w:div>
        <w:div w:id="1695571081">
          <w:marLeft w:val="130"/>
          <w:marRight w:val="0"/>
          <w:marTop w:val="60"/>
          <w:marBottom w:val="101"/>
          <w:divBdr>
            <w:top w:val="none" w:sz="0" w:space="0" w:color="auto"/>
            <w:left w:val="none" w:sz="0" w:space="0" w:color="auto"/>
            <w:bottom w:val="none" w:sz="0" w:space="0" w:color="auto"/>
            <w:right w:val="none" w:sz="0" w:space="0" w:color="auto"/>
          </w:divBdr>
        </w:div>
        <w:div w:id="1352796936">
          <w:marLeft w:val="0"/>
          <w:marRight w:val="0"/>
          <w:marTop w:val="0"/>
          <w:marBottom w:val="200"/>
          <w:divBdr>
            <w:top w:val="none" w:sz="0" w:space="0" w:color="auto"/>
            <w:left w:val="none" w:sz="0" w:space="0" w:color="auto"/>
            <w:bottom w:val="none" w:sz="0" w:space="0" w:color="auto"/>
            <w:right w:val="none" w:sz="0" w:space="0" w:color="auto"/>
          </w:divBdr>
        </w:div>
        <w:div w:id="1185291249">
          <w:marLeft w:val="130"/>
          <w:marRight w:val="0"/>
          <w:marTop w:val="60"/>
          <w:marBottom w:val="101"/>
          <w:divBdr>
            <w:top w:val="none" w:sz="0" w:space="0" w:color="auto"/>
            <w:left w:val="none" w:sz="0" w:space="0" w:color="auto"/>
            <w:bottom w:val="none" w:sz="0" w:space="0" w:color="auto"/>
            <w:right w:val="none" w:sz="0" w:space="0" w:color="auto"/>
          </w:divBdr>
        </w:div>
        <w:div w:id="252662475">
          <w:marLeft w:val="130"/>
          <w:marRight w:val="0"/>
          <w:marTop w:val="60"/>
          <w:marBottom w:val="101"/>
          <w:divBdr>
            <w:top w:val="none" w:sz="0" w:space="0" w:color="auto"/>
            <w:left w:val="none" w:sz="0" w:space="0" w:color="auto"/>
            <w:bottom w:val="none" w:sz="0" w:space="0" w:color="auto"/>
            <w:right w:val="none" w:sz="0" w:space="0" w:color="auto"/>
          </w:divBdr>
        </w:div>
        <w:div w:id="1725327056">
          <w:marLeft w:val="130"/>
          <w:marRight w:val="0"/>
          <w:marTop w:val="60"/>
          <w:marBottom w:val="101"/>
          <w:divBdr>
            <w:top w:val="none" w:sz="0" w:space="0" w:color="auto"/>
            <w:left w:val="none" w:sz="0" w:space="0" w:color="auto"/>
            <w:bottom w:val="none" w:sz="0" w:space="0" w:color="auto"/>
            <w:right w:val="none" w:sz="0" w:space="0" w:color="auto"/>
          </w:divBdr>
        </w:div>
        <w:div w:id="1703825759">
          <w:marLeft w:val="130"/>
          <w:marRight w:val="0"/>
          <w:marTop w:val="60"/>
          <w:marBottom w:val="101"/>
          <w:divBdr>
            <w:top w:val="none" w:sz="0" w:space="0" w:color="auto"/>
            <w:left w:val="none" w:sz="0" w:space="0" w:color="auto"/>
            <w:bottom w:val="none" w:sz="0" w:space="0" w:color="auto"/>
            <w:right w:val="none" w:sz="0" w:space="0" w:color="auto"/>
          </w:divBdr>
        </w:div>
        <w:div w:id="1033578106">
          <w:marLeft w:val="130"/>
          <w:marRight w:val="0"/>
          <w:marTop w:val="60"/>
          <w:marBottom w:val="101"/>
          <w:divBdr>
            <w:top w:val="none" w:sz="0" w:space="0" w:color="auto"/>
            <w:left w:val="none" w:sz="0" w:space="0" w:color="auto"/>
            <w:bottom w:val="none" w:sz="0" w:space="0" w:color="auto"/>
            <w:right w:val="none" w:sz="0" w:space="0" w:color="auto"/>
          </w:divBdr>
        </w:div>
        <w:div w:id="944535161">
          <w:marLeft w:val="130"/>
          <w:marRight w:val="0"/>
          <w:marTop w:val="60"/>
          <w:marBottom w:val="101"/>
          <w:divBdr>
            <w:top w:val="none" w:sz="0" w:space="0" w:color="auto"/>
            <w:left w:val="none" w:sz="0" w:space="0" w:color="auto"/>
            <w:bottom w:val="none" w:sz="0" w:space="0" w:color="auto"/>
            <w:right w:val="none" w:sz="0" w:space="0" w:color="auto"/>
          </w:divBdr>
        </w:div>
        <w:div w:id="528303560">
          <w:marLeft w:val="130"/>
          <w:marRight w:val="0"/>
          <w:marTop w:val="60"/>
          <w:marBottom w:val="101"/>
          <w:divBdr>
            <w:top w:val="none" w:sz="0" w:space="0" w:color="auto"/>
            <w:left w:val="none" w:sz="0" w:space="0" w:color="auto"/>
            <w:bottom w:val="none" w:sz="0" w:space="0" w:color="auto"/>
            <w:right w:val="none" w:sz="0" w:space="0" w:color="auto"/>
          </w:divBdr>
        </w:div>
        <w:div w:id="472452282">
          <w:marLeft w:val="130"/>
          <w:marRight w:val="0"/>
          <w:marTop w:val="60"/>
          <w:marBottom w:val="101"/>
          <w:divBdr>
            <w:top w:val="none" w:sz="0" w:space="0" w:color="auto"/>
            <w:left w:val="none" w:sz="0" w:space="0" w:color="auto"/>
            <w:bottom w:val="none" w:sz="0" w:space="0" w:color="auto"/>
            <w:right w:val="none" w:sz="0" w:space="0" w:color="auto"/>
          </w:divBdr>
        </w:div>
        <w:div w:id="646861183">
          <w:marLeft w:val="130"/>
          <w:marRight w:val="0"/>
          <w:marTop w:val="0"/>
          <w:marBottom w:val="80"/>
          <w:divBdr>
            <w:top w:val="none" w:sz="0" w:space="0" w:color="auto"/>
            <w:left w:val="none" w:sz="0" w:space="0" w:color="auto"/>
            <w:bottom w:val="none" w:sz="0" w:space="0" w:color="auto"/>
            <w:right w:val="none" w:sz="0" w:space="0" w:color="auto"/>
          </w:divBdr>
        </w:div>
        <w:div w:id="577178919">
          <w:marLeft w:val="130"/>
          <w:marRight w:val="0"/>
          <w:marTop w:val="0"/>
          <w:marBottom w:val="80"/>
          <w:divBdr>
            <w:top w:val="none" w:sz="0" w:space="0" w:color="auto"/>
            <w:left w:val="none" w:sz="0" w:space="0" w:color="auto"/>
            <w:bottom w:val="none" w:sz="0" w:space="0" w:color="auto"/>
            <w:right w:val="none" w:sz="0" w:space="0" w:color="auto"/>
          </w:divBdr>
        </w:div>
        <w:div w:id="1986886927">
          <w:marLeft w:val="130"/>
          <w:marRight w:val="0"/>
          <w:marTop w:val="0"/>
          <w:marBottom w:val="80"/>
          <w:divBdr>
            <w:top w:val="none" w:sz="0" w:space="0" w:color="auto"/>
            <w:left w:val="none" w:sz="0" w:space="0" w:color="auto"/>
            <w:bottom w:val="none" w:sz="0" w:space="0" w:color="auto"/>
            <w:right w:val="none" w:sz="0" w:space="0" w:color="auto"/>
          </w:divBdr>
        </w:div>
        <w:div w:id="1713729071">
          <w:marLeft w:val="130"/>
          <w:marRight w:val="0"/>
          <w:marTop w:val="60"/>
          <w:marBottom w:val="101"/>
          <w:divBdr>
            <w:top w:val="none" w:sz="0" w:space="0" w:color="auto"/>
            <w:left w:val="none" w:sz="0" w:space="0" w:color="auto"/>
            <w:bottom w:val="none" w:sz="0" w:space="0" w:color="auto"/>
            <w:right w:val="none" w:sz="0" w:space="0" w:color="auto"/>
          </w:divBdr>
        </w:div>
        <w:div w:id="1383751962">
          <w:marLeft w:val="0"/>
          <w:marRight w:val="0"/>
          <w:marTop w:val="0"/>
          <w:marBottom w:val="101"/>
          <w:divBdr>
            <w:top w:val="none" w:sz="0" w:space="0" w:color="auto"/>
            <w:left w:val="none" w:sz="0" w:space="0" w:color="auto"/>
            <w:bottom w:val="none" w:sz="0" w:space="0" w:color="auto"/>
            <w:right w:val="none" w:sz="0" w:space="0" w:color="auto"/>
          </w:divBdr>
        </w:div>
        <w:div w:id="959990381">
          <w:marLeft w:val="130"/>
          <w:marRight w:val="0"/>
          <w:marTop w:val="0"/>
          <w:marBottom w:val="80"/>
          <w:divBdr>
            <w:top w:val="none" w:sz="0" w:space="0" w:color="auto"/>
            <w:left w:val="none" w:sz="0" w:space="0" w:color="auto"/>
            <w:bottom w:val="none" w:sz="0" w:space="0" w:color="auto"/>
            <w:right w:val="none" w:sz="0" w:space="0" w:color="auto"/>
          </w:divBdr>
        </w:div>
        <w:div w:id="1281377866">
          <w:marLeft w:val="130"/>
          <w:marRight w:val="0"/>
          <w:marTop w:val="60"/>
          <w:marBottom w:val="80"/>
          <w:divBdr>
            <w:top w:val="none" w:sz="0" w:space="0" w:color="auto"/>
            <w:left w:val="none" w:sz="0" w:space="0" w:color="auto"/>
            <w:bottom w:val="none" w:sz="0" w:space="0" w:color="auto"/>
            <w:right w:val="none" w:sz="0" w:space="0" w:color="auto"/>
          </w:divBdr>
        </w:div>
        <w:div w:id="256063832">
          <w:marLeft w:val="130"/>
          <w:marRight w:val="0"/>
          <w:marTop w:val="0"/>
          <w:marBottom w:val="80"/>
          <w:divBdr>
            <w:top w:val="none" w:sz="0" w:space="0" w:color="auto"/>
            <w:left w:val="none" w:sz="0" w:space="0" w:color="auto"/>
            <w:bottom w:val="none" w:sz="0" w:space="0" w:color="auto"/>
            <w:right w:val="none" w:sz="0" w:space="0" w:color="auto"/>
          </w:divBdr>
        </w:div>
        <w:div w:id="491918429">
          <w:marLeft w:val="130"/>
          <w:marRight w:val="0"/>
          <w:marTop w:val="0"/>
          <w:marBottom w:val="80"/>
          <w:divBdr>
            <w:top w:val="none" w:sz="0" w:space="0" w:color="auto"/>
            <w:left w:val="none" w:sz="0" w:space="0" w:color="auto"/>
            <w:bottom w:val="none" w:sz="0" w:space="0" w:color="auto"/>
            <w:right w:val="none" w:sz="0" w:space="0" w:color="auto"/>
          </w:divBdr>
        </w:div>
        <w:div w:id="1372340002">
          <w:marLeft w:val="130"/>
          <w:marRight w:val="0"/>
          <w:marTop w:val="0"/>
          <w:marBottom w:val="80"/>
          <w:divBdr>
            <w:top w:val="none" w:sz="0" w:space="0" w:color="auto"/>
            <w:left w:val="none" w:sz="0" w:space="0" w:color="auto"/>
            <w:bottom w:val="none" w:sz="0" w:space="0" w:color="auto"/>
            <w:right w:val="none" w:sz="0" w:space="0" w:color="auto"/>
          </w:divBdr>
        </w:div>
        <w:div w:id="66928209">
          <w:marLeft w:val="130"/>
          <w:marRight w:val="0"/>
          <w:marTop w:val="0"/>
          <w:marBottom w:val="80"/>
          <w:divBdr>
            <w:top w:val="none" w:sz="0" w:space="0" w:color="auto"/>
            <w:left w:val="none" w:sz="0" w:space="0" w:color="auto"/>
            <w:bottom w:val="none" w:sz="0" w:space="0" w:color="auto"/>
            <w:right w:val="none" w:sz="0" w:space="0" w:color="auto"/>
          </w:divBdr>
        </w:div>
        <w:div w:id="1170756042">
          <w:marLeft w:val="130"/>
          <w:marRight w:val="0"/>
          <w:marTop w:val="0"/>
          <w:marBottom w:val="80"/>
          <w:divBdr>
            <w:top w:val="none" w:sz="0" w:space="0" w:color="auto"/>
            <w:left w:val="none" w:sz="0" w:space="0" w:color="auto"/>
            <w:bottom w:val="none" w:sz="0" w:space="0" w:color="auto"/>
            <w:right w:val="none" w:sz="0" w:space="0" w:color="auto"/>
          </w:divBdr>
        </w:div>
        <w:div w:id="1606115456">
          <w:marLeft w:val="130"/>
          <w:marRight w:val="0"/>
          <w:marTop w:val="0"/>
          <w:marBottom w:val="80"/>
          <w:divBdr>
            <w:top w:val="none" w:sz="0" w:space="0" w:color="auto"/>
            <w:left w:val="none" w:sz="0" w:space="0" w:color="auto"/>
            <w:bottom w:val="none" w:sz="0" w:space="0" w:color="auto"/>
            <w:right w:val="none" w:sz="0" w:space="0" w:color="auto"/>
          </w:divBdr>
        </w:div>
        <w:div w:id="988707940">
          <w:marLeft w:val="130"/>
          <w:marRight w:val="0"/>
          <w:marTop w:val="0"/>
          <w:marBottom w:val="80"/>
          <w:divBdr>
            <w:top w:val="none" w:sz="0" w:space="0" w:color="auto"/>
            <w:left w:val="none" w:sz="0" w:space="0" w:color="auto"/>
            <w:bottom w:val="none" w:sz="0" w:space="0" w:color="auto"/>
            <w:right w:val="none" w:sz="0" w:space="0" w:color="auto"/>
          </w:divBdr>
        </w:div>
        <w:div w:id="1156918185">
          <w:marLeft w:val="130"/>
          <w:marRight w:val="0"/>
          <w:marTop w:val="0"/>
          <w:marBottom w:val="80"/>
          <w:divBdr>
            <w:top w:val="none" w:sz="0" w:space="0" w:color="auto"/>
            <w:left w:val="none" w:sz="0" w:space="0" w:color="auto"/>
            <w:bottom w:val="none" w:sz="0" w:space="0" w:color="auto"/>
            <w:right w:val="none" w:sz="0" w:space="0" w:color="auto"/>
          </w:divBdr>
        </w:div>
        <w:div w:id="155339153">
          <w:marLeft w:val="130"/>
          <w:marRight w:val="0"/>
          <w:marTop w:val="0"/>
          <w:marBottom w:val="80"/>
          <w:divBdr>
            <w:top w:val="none" w:sz="0" w:space="0" w:color="auto"/>
            <w:left w:val="none" w:sz="0" w:space="0" w:color="auto"/>
            <w:bottom w:val="none" w:sz="0" w:space="0" w:color="auto"/>
            <w:right w:val="none" w:sz="0" w:space="0" w:color="auto"/>
          </w:divBdr>
        </w:div>
        <w:div w:id="1364862036">
          <w:marLeft w:val="130"/>
          <w:marRight w:val="0"/>
          <w:marTop w:val="0"/>
          <w:marBottom w:val="80"/>
          <w:divBdr>
            <w:top w:val="none" w:sz="0" w:space="0" w:color="auto"/>
            <w:left w:val="none" w:sz="0" w:space="0" w:color="auto"/>
            <w:bottom w:val="none" w:sz="0" w:space="0" w:color="auto"/>
            <w:right w:val="none" w:sz="0" w:space="0" w:color="auto"/>
          </w:divBdr>
        </w:div>
        <w:div w:id="816843968">
          <w:marLeft w:val="130"/>
          <w:marRight w:val="0"/>
          <w:marTop w:val="0"/>
          <w:marBottom w:val="80"/>
          <w:divBdr>
            <w:top w:val="none" w:sz="0" w:space="0" w:color="auto"/>
            <w:left w:val="none" w:sz="0" w:space="0" w:color="auto"/>
            <w:bottom w:val="none" w:sz="0" w:space="0" w:color="auto"/>
            <w:right w:val="none" w:sz="0" w:space="0" w:color="auto"/>
          </w:divBdr>
        </w:div>
        <w:div w:id="1309674257">
          <w:marLeft w:val="0"/>
          <w:marRight w:val="0"/>
          <w:marTop w:val="0"/>
          <w:marBottom w:val="200"/>
          <w:divBdr>
            <w:top w:val="none" w:sz="0" w:space="0" w:color="auto"/>
            <w:left w:val="none" w:sz="0" w:space="0" w:color="auto"/>
            <w:bottom w:val="none" w:sz="0" w:space="0" w:color="auto"/>
            <w:right w:val="none" w:sz="0" w:space="0" w:color="auto"/>
          </w:divBdr>
        </w:div>
        <w:div w:id="1289821263">
          <w:marLeft w:val="130"/>
          <w:marRight w:val="0"/>
          <w:marTop w:val="0"/>
          <w:marBottom w:val="80"/>
          <w:divBdr>
            <w:top w:val="none" w:sz="0" w:space="0" w:color="auto"/>
            <w:left w:val="none" w:sz="0" w:space="0" w:color="auto"/>
            <w:bottom w:val="none" w:sz="0" w:space="0" w:color="auto"/>
            <w:right w:val="none" w:sz="0" w:space="0" w:color="auto"/>
          </w:divBdr>
        </w:div>
        <w:div w:id="337587082">
          <w:marLeft w:val="130"/>
          <w:marRight w:val="0"/>
          <w:marTop w:val="0"/>
          <w:marBottom w:val="80"/>
          <w:divBdr>
            <w:top w:val="none" w:sz="0" w:space="0" w:color="auto"/>
            <w:left w:val="none" w:sz="0" w:space="0" w:color="auto"/>
            <w:bottom w:val="none" w:sz="0" w:space="0" w:color="auto"/>
            <w:right w:val="none" w:sz="0" w:space="0" w:color="auto"/>
          </w:divBdr>
        </w:div>
        <w:div w:id="1780956003">
          <w:marLeft w:val="130"/>
          <w:marRight w:val="0"/>
          <w:marTop w:val="0"/>
          <w:marBottom w:val="80"/>
          <w:divBdr>
            <w:top w:val="none" w:sz="0" w:space="0" w:color="auto"/>
            <w:left w:val="none" w:sz="0" w:space="0" w:color="auto"/>
            <w:bottom w:val="none" w:sz="0" w:space="0" w:color="auto"/>
            <w:right w:val="none" w:sz="0" w:space="0" w:color="auto"/>
          </w:divBdr>
        </w:div>
        <w:div w:id="1565334357">
          <w:marLeft w:val="130"/>
          <w:marRight w:val="0"/>
          <w:marTop w:val="0"/>
          <w:marBottom w:val="80"/>
          <w:divBdr>
            <w:top w:val="none" w:sz="0" w:space="0" w:color="auto"/>
            <w:left w:val="none" w:sz="0" w:space="0" w:color="auto"/>
            <w:bottom w:val="none" w:sz="0" w:space="0" w:color="auto"/>
            <w:right w:val="none" w:sz="0" w:space="0" w:color="auto"/>
          </w:divBdr>
        </w:div>
        <w:div w:id="180896149">
          <w:marLeft w:val="130"/>
          <w:marRight w:val="0"/>
          <w:marTop w:val="0"/>
          <w:marBottom w:val="80"/>
          <w:divBdr>
            <w:top w:val="none" w:sz="0" w:space="0" w:color="auto"/>
            <w:left w:val="none" w:sz="0" w:space="0" w:color="auto"/>
            <w:bottom w:val="none" w:sz="0" w:space="0" w:color="auto"/>
            <w:right w:val="none" w:sz="0" w:space="0" w:color="auto"/>
          </w:divBdr>
        </w:div>
        <w:div w:id="510532197">
          <w:marLeft w:val="130"/>
          <w:marRight w:val="0"/>
          <w:marTop w:val="0"/>
          <w:marBottom w:val="80"/>
          <w:divBdr>
            <w:top w:val="none" w:sz="0" w:space="0" w:color="auto"/>
            <w:left w:val="none" w:sz="0" w:space="0" w:color="auto"/>
            <w:bottom w:val="none" w:sz="0" w:space="0" w:color="auto"/>
            <w:right w:val="none" w:sz="0" w:space="0" w:color="auto"/>
          </w:divBdr>
        </w:div>
        <w:div w:id="843252159">
          <w:marLeft w:val="130"/>
          <w:marRight w:val="0"/>
          <w:marTop w:val="0"/>
          <w:marBottom w:val="80"/>
          <w:divBdr>
            <w:top w:val="none" w:sz="0" w:space="0" w:color="auto"/>
            <w:left w:val="none" w:sz="0" w:space="0" w:color="auto"/>
            <w:bottom w:val="none" w:sz="0" w:space="0" w:color="auto"/>
            <w:right w:val="none" w:sz="0" w:space="0" w:color="auto"/>
          </w:divBdr>
        </w:div>
        <w:div w:id="42752356">
          <w:marLeft w:val="130"/>
          <w:marRight w:val="0"/>
          <w:marTop w:val="0"/>
          <w:marBottom w:val="80"/>
          <w:divBdr>
            <w:top w:val="none" w:sz="0" w:space="0" w:color="auto"/>
            <w:left w:val="none" w:sz="0" w:space="0" w:color="auto"/>
            <w:bottom w:val="none" w:sz="0" w:space="0" w:color="auto"/>
            <w:right w:val="none" w:sz="0" w:space="0" w:color="auto"/>
          </w:divBdr>
        </w:div>
        <w:div w:id="1775975134">
          <w:marLeft w:val="130"/>
          <w:marRight w:val="0"/>
          <w:marTop w:val="0"/>
          <w:marBottom w:val="80"/>
          <w:divBdr>
            <w:top w:val="none" w:sz="0" w:space="0" w:color="auto"/>
            <w:left w:val="none" w:sz="0" w:space="0" w:color="auto"/>
            <w:bottom w:val="none" w:sz="0" w:space="0" w:color="auto"/>
            <w:right w:val="none" w:sz="0" w:space="0" w:color="auto"/>
          </w:divBdr>
        </w:div>
        <w:div w:id="1952470993">
          <w:marLeft w:val="130"/>
          <w:marRight w:val="0"/>
          <w:marTop w:val="0"/>
          <w:marBottom w:val="80"/>
          <w:divBdr>
            <w:top w:val="none" w:sz="0" w:space="0" w:color="auto"/>
            <w:left w:val="none" w:sz="0" w:space="0" w:color="auto"/>
            <w:bottom w:val="none" w:sz="0" w:space="0" w:color="auto"/>
            <w:right w:val="none" w:sz="0" w:space="0" w:color="auto"/>
          </w:divBdr>
        </w:div>
        <w:div w:id="57558393">
          <w:marLeft w:val="130"/>
          <w:marRight w:val="0"/>
          <w:marTop w:val="0"/>
          <w:marBottom w:val="80"/>
          <w:divBdr>
            <w:top w:val="none" w:sz="0" w:space="0" w:color="auto"/>
            <w:left w:val="none" w:sz="0" w:space="0" w:color="auto"/>
            <w:bottom w:val="none" w:sz="0" w:space="0" w:color="auto"/>
            <w:right w:val="none" w:sz="0" w:space="0" w:color="auto"/>
          </w:divBdr>
        </w:div>
        <w:div w:id="1383288639">
          <w:marLeft w:val="130"/>
          <w:marRight w:val="0"/>
          <w:marTop w:val="0"/>
          <w:marBottom w:val="80"/>
          <w:divBdr>
            <w:top w:val="none" w:sz="0" w:space="0" w:color="auto"/>
            <w:left w:val="none" w:sz="0" w:space="0" w:color="auto"/>
            <w:bottom w:val="none" w:sz="0" w:space="0" w:color="auto"/>
            <w:right w:val="none" w:sz="0" w:space="0" w:color="auto"/>
          </w:divBdr>
        </w:div>
        <w:div w:id="1235162614">
          <w:marLeft w:val="0"/>
          <w:marRight w:val="0"/>
          <w:marTop w:val="0"/>
          <w:marBottom w:val="101"/>
          <w:divBdr>
            <w:top w:val="none" w:sz="0" w:space="0" w:color="auto"/>
            <w:left w:val="none" w:sz="0" w:space="0" w:color="auto"/>
            <w:bottom w:val="none" w:sz="0" w:space="0" w:color="auto"/>
            <w:right w:val="none" w:sz="0" w:space="0" w:color="auto"/>
          </w:divBdr>
        </w:div>
        <w:div w:id="486016595">
          <w:marLeft w:val="0"/>
          <w:marRight w:val="0"/>
          <w:marTop w:val="101"/>
          <w:marBottom w:val="101"/>
          <w:divBdr>
            <w:top w:val="none" w:sz="0" w:space="0" w:color="auto"/>
            <w:left w:val="none" w:sz="0" w:space="0" w:color="auto"/>
            <w:bottom w:val="none" w:sz="0" w:space="0" w:color="auto"/>
            <w:right w:val="none" w:sz="0" w:space="0" w:color="auto"/>
          </w:divBdr>
        </w:div>
        <w:div w:id="383910671">
          <w:marLeft w:val="0"/>
          <w:marRight w:val="0"/>
          <w:marTop w:val="0"/>
          <w:marBottom w:val="101"/>
          <w:divBdr>
            <w:top w:val="none" w:sz="0" w:space="0" w:color="auto"/>
            <w:left w:val="none" w:sz="0" w:space="0" w:color="auto"/>
            <w:bottom w:val="none" w:sz="0" w:space="0" w:color="auto"/>
            <w:right w:val="none" w:sz="0" w:space="0" w:color="auto"/>
          </w:divBdr>
        </w:div>
        <w:div w:id="1773550358">
          <w:marLeft w:val="0"/>
          <w:marRight w:val="0"/>
          <w:marTop w:val="0"/>
          <w:marBottom w:val="101"/>
          <w:divBdr>
            <w:top w:val="none" w:sz="0" w:space="0" w:color="auto"/>
            <w:left w:val="none" w:sz="0" w:space="0" w:color="auto"/>
            <w:bottom w:val="none" w:sz="0" w:space="0" w:color="auto"/>
            <w:right w:val="none" w:sz="0" w:space="0" w:color="auto"/>
          </w:divBdr>
        </w:div>
        <w:div w:id="1277327670">
          <w:marLeft w:val="0"/>
          <w:marRight w:val="0"/>
          <w:marTop w:val="0"/>
          <w:marBottom w:val="101"/>
          <w:divBdr>
            <w:top w:val="none" w:sz="0" w:space="0" w:color="auto"/>
            <w:left w:val="none" w:sz="0" w:space="0" w:color="auto"/>
            <w:bottom w:val="none" w:sz="0" w:space="0" w:color="auto"/>
            <w:right w:val="none" w:sz="0" w:space="0" w:color="auto"/>
          </w:divBdr>
        </w:div>
        <w:div w:id="1200893850">
          <w:marLeft w:val="126"/>
          <w:marRight w:val="0"/>
          <w:marTop w:val="0"/>
          <w:marBottom w:val="101"/>
          <w:divBdr>
            <w:top w:val="none" w:sz="0" w:space="0" w:color="auto"/>
            <w:left w:val="none" w:sz="0" w:space="0" w:color="auto"/>
            <w:bottom w:val="none" w:sz="0" w:space="0" w:color="auto"/>
            <w:right w:val="none" w:sz="0" w:space="0" w:color="auto"/>
          </w:divBdr>
        </w:div>
        <w:div w:id="918902308">
          <w:marLeft w:val="126"/>
          <w:marRight w:val="0"/>
          <w:marTop w:val="0"/>
          <w:marBottom w:val="101"/>
          <w:divBdr>
            <w:top w:val="none" w:sz="0" w:space="0" w:color="auto"/>
            <w:left w:val="none" w:sz="0" w:space="0" w:color="auto"/>
            <w:bottom w:val="none" w:sz="0" w:space="0" w:color="auto"/>
            <w:right w:val="none" w:sz="0" w:space="0" w:color="auto"/>
          </w:divBdr>
        </w:div>
        <w:div w:id="1047603206">
          <w:marLeft w:val="306"/>
          <w:marRight w:val="0"/>
          <w:marTop w:val="16"/>
          <w:marBottom w:val="12"/>
          <w:divBdr>
            <w:top w:val="none" w:sz="0" w:space="0" w:color="auto"/>
            <w:left w:val="none" w:sz="0" w:space="0" w:color="auto"/>
            <w:bottom w:val="none" w:sz="0" w:space="0" w:color="auto"/>
            <w:right w:val="none" w:sz="0" w:space="0" w:color="auto"/>
          </w:divBdr>
        </w:div>
        <w:div w:id="1934585006">
          <w:marLeft w:val="0"/>
          <w:marRight w:val="0"/>
          <w:marTop w:val="16"/>
          <w:marBottom w:val="12"/>
          <w:divBdr>
            <w:top w:val="none" w:sz="0" w:space="0" w:color="auto"/>
            <w:left w:val="none" w:sz="0" w:space="0" w:color="auto"/>
            <w:bottom w:val="none" w:sz="0" w:space="0" w:color="auto"/>
            <w:right w:val="none" w:sz="0" w:space="0" w:color="auto"/>
          </w:divBdr>
        </w:div>
        <w:div w:id="1742360950">
          <w:marLeft w:val="0"/>
          <w:marRight w:val="0"/>
          <w:marTop w:val="16"/>
          <w:marBottom w:val="12"/>
          <w:divBdr>
            <w:top w:val="none" w:sz="0" w:space="0" w:color="auto"/>
            <w:left w:val="none" w:sz="0" w:space="0" w:color="auto"/>
            <w:bottom w:val="none" w:sz="0" w:space="0" w:color="auto"/>
            <w:right w:val="none" w:sz="0" w:space="0" w:color="auto"/>
          </w:divBdr>
        </w:div>
        <w:div w:id="987587672">
          <w:marLeft w:val="0"/>
          <w:marRight w:val="0"/>
          <w:marTop w:val="16"/>
          <w:marBottom w:val="12"/>
          <w:divBdr>
            <w:top w:val="none" w:sz="0" w:space="0" w:color="auto"/>
            <w:left w:val="none" w:sz="0" w:space="0" w:color="auto"/>
            <w:bottom w:val="none" w:sz="0" w:space="0" w:color="auto"/>
            <w:right w:val="none" w:sz="0" w:space="0" w:color="auto"/>
          </w:divBdr>
        </w:div>
        <w:div w:id="750464320">
          <w:marLeft w:val="0"/>
          <w:marRight w:val="0"/>
          <w:marTop w:val="16"/>
          <w:marBottom w:val="12"/>
          <w:divBdr>
            <w:top w:val="none" w:sz="0" w:space="0" w:color="auto"/>
            <w:left w:val="none" w:sz="0" w:space="0" w:color="auto"/>
            <w:bottom w:val="none" w:sz="0" w:space="0" w:color="auto"/>
            <w:right w:val="none" w:sz="0" w:space="0" w:color="auto"/>
          </w:divBdr>
        </w:div>
        <w:div w:id="2023315126">
          <w:marLeft w:val="0"/>
          <w:marRight w:val="0"/>
          <w:marTop w:val="16"/>
          <w:marBottom w:val="12"/>
          <w:divBdr>
            <w:top w:val="none" w:sz="0" w:space="0" w:color="auto"/>
            <w:left w:val="none" w:sz="0" w:space="0" w:color="auto"/>
            <w:bottom w:val="none" w:sz="0" w:space="0" w:color="auto"/>
            <w:right w:val="none" w:sz="0" w:space="0" w:color="auto"/>
          </w:divBdr>
        </w:div>
        <w:div w:id="439496201">
          <w:marLeft w:val="306"/>
          <w:marRight w:val="0"/>
          <w:marTop w:val="16"/>
          <w:marBottom w:val="12"/>
          <w:divBdr>
            <w:top w:val="none" w:sz="0" w:space="0" w:color="auto"/>
            <w:left w:val="none" w:sz="0" w:space="0" w:color="auto"/>
            <w:bottom w:val="none" w:sz="0" w:space="0" w:color="auto"/>
            <w:right w:val="none" w:sz="0" w:space="0" w:color="auto"/>
          </w:divBdr>
        </w:div>
        <w:div w:id="380714984">
          <w:marLeft w:val="0"/>
          <w:marRight w:val="0"/>
          <w:marTop w:val="16"/>
          <w:marBottom w:val="12"/>
          <w:divBdr>
            <w:top w:val="none" w:sz="0" w:space="0" w:color="auto"/>
            <w:left w:val="none" w:sz="0" w:space="0" w:color="auto"/>
            <w:bottom w:val="none" w:sz="0" w:space="0" w:color="auto"/>
            <w:right w:val="none" w:sz="0" w:space="0" w:color="auto"/>
          </w:divBdr>
        </w:div>
        <w:div w:id="1289553903">
          <w:marLeft w:val="306"/>
          <w:marRight w:val="0"/>
          <w:marTop w:val="16"/>
          <w:marBottom w:val="12"/>
          <w:divBdr>
            <w:top w:val="none" w:sz="0" w:space="0" w:color="auto"/>
            <w:left w:val="none" w:sz="0" w:space="0" w:color="auto"/>
            <w:bottom w:val="none" w:sz="0" w:space="0" w:color="auto"/>
            <w:right w:val="none" w:sz="0" w:space="0" w:color="auto"/>
          </w:divBdr>
        </w:div>
        <w:div w:id="1867598699">
          <w:marLeft w:val="0"/>
          <w:marRight w:val="0"/>
          <w:marTop w:val="16"/>
          <w:marBottom w:val="12"/>
          <w:divBdr>
            <w:top w:val="none" w:sz="0" w:space="0" w:color="auto"/>
            <w:left w:val="none" w:sz="0" w:space="0" w:color="auto"/>
            <w:bottom w:val="none" w:sz="0" w:space="0" w:color="auto"/>
            <w:right w:val="none" w:sz="0" w:space="0" w:color="auto"/>
          </w:divBdr>
        </w:div>
        <w:div w:id="1857114539">
          <w:marLeft w:val="0"/>
          <w:marRight w:val="0"/>
          <w:marTop w:val="16"/>
          <w:marBottom w:val="12"/>
          <w:divBdr>
            <w:top w:val="none" w:sz="0" w:space="0" w:color="auto"/>
            <w:left w:val="none" w:sz="0" w:space="0" w:color="auto"/>
            <w:bottom w:val="none" w:sz="0" w:space="0" w:color="auto"/>
            <w:right w:val="none" w:sz="0" w:space="0" w:color="auto"/>
          </w:divBdr>
        </w:div>
        <w:div w:id="1037701367">
          <w:marLeft w:val="0"/>
          <w:marRight w:val="0"/>
          <w:marTop w:val="16"/>
          <w:marBottom w:val="12"/>
          <w:divBdr>
            <w:top w:val="none" w:sz="0" w:space="0" w:color="auto"/>
            <w:left w:val="none" w:sz="0" w:space="0" w:color="auto"/>
            <w:bottom w:val="none" w:sz="0" w:space="0" w:color="auto"/>
            <w:right w:val="none" w:sz="0" w:space="0" w:color="auto"/>
          </w:divBdr>
        </w:div>
        <w:div w:id="1422141719">
          <w:marLeft w:val="306"/>
          <w:marRight w:val="0"/>
          <w:marTop w:val="16"/>
          <w:marBottom w:val="12"/>
          <w:divBdr>
            <w:top w:val="none" w:sz="0" w:space="0" w:color="auto"/>
            <w:left w:val="none" w:sz="0" w:space="0" w:color="auto"/>
            <w:bottom w:val="none" w:sz="0" w:space="0" w:color="auto"/>
            <w:right w:val="none" w:sz="0" w:space="0" w:color="auto"/>
          </w:divBdr>
        </w:div>
        <w:div w:id="1960868629">
          <w:marLeft w:val="0"/>
          <w:marRight w:val="0"/>
          <w:marTop w:val="16"/>
          <w:marBottom w:val="12"/>
          <w:divBdr>
            <w:top w:val="none" w:sz="0" w:space="0" w:color="auto"/>
            <w:left w:val="none" w:sz="0" w:space="0" w:color="auto"/>
            <w:bottom w:val="none" w:sz="0" w:space="0" w:color="auto"/>
            <w:right w:val="none" w:sz="0" w:space="0" w:color="auto"/>
          </w:divBdr>
        </w:div>
        <w:div w:id="282618670">
          <w:marLeft w:val="306"/>
          <w:marRight w:val="0"/>
          <w:marTop w:val="16"/>
          <w:marBottom w:val="12"/>
          <w:divBdr>
            <w:top w:val="none" w:sz="0" w:space="0" w:color="auto"/>
            <w:left w:val="none" w:sz="0" w:space="0" w:color="auto"/>
            <w:bottom w:val="none" w:sz="0" w:space="0" w:color="auto"/>
            <w:right w:val="none" w:sz="0" w:space="0" w:color="auto"/>
          </w:divBdr>
        </w:div>
        <w:div w:id="1524511668">
          <w:marLeft w:val="0"/>
          <w:marRight w:val="0"/>
          <w:marTop w:val="16"/>
          <w:marBottom w:val="12"/>
          <w:divBdr>
            <w:top w:val="none" w:sz="0" w:space="0" w:color="auto"/>
            <w:left w:val="none" w:sz="0" w:space="0" w:color="auto"/>
            <w:bottom w:val="none" w:sz="0" w:space="0" w:color="auto"/>
            <w:right w:val="none" w:sz="0" w:space="0" w:color="auto"/>
          </w:divBdr>
        </w:div>
        <w:div w:id="155339127">
          <w:marLeft w:val="0"/>
          <w:marRight w:val="0"/>
          <w:marTop w:val="16"/>
          <w:marBottom w:val="12"/>
          <w:divBdr>
            <w:top w:val="none" w:sz="0" w:space="0" w:color="auto"/>
            <w:left w:val="none" w:sz="0" w:space="0" w:color="auto"/>
            <w:bottom w:val="none" w:sz="0" w:space="0" w:color="auto"/>
            <w:right w:val="none" w:sz="0" w:space="0" w:color="auto"/>
          </w:divBdr>
        </w:div>
        <w:div w:id="1968507351">
          <w:marLeft w:val="0"/>
          <w:marRight w:val="0"/>
          <w:marTop w:val="16"/>
          <w:marBottom w:val="12"/>
          <w:divBdr>
            <w:top w:val="none" w:sz="0" w:space="0" w:color="auto"/>
            <w:left w:val="none" w:sz="0" w:space="0" w:color="auto"/>
            <w:bottom w:val="none" w:sz="0" w:space="0" w:color="auto"/>
            <w:right w:val="none" w:sz="0" w:space="0" w:color="auto"/>
          </w:divBdr>
        </w:div>
        <w:div w:id="308365464">
          <w:marLeft w:val="0"/>
          <w:marRight w:val="0"/>
          <w:marTop w:val="16"/>
          <w:marBottom w:val="12"/>
          <w:divBdr>
            <w:top w:val="none" w:sz="0" w:space="0" w:color="auto"/>
            <w:left w:val="none" w:sz="0" w:space="0" w:color="auto"/>
            <w:bottom w:val="none" w:sz="0" w:space="0" w:color="auto"/>
            <w:right w:val="none" w:sz="0" w:space="0" w:color="auto"/>
          </w:divBdr>
        </w:div>
        <w:div w:id="2111507711">
          <w:marLeft w:val="0"/>
          <w:marRight w:val="0"/>
          <w:marTop w:val="16"/>
          <w:marBottom w:val="12"/>
          <w:divBdr>
            <w:top w:val="none" w:sz="0" w:space="0" w:color="auto"/>
            <w:left w:val="none" w:sz="0" w:space="0" w:color="auto"/>
            <w:bottom w:val="none" w:sz="0" w:space="0" w:color="auto"/>
            <w:right w:val="none" w:sz="0" w:space="0" w:color="auto"/>
          </w:divBdr>
        </w:div>
        <w:div w:id="498883724">
          <w:marLeft w:val="0"/>
          <w:marRight w:val="0"/>
          <w:marTop w:val="16"/>
          <w:marBottom w:val="12"/>
          <w:divBdr>
            <w:top w:val="none" w:sz="0" w:space="0" w:color="auto"/>
            <w:left w:val="none" w:sz="0" w:space="0" w:color="auto"/>
            <w:bottom w:val="none" w:sz="0" w:space="0" w:color="auto"/>
            <w:right w:val="none" w:sz="0" w:space="0" w:color="auto"/>
          </w:divBdr>
        </w:div>
        <w:div w:id="50622005">
          <w:marLeft w:val="0"/>
          <w:marRight w:val="0"/>
          <w:marTop w:val="16"/>
          <w:marBottom w:val="12"/>
          <w:divBdr>
            <w:top w:val="none" w:sz="0" w:space="0" w:color="auto"/>
            <w:left w:val="none" w:sz="0" w:space="0" w:color="auto"/>
            <w:bottom w:val="none" w:sz="0" w:space="0" w:color="auto"/>
            <w:right w:val="none" w:sz="0" w:space="0" w:color="auto"/>
          </w:divBdr>
        </w:div>
        <w:div w:id="260573288">
          <w:marLeft w:val="0"/>
          <w:marRight w:val="0"/>
          <w:marTop w:val="16"/>
          <w:marBottom w:val="12"/>
          <w:divBdr>
            <w:top w:val="none" w:sz="0" w:space="0" w:color="auto"/>
            <w:left w:val="none" w:sz="0" w:space="0" w:color="auto"/>
            <w:bottom w:val="none" w:sz="0" w:space="0" w:color="auto"/>
            <w:right w:val="none" w:sz="0" w:space="0" w:color="auto"/>
          </w:divBdr>
        </w:div>
        <w:div w:id="326594833">
          <w:marLeft w:val="0"/>
          <w:marRight w:val="0"/>
          <w:marTop w:val="16"/>
          <w:marBottom w:val="12"/>
          <w:divBdr>
            <w:top w:val="none" w:sz="0" w:space="0" w:color="auto"/>
            <w:left w:val="none" w:sz="0" w:space="0" w:color="auto"/>
            <w:bottom w:val="none" w:sz="0" w:space="0" w:color="auto"/>
            <w:right w:val="none" w:sz="0" w:space="0" w:color="auto"/>
          </w:divBdr>
        </w:div>
        <w:div w:id="1098408580">
          <w:marLeft w:val="306"/>
          <w:marRight w:val="0"/>
          <w:marTop w:val="16"/>
          <w:marBottom w:val="12"/>
          <w:divBdr>
            <w:top w:val="none" w:sz="0" w:space="0" w:color="auto"/>
            <w:left w:val="none" w:sz="0" w:space="0" w:color="auto"/>
            <w:bottom w:val="none" w:sz="0" w:space="0" w:color="auto"/>
            <w:right w:val="none" w:sz="0" w:space="0" w:color="auto"/>
          </w:divBdr>
        </w:div>
        <w:div w:id="275063243">
          <w:marLeft w:val="0"/>
          <w:marRight w:val="0"/>
          <w:marTop w:val="16"/>
          <w:marBottom w:val="12"/>
          <w:divBdr>
            <w:top w:val="none" w:sz="0" w:space="0" w:color="auto"/>
            <w:left w:val="none" w:sz="0" w:space="0" w:color="auto"/>
            <w:bottom w:val="none" w:sz="0" w:space="0" w:color="auto"/>
            <w:right w:val="none" w:sz="0" w:space="0" w:color="auto"/>
          </w:divBdr>
        </w:div>
        <w:div w:id="1886141316">
          <w:marLeft w:val="306"/>
          <w:marRight w:val="0"/>
          <w:marTop w:val="16"/>
          <w:marBottom w:val="12"/>
          <w:divBdr>
            <w:top w:val="none" w:sz="0" w:space="0" w:color="auto"/>
            <w:left w:val="none" w:sz="0" w:space="0" w:color="auto"/>
            <w:bottom w:val="none" w:sz="0" w:space="0" w:color="auto"/>
            <w:right w:val="none" w:sz="0" w:space="0" w:color="auto"/>
          </w:divBdr>
        </w:div>
        <w:div w:id="1369254727">
          <w:marLeft w:val="0"/>
          <w:marRight w:val="0"/>
          <w:marTop w:val="16"/>
          <w:marBottom w:val="12"/>
          <w:divBdr>
            <w:top w:val="none" w:sz="0" w:space="0" w:color="auto"/>
            <w:left w:val="none" w:sz="0" w:space="0" w:color="auto"/>
            <w:bottom w:val="none" w:sz="0" w:space="0" w:color="auto"/>
            <w:right w:val="none" w:sz="0" w:space="0" w:color="auto"/>
          </w:divBdr>
        </w:div>
        <w:div w:id="1538422377">
          <w:marLeft w:val="306"/>
          <w:marRight w:val="0"/>
          <w:marTop w:val="16"/>
          <w:marBottom w:val="12"/>
          <w:divBdr>
            <w:top w:val="none" w:sz="0" w:space="0" w:color="auto"/>
            <w:left w:val="none" w:sz="0" w:space="0" w:color="auto"/>
            <w:bottom w:val="none" w:sz="0" w:space="0" w:color="auto"/>
            <w:right w:val="none" w:sz="0" w:space="0" w:color="auto"/>
          </w:divBdr>
        </w:div>
        <w:div w:id="1043211945">
          <w:marLeft w:val="0"/>
          <w:marRight w:val="0"/>
          <w:marTop w:val="16"/>
          <w:marBottom w:val="12"/>
          <w:divBdr>
            <w:top w:val="none" w:sz="0" w:space="0" w:color="auto"/>
            <w:left w:val="none" w:sz="0" w:space="0" w:color="auto"/>
            <w:bottom w:val="none" w:sz="0" w:space="0" w:color="auto"/>
            <w:right w:val="none" w:sz="0" w:space="0" w:color="auto"/>
          </w:divBdr>
        </w:div>
        <w:div w:id="913584201">
          <w:marLeft w:val="306"/>
          <w:marRight w:val="0"/>
          <w:marTop w:val="16"/>
          <w:marBottom w:val="12"/>
          <w:divBdr>
            <w:top w:val="none" w:sz="0" w:space="0" w:color="auto"/>
            <w:left w:val="none" w:sz="0" w:space="0" w:color="auto"/>
            <w:bottom w:val="none" w:sz="0" w:space="0" w:color="auto"/>
            <w:right w:val="none" w:sz="0" w:space="0" w:color="auto"/>
          </w:divBdr>
        </w:div>
        <w:div w:id="2051026044">
          <w:marLeft w:val="0"/>
          <w:marRight w:val="0"/>
          <w:marTop w:val="16"/>
          <w:marBottom w:val="12"/>
          <w:divBdr>
            <w:top w:val="none" w:sz="0" w:space="0" w:color="auto"/>
            <w:left w:val="none" w:sz="0" w:space="0" w:color="auto"/>
            <w:bottom w:val="none" w:sz="0" w:space="0" w:color="auto"/>
            <w:right w:val="none" w:sz="0" w:space="0" w:color="auto"/>
          </w:divBdr>
        </w:div>
        <w:div w:id="460805194">
          <w:marLeft w:val="306"/>
          <w:marRight w:val="0"/>
          <w:marTop w:val="16"/>
          <w:marBottom w:val="12"/>
          <w:divBdr>
            <w:top w:val="none" w:sz="0" w:space="0" w:color="auto"/>
            <w:left w:val="none" w:sz="0" w:space="0" w:color="auto"/>
            <w:bottom w:val="none" w:sz="0" w:space="0" w:color="auto"/>
            <w:right w:val="none" w:sz="0" w:space="0" w:color="auto"/>
          </w:divBdr>
        </w:div>
        <w:div w:id="876355536">
          <w:marLeft w:val="0"/>
          <w:marRight w:val="0"/>
          <w:marTop w:val="16"/>
          <w:marBottom w:val="12"/>
          <w:divBdr>
            <w:top w:val="none" w:sz="0" w:space="0" w:color="auto"/>
            <w:left w:val="none" w:sz="0" w:space="0" w:color="auto"/>
            <w:bottom w:val="none" w:sz="0" w:space="0" w:color="auto"/>
            <w:right w:val="none" w:sz="0" w:space="0" w:color="auto"/>
          </w:divBdr>
        </w:div>
        <w:div w:id="2049835919">
          <w:marLeft w:val="306"/>
          <w:marRight w:val="0"/>
          <w:marTop w:val="16"/>
          <w:marBottom w:val="12"/>
          <w:divBdr>
            <w:top w:val="none" w:sz="0" w:space="0" w:color="auto"/>
            <w:left w:val="none" w:sz="0" w:space="0" w:color="auto"/>
            <w:bottom w:val="none" w:sz="0" w:space="0" w:color="auto"/>
            <w:right w:val="none" w:sz="0" w:space="0" w:color="auto"/>
          </w:divBdr>
        </w:div>
        <w:div w:id="73481823">
          <w:marLeft w:val="0"/>
          <w:marRight w:val="0"/>
          <w:marTop w:val="16"/>
          <w:marBottom w:val="12"/>
          <w:divBdr>
            <w:top w:val="none" w:sz="0" w:space="0" w:color="auto"/>
            <w:left w:val="none" w:sz="0" w:space="0" w:color="auto"/>
            <w:bottom w:val="none" w:sz="0" w:space="0" w:color="auto"/>
            <w:right w:val="none" w:sz="0" w:space="0" w:color="auto"/>
          </w:divBdr>
        </w:div>
        <w:div w:id="2065788637">
          <w:marLeft w:val="158"/>
          <w:marRight w:val="0"/>
          <w:marTop w:val="0"/>
          <w:marBottom w:val="101"/>
          <w:divBdr>
            <w:top w:val="none" w:sz="0" w:space="0" w:color="auto"/>
            <w:left w:val="none" w:sz="0" w:space="0" w:color="auto"/>
            <w:bottom w:val="none" w:sz="0" w:space="0" w:color="auto"/>
            <w:right w:val="none" w:sz="0" w:space="0" w:color="auto"/>
          </w:divBdr>
        </w:div>
        <w:div w:id="1529219898">
          <w:marLeft w:val="130"/>
          <w:marRight w:val="0"/>
          <w:marTop w:val="0"/>
          <w:marBottom w:val="0"/>
          <w:divBdr>
            <w:top w:val="none" w:sz="0" w:space="0" w:color="auto"/>
            <w:left w:val="none" w:sz="0" w:space="0" w:color="auto"/>
            <w:bottom w:val="none" w:sz="0" w:space="0" w:color="auto"/>
            <w:right w:val="none" w:sz="0" w:space="0" w:color="auto"/>
          </w:divBdr>
        </w:div>
        <w:div w:id="1058746505">
          <w:marLeft w:val="0"/>
          <w:marRight w:val="0"/>
          <w:marTop w:val="0"/>
          <w:marBottom w:val="20"/>
          <w:divBdr>
            <w:top w:val="none" w:sz="0" w:space="0" w:color="auto"/>
            <w:left w:val="none" w:sz="0" w:space="0" w:color="auto"/>
            <w:bottom w:val="none" w:sz="0" w:space="0" w:color="auto"/>
            <w:right w:val="none" w:sz="0" w:space="0" w:color="auto"/>
          </w:divBdr>
        </w:div>
        <w:div w:id="2039626617">
          <w:marLeft w:val="0"/>
          <w:marRight w:val="0"/>
          <w:marTop w:val="0"/>
          <w:marBottom w:val="101"/>
          <w:divBdr>
            <w:top w:val="none" w:sz="0" w:space="0" w:color="auto"/>
            <w:left w:val="none" w:sz="0" w:space="0" w:color="auto"/>
            <w:bottom w:val="none" w:sz="0" w:space="0" w:color="auto"/>
            <w:right w:val="none" w:sz="0" w:space="0" w:color="auto"/>
          </w:divBdr>
        </w:div>
        <w:div w:id="773288715">
          <w:marLeft w:val="130"/>
          <w:marRight w:val="0"/>
          <w:marTop w:val="0"/>
          <w:marBottom w:val="101"/>
          <w:divBdr>
            <w:top w:val="none" w:sz="0" w:space="0" w:color="auto"/>
            <w:left w:val="none" w:sz="0" w:space="0" w:color="auto"/>
            <w:bottom w:val="none" w:sz="0" w:space="0" w:color="auto"/>
            <w:right w:val="none" w:sz="0" w:space="0" w:color="auto"/>
          </w:divBdr>
        </w:div>
        <w:div w:id="465856868">
          <w:marLeft w:val="18"/>
          <w:marRight w:val="0"/>
          <w:marTop w:val="0"/>
          <w:marBottom w:val="101"/>
          <w:divBdr>
            <w:top w:val="none" w:sz="0" w:space="0" w:color="auto"/>
            <w:left w:val="none" w:sz="0" w:space="0" w:color="auto"/>
            <w:bottom w:val="none" w:sz="0" w:space="0" w:color="auto"/>
            <w:right w:val="none" w:sz="0" w:space="0" w:color="auto"/>
          </w:divBdr>
        </w:div>
        <w:div w:id="1072775072">
          <w:marLeft w:val="18"/>
          <w:marRight w:val="0"/>
          <w:marTop w:val="0"/>
          <w:marBottom w:val="101"/>
          <w:divBdr>
            <w:top w:val="none" w:sz="0" w:space="0" w:color="auto"/>
            <w:left w:val="none" w:sz="0" w:space="0" w:color="auto"/>
            <w:bottom w:val="none" w:sz="0" w:space="0" w:color="auto"/>
            <w:right w:val="none" w:sz="0" w:space="0" w:color="auto"/>
          </w:divBdr>
        </w:div>
        <w:div w:id="1861384054">
          <w:marLeft w:val="18"/>
          <w:marRight w:val="0"/>
          <w:marTop w:val="0"/>
          <w:marBottom w:val="101"/>
          <w:divBdr>
            <w:top w:val="none" w:sz="0" w:space="0" w:color="auto"/>
            <w:left w:val="none" w:sz="0" w:space="0" w:color="auto"/>
            <w:bottom w:val="none" w:sz="0" w:space="0" w:color="auto"/>
            <w:right w:val="none" w:sz="0" w:space="0" w:color="auto"/>
          </w:divBdr>
        </w:div>
        <w:div w:id="219443039">
          <w:marLeft w:val="0"/>
          <w:marRight w:val="0"/>
          <w:marTop w:val="0"/>
          <w:marBottom w:val="101"/>
          <w:divBdr>
            <w:top w:val="none" w:sz="0" w:space="0" w:color="auto"/>
            <w:left w:val="none" w:sz="0" w:space="0" w:color="auto"/>
            <w:bottom w:val="none" w:sz="0" w:space="0" w:color="auto"/>
            <w:right w:val="none" w:sz="0" w:space="0" w:color="auto"/>
          </w:divBdr>
        </w:div>
        <w:div w:id="711929882">
          <w:marLeft w:val="0"/>
          <w:marRight w:val="0"/>
          <w:marTop w:val="0"/>
          <w:marBottom w:val="101"/>
          <w:divBdr>
            <w:top w:val="none" w:sz="0" w:space="0" w:color="auto"/>
            <w:left w:val="none" w:sz="0" w:space="0" w:color="auto"/>
            <w:bottom w:val="none" w:sz="0" w:space="0" w:color="auto"/>
            <w:right w:val="none" w:sz="0" w:space="0" w:color="auto"/>
          </w:divBdr>
        </w:div>
        <w:div w:id="1565792891">
          <w:marLeft w:val="0"/>
          <w:marRight w:val="0"/>
          <w:marTop w:val="0"/>
          <w:marBottom w:val="101"/>
          <w:divBdr>
            <w:top w:val="none" w:sz="0" w:space="0" w:color="auto"/>
            <w:left w:val="none" w:sz="0" w:space="0" w:color="auto"/>
            <w:bottom w:val="none" w:sz="0" w:space="0" w:color="auto"/>
            <w:right w:val="none" w:sz="0" w:space="0" w:color="auto"/>
          </w:divBdr>
        </w:div>
        <w:div w:id="1922449038">
          <w:marLeft w:val="0"/>
          <w:marRight w:val="0"/>
          <w:marTop w:val="0"/>
          <w:marBottom w:val="101"/>
          <w:divBdr>
            <w:top w:val="none" w:sz="0" w:space="0" w:color="auto"/>
            <w:left w:val="none" w:sz="0" w:space="0" w:color="auto"/>
            <w:bottom w:val="none" w:sz="0" w:space="0" w:color="auto"/>
            <w:right w:val="none" w:sz="0" w:space="0" w:color="auto"/>
          </w:divBdr>
        </w:div>
        <w:div w:id="1552108116">
          <w:marLeft w:val="288"/>
          <w:marRight w:val="0"/>
          <w:marTop w:val="0"/>
          <w:marBottom w:val="101"/>
          <w:divBdr>
            <w:top w:val="none" w:sz="0" w:space="0" w:color="auto"/>
            <w:left w:val="none" w:sz="0" w:space="0" w:color="auto"/>
            <w:bottom w:val="none" w:sz="0" w:space="0" w:color="auto"/>
            <w:right w:val="none" w:sz="0" w:space="0" w:color="auto"/>
          </w:divBdr>
        </w:div>
        <w:div w:id="223181869">
          <w:marLeft w:val="0"/>
          <w:marRight w:val="0"/>
          <w:marTop w:val="0"/>
          <w:marBottom w:val="101"/>
          <w:divBdr>
            <w:top w:val="none" w:sz="0" w:space="0" w:color="auto"/>
            <w:left w:val="none" w:sz="0" w:space="0" w:color="auto"/>
            <w:bottom w:val="none" w:sz="0" w:space="0" w:color="auto"/>
            <w:right w:val="none" w:sz="0" w:space="0" w:color="auto"/>
          </w:divBdr>
        </w:div>
        <w:div w:id="38097344">
          <w:marLeft w:val="0"/>
          <w:marRight w:val="0"/>
          <w:marTop w:val="0"/>
          <w:marBottom w:val="101"/>
          <w:divBdr>
            <w:top w:val="none" w:sz="0" w:space="0" w:color="auto"/>
            <w:left w:val="none" w:sz="0" w:space="0" w:color="auto"/>
            <w:bottom w:val="none" w:sz="0" w:space="0" w:color="auto"/>
            <w:right w:val="none" w:sz="0" w:space="0" w:color="auto"/>
          </w:divBdr>
        </w:div>
        <w:div w:id="1700856855">
          <w:marLeft w:val="288"/>
          <w:marRight w:val="0"/>
          <w:marTop w:val="0"/>
          <w:marBottom w:val="101"/>
          <w:divBdr>
            <w:top w:val="none" w:sz="0" w:space="0" w:color="auto"/>
            <w:left w:val="none" w:sz="0" w:space="0" w:color="auto"/>
            <w:bottom w:val="none" w:sz="0" w:space="0" w:color="auto"/>
            <w:right w:val="none" w:sz="0" w:space="0" w:color="auto"/>
          </w:divBdr>
        </w:div>
        <w:div w:id="2086410580">
          <w:marLeft w:val="288"/>
          <w:marRight w:val="0"/>
          <w:marTop w:val="0"/>
          <w:marBottom w:val="101"/>
          <w:divBdr>
            <w:top w:val="none" w:sz="0" w:space="0" w:color="auto"/>
            <w:left w:val="none" w:sz="0" w:space="0" w:color="auto"/>
            <w:bottom w:val="none" w:sz="0" w:space="0" w:color="auto"/>
            <w:right w:val="none" w:sz="0" w:space="0" w:color="auto"/>
          </w:divBdr>
        </w:div>
        <w:div w:id="708144670">
          <w:marLeft w:val="288"/>
          <w:marRight w:val="0"/>
          <w:marTop w:val="0"/>
          <w:marBottom w:val="101"/>
          <w:divBdr>
            <w:top w:val="none" w:sz="0" w:space="0" w:color="auto"/>
            <w:left w:val="none" w:sz="0" w:space="0" w:color="auto"/>
            <w:bottom w:val="none" w:sz="0" w:space="0" w:color="auto"/>
            <w:right w:val="none" w:sz="0" w:space="0" w:color="auto"/>
          </w:divBdr>
        </w:div>
        <w:div w:id="208079019">
          <w:marLeft w:val="0"/>
          <w:marRight w:val="0"/>
          <w:marTop w:val="0"/>
          <w:marBottom w:val="101"/>
          <w:divBdr>
            <w:top w:val="none" w:sz="0" w:space="0" w:color="auto"/>
            <w:left w:val="none" w:sz="0" w:space="0" w:color="auto"/>
            <w:bottom w:val="none" w:sz="0" w:space="0" w:color="auto"/>
            <w:right w:val="none" w:sz="0" w:space="0" w:color="auto"/>
          </w:divBdr>
        </w:div>
        <w:div w:id="608241788">
          <w:marLeft w:val="0"/>
          <w:marRight w:val="0"/>
          <w:marTop w:val="0"/>
          <w:marBottom w:val="101"/>
          <w:divBdr>
            <w:top w:val="none" w:sz="0" w:space="0" w:color="auto"/>
            <w:left w:val="none" w:sz="0" w:space="0" w:color="auto"/>
            <w:bottom w:val="none" w:sz="0" w:space="0" w:color="auto"/>
            <w:right w:val="none" w:sz="0" w:space="0" w:color="auto"/>
          </w:divBdr>
        </w:div>
        <w:div w:id="1995376117">
          <w:marLeft w:val="0"/>
          <w:marRight w:val="0"/>
          <w:marTop w:val="0"/>
          <w:marBottom w:val="101"/>
          <w:divBdr>
            <w:top w:val="none" w:sz="0" w:space="0" w:color="auto"/>
            <w:left w:val="none" w:sz="0" w:space="0" w:color="auto"/>
            <w:bottom w:val="none" w:sz="0" w:space="0" w:color="auto"/>
            <w:right w:val="none" w:sz="0" w:space="0" w:color="auto"/>
          </w:divBdr>
        </w:div>
        <w:div w:id="95827942">
          <w:marLeft w:val="342"/>
          <w:marRight w:val="0"/>
          <w:marTop w:val="0"/>
          <w:marBottom w:val="101"/>
          <w:divBdr>
            <w:top w:val="none" w:sz="0" w:space="0" w:color="auto"/>
            <w:left w:val="none" w:sz="0" w:space="0" w:color="auto"/>
            <w:bottom w:val="none" w:sz="0" w:space="0" w:color="auto"/>
            <w:right w:val="none" w:sz="0" w:space="0" w:color="auto"/>
          </w:divBdr>
        </w:div>
        <w:div w:id="409623201">
          <w:marLeft w:val="0"/>
          <w:marRight w:val="0"/>
          <w:marTop w:val="0"/>
          <w:marBottom w:val="101"/>
          <w:divBdr>
            <w:top w:val="none" w:sz="0" w:space="0" w:color="auto"/>
            <w:left w:val="none" w:sz="0" w:space="0" w:color="auto"/>
            <w:bottom w:val="none" w:sz="0" w:space="0" w:color="auto"/>
            <w:right w:val="none" w:sz="0" w:space="0" w:color="auto"/>
          </w:divBdr>
        </w:div>
        <w:div w:id="1912348438">
          <w:marLeft w:val="288"/>
          <w:marRight w:val="0"/>
          <w:marTop w:val="0"/>
          <w:marBottom w:val="101"/>
          <w:divBdr>
            <w:top w:val="none" w:sz="0" w:space="0" w:color="auto"/>
            <w:left w:val="none" w:sz="0" w:space="0" w:color="auto"/>
            <w:bottom w:val="none" w:sz="0" w:space="0" w:color="auto"/>
            <w:right w:val="none" w:sz="0" w:space="0" w:color="auto"/>
          </w:divBdr>
        </w:div>
        <w:div w:id="617643091">
          <w:marLeft w:val="288"/>
          <w:marRight w:val="0"/>
          <w:marTop w:val="0"/>
          <w:marBottom w:val="101"/>
          <w:divBdr>
            <w:top w:val="none" w:sz="0" w:space="0" w:color="auto"/>
            <w:left w:val="none" w:sz="0" w:space="0" w:color="auto"/>
            <w:bottom w:val="none" w:sz="0" w:space="0" w:color="auto"/>
            <w:right w:val="none" w:sz="0" w:space="0" w:color="auto"/>
          </w:divBdr>
        </w:div>
        <w:div w:id="385566756">
          <w:marLeft w:val="0"/>
          <w:marRight w:val="0"/>
          <w:marTop w:val="0"/>
          <w:marBottom w:val="101"/>
          <w:divBdr>
            <w:top w:val="none" w:sz="0" w:space="0" w:color="auto"/>
            <w:left w:val="none" w:sz="0" w:space="0" w:color="auto"/>
            <w:bottom w:val="none" w:sz="0" w:space="0" w:color="auto"/>
            <w:right w:val="none" w:sz="0" w:space="0" w:color="auto"/>
          </w:divBdr>
        </w:div>
        <w:div w:id="914514629">
          <w:marLeft w:val="0"/>
          <w:marRight w:val="0"/>
          <w:marTop w:val="0"/>
          <w:marBottom w:val="200"/>
          <w:divBdr>
            <w:top w:val="none" w:sz="0" w:space="0" w:color="auto"/>
            <w:left w:val="none" w:sz="0" w:space="0" w:color="auto"/>
            <w:bottom w:val="none" w:sz="0" w:space="0" w:color="auto"/>
            <w:right w:val="none" w:sz="0" w:space="0" w:color="auto"/>
          </w:divBdr>
        </w:div>
        <w:div w:id="295643981">
          <w:marLeft w:val="0"/>
          <w:marRight w:val="0"/>
          <w:marTop w:val="0"/>
          <w:marBottom w:val="101"/>
          <w:divBdr>
            <w:top w:val="none" w:sz="0" w:space="0" w:color="auto"/>
            <w:left w:val="none" w:sz="0" w:space="0" w:color="auto"/>
            <w:bottom w:val="none" w:sz="0" w:space="0" w:color="auto"/>
            <w:right w:val="none" w:sz="0" w:space="0" w:color="auto"/>
          </w:divBdr>
        </w:div>
        <w:div w:id="1237864113">
          <w:marLeft w:val="0"/>
          <w:marRight w:val="0"/>
          <w:marTop w:val="0"/>
          <w:marBottom w:val="101"/>
          <w:divBdr>
            <w:top w:val="none" w:sz="0" w:space="0" w:color="auto"/>
            <w:left w:val="none" w:sz="0" w:space="0" w:color="auto"/>
            <w:bottom w:val="none" w:sz="0" w:space="0" w:color="auto"/>
            <w:right w:val="none" w:sz="0" w:space="0" w:color="auto"/>
          </w:divBdr>
        </w:div>
        <w:div w:id="1884555722">
          <w:marLeft w:val="0"/>
          <w:marRight w:val="0"/>
          <w:marTop w:val="0"/>
          <w:marBottom w:val="101"/>
          <w:divBdr>
            <w:top w:val="none" w:sz="0" w:space="0" w:color="auto"/>
            <w:left w:val="none" w:sz="0" w:space="0" w:color="auto"/>
            <w:bottom w:val="none" w:sz="0" w:space="0" w:color="auto"/>
            <w:right w:val="none" w:sz="0" w:space="0" w:color="auto"/>
          </w:divBdr>
        </w:div>
        <w:div w:id="398137843">
          <w:marLeft w:val="0"/>
          <w:marRight w:val="0"/>
          <w:marTop w:val="0"/>
          <w:marBottom w:val="101"/>
          <w:divBdr>
            <w:top w:val="none" w:sz="0" w:space="0" w:color="auto"/>
            <w:left w:val="none" w:sz="0" w:space="0" w:color="auto"/>
            <w:bottom w:val="none" w:sz="0" w:space="0" w:color="auto"/>
            <w:right w:val="none" w:sz="0" w:space="0" w:color="auto"/>
          </w:divBdr>
        </w:div>
        <w:div w:id="477889443">
          <w:marLeft w:val="0"/>
          <w:marRight w:val="0"/>
          <w:marTop w:val="0"/>
          <w:marBottom w:val="101"/>
          <w:divBdr>
            <w:top w:val="none" w:sz="0" w:space="0" w:color="auto"/>
            <w:left w:val="none" w:sz="0" w:space="0" w:color="auto"/>
            <w:bottom w:val="none" w:sz="0" w:space="0" w:color="auto"/>
            <w:right w:val="none" w:sz="0" w:space="0" w:color="auto"/>
          </w:divBdr>
        </w:div>
        <w:div w:id="418064166">
          <w:marLeft w:val="0"/>
          <w:marRight w:val="0"/>
          <w:marTop w:val="0"/>
          <w:marBottom w:val="101"/>
          <w:divBdr>
            <w:top w:val="none" w:sz="0" w:space="0" w:color="auto"/>
            <w:left w:val="none" w:sz="0" w:space="0" w:color="auto"/>
            <w:bottom w:val="none" w:sz="0" w:space="0" w:color="auto"/>
            <w:right w:val="none" w:sz="0" w:space="0" w:color="auto"/>
          </w:divBdr>
        </w:div>
        <w:div w:id="1729455640">
          <w:marLeft w:val="130"/>
          <w:marRight w:val="0"/>
          <w:marTop w:val="0"/>
          <w:marBottom w:val="101"/>
          <w:divBdr>
            <w:top w:val="none" w:sz="0" w:space="0" w:color="auto"/>
            <w:left w:val="none" w:sz="0" w:space="0" w:color="auto"/>
            <w:bottom w:val="none" w:sz="0" w:space="0" w:color="auto"/>
            <w:right w:val="none" w:sz="0" w:space="0" w:color="auto"/>
          </w:divBdr>
        </w:div>
        <w:div w:id="1527282767">
          <w:marLeft w:val="130"/>
          <w:marRight w:val="0"/>
          <w:marTop w:val="0"/>
          <w:marBottom w:val="101"/>
          <w:divBdr>
            <w:top w:val="none" w:sz="0" w:space="0" w:color="auto"/>
            <w:left w:val="none" w:sz="0" w:space="0" w:color="auto"/>
            <w:bottom w:val="none" w:sz="0" w:space="0" w:color="auto"/>
            <w:right w:val="none" w:sz="0" w:space="0" w:color="auto"/>
          </w:divBdr>
        </w:div>
        <w:div w:id="1418748049">
          <w:marLeft w:val="0"/>
          <w:marRight w:val="0"/>
          <w:marTop w:val="101"/>
          <w:marBottom w:val="101"/>
          <w:divBdr>
            <w:top w:val="none" w:sz="0" w:space="0" w:color="auto"/>
            <w:left w:val="none" w:sz="0" w:space="0" w:color="auto"/>
            <w:bottom w:val="none" w:sz="0" w:space="0" w:color="auto"/>
            <w:right w:val="none" w:sz="0" w:space="0" w:color="auto"/>
          </w:divBdr>
        </w:div>
        <w:div w:id="1008408722">
          <w:marLeft w:val="0"/>
          <w:marRight w:val="0"/>
          <w:marTop w:val="0"/>
          <w:marBottom w:val="101"/>
          <w:divBdr>
            <w:top w:val="none" w:sz="0" w:space="0" w:color="auto"/>
            <w:left w:val="none" w:sz="0" w:space="0" w:color="auto"/>
            <w:bottom w:val="none" w:sz="0" w:space="0" w:color="auto"/>
            <w:right w:val="none" w:sz="0" w:space="0" w:color="auto"/>
          </w:divBdr>
        </w:div>
        <w:div w:id="465854272">
          <w:marLeft w:val="720"/>
          <w:marRight w:val="0"/>
          <w:marTop w:val="0"/>
          <w:marBottom w:val="101"/>
          <w:divBdr>
            <w:top w:val="none" w:sz="0" w:space="0" w:color="auto"/>
            <w:left w:val="none" w:sz="0" w:space="0" w:color="auto"/>
            <w:bottom w:val="none" w:sz="0" w:space="0" w:color="auto"/>
            <w:right w:val="none" w:sz="0" w:space="0" w:color="auto"/>
          </w:divBdr>
        </w:div>
        <w:div w:id="988242980">
          <w:marLeft w:val="1080"/>
          <w:marRight w:val="0"/>
          <w:marTop w:val="0"/>
          <w:marBottom w:val="101"/>
          <w:divBdr>
            <w:top w:val="none" w:sz="0" w:space="0" w:color="auto"/>
            <w:left w:val="none" w:sz="0" w:space="0" w:color="auto"/>
            <w:bottom w:val="none" w:sz="0" w:space="0" w:color="auto"/>
            <w:right w:val="none" w:sz="0" w:space="0" w:color="auto"/>
          </w:divBdr>
        </w:div>
        <w:div w:id="1349025249">
          <w:marLeft w:val="1080"/>
          <w:marRight w:val="0"/>
          <w:marTop w:val="0"/>
          <w:marBottom w:val="101"/>
          <w:divBdr>
            <w:top w:val="none" w:sz="0" w:space="0" w:color="auto"/>
            <w:left w:val="none" w:sz="0" w:space="0" w:color="auto"/>
            <w:bottom w:val="none" w:sz="0" w:space="0" w:color="auto"/>
            <w:right w:val="none" w:sz="0" w:space="0" w:color="auto"/>
          </w:divBdr>
        </w:div>
        <w:div w:id="996568080">
          <w:marLeft w:val="1080"/>
          <w:marRight w:val="0"/>
          <w:marTop w:val="0"/>
          <w:marBottom w:val="101"/>
          <w:divBdr>
            <w:top w:val="none" w:sz="0" w:space="0" w:color="auto"/>
            <w:left w:val="none" w:sz="0" w:space="0" w:color="auto"/>
            <w:bottom w:val="none" w:sz="0" w:space="0" w:color="auto"/>
            <w:right w:val="none" w:sz="0" w:space="0" w:color="auto"/>
          </w:divBdr>
        </w:div>
        <w:div w:id="1078937538">
          <w:marLeft w:val="1080"/>
          <w:marRight w:val="0"/>
          <w:marTop w:val="0"/>
          <w:marBottom w:val="101"/>
          <w:divBdr>
            <w:top w:val="none" w:sz="0" w:space="0" w:color="auto"/>
            <w:left w:val="none" w:sz="0" w:space="0" w:color="auto"/>
            <w:bottom w:val="none" w:sz="0" w:space="0" w:color="auto"/>
            <w:right w:val="none" w:sz="0" w:space="0" w:color="auto"/>
          </w:divBdr>
        </w:div>
        <w:div w:id="145170912">
          <w:marLeft w:val="1080"/>
          <w:marRight w:val="0"/>
          <w:marTop w:val="0"/>
          <w:marBottom w:val="101"/>
          <w:divBdr>
            <w:top w:val="none" w:sz="0" w:space="0" w:color="auto"/>
            <w:left w:val="none" w:sz="0" w:space="0" w:color="auto"/>
            <w:bottom w:val="none" w:sz="0" w:space="0" w:color="auto"/>
            <w:right w:val="none" w:sz="0" w:space="0" w:color="auto"/>
          </w:divBdr>
        </w:div>
        <w:div w:id="850922804">
          <w:marLeft w:val="1080"/>
          <w:marRight w:val="0"/>
          <w:marTop w:val="0"/>
          <w:marBottom w:val="101"/>
          <w:divBdr>
            <w:top w:val="none" w:sz="0" w:space="0" w:color="auto"/>
            <w:left w:val="none" w:sz="0" w:space="0" w:color="auto"/>
            <w:bottom w:val="none" w:sz="0" w:space="0" w:color="auto"/>
            <w:right w:val="none" w:sz="0" w:space="0" w:color="auto"/>
          </w:divBdr>
        </w:div>
        <w:div w:id="163011648">
          <w:marLeft w:val="1080"/>
          <w:marRight w:val="0"/>
          <w:marTop w:val="0"/>
          <w:marBottom w:val="101"/>
          <w:divBdr>
            <w:top w:val="none" w:sz="0" w:space="0" w:color="auto"/>
            <w:left w:val="none" w:sz="0" w:space="0" w:color="auto"/>
            <w:bottom w:val="none" w:sz="0" w:space="0" w:color="auto"/>
            <w:right w:val="none" w:sz="0" w:space="0" w:color="auto"/>
          </w:divBdr>
        </w:div>
        <w:div w:id="565796073">
          <w:marLeft w:val="1080"/>
          <w:marRight w:val="0"/>
          <w:marTop w:val="0"/>
          <w:marBottom w:val="101"/>
          <w:divBdr>
            <w:top w:val="none" w:sz="0" w:space="0" w:color="auto"/>
            <w:left w:val="none" w:sz="0" w:space="0" w:color="auto"/>
            <w:bottom w:val="none" w:sz="0" w:space="0" w:color="auto"/>
            <w:right w:val="none" w:sz="0" w:space="0" w:color="auto"/>
          </w:divBdr>
        </w:div>
        <w:div w:id="1902129316">
          <w:marLeft w:val="1080"/>
          <w:marRight w:val="0"/>
          <w:marTop w:val="0"/>
          <w:marBottom w:val="101"/>
          <w:divBdr>
            <w:top w:val="none" w:sz="0" w:space="0" w:color="auto"/>
            <w:left w:val="none" w:sz="0" w:space="0" w:color="auto"/>
            <w:bottom w:val="none" w:sz="0" w:space="0" w:color="auto"/>
            <w:right w:val="none" w:sz="0" w:space="0" w:color="auto"/>
          </w:divBdr>
        </w:div>
        <w:div w:id="560600946">
          <w:marLeft w:val="720"/>
          <w:marRight w:val="0"/>
          <w:marTop w:val="0"/>
          <w:marBottom w:val="101"/>
          <w:divBdr>
            <w:top w:val="none" w:sz="0" w:space="0" w:color="auto"/>
            <w:left w:val="none" w:sz="0" w:space="0" w:color="auto"/>
            <w:bottom w:val="none" w:sz="0" w:space="0" w:color="auto"/>
            <w:right w:val="none" w:sz="0" w:space="0" w:color="auto"/>
          </w:divBdr>
        </w:div>
        <w:div w:id="146365915">
          <w:marLeft w:val="1080"/>
          <w:marRight w:val="0"/>
          <w:marTop w:val="0"/>
          <w:marBottom w:val="101"/>
          <w:divBdr>
            <w:top w:val="none" w:sz="0" w:space="0" w:color="auto"/>
            <w:left w:val="none" w:sz="0" w:space="0" w:color="auto"/>
            <w:bottom w:val="none" w:sz="0" w:space="0" w:color="auto"/>
            <w:right w:val="none" w:sz="0" w:space="0" w:color="auto"/>
          </w:divBdr>
        </w:div>
        <w:div w:id="738551189">
          <w:marLeft w:val="1080"/>
          <w:marRight w:val="0"/>
          <w:marTop w:val="0"/>
          <w:marBottom w:val="101"/>
          <w:divBdr>
            <w:top w:val="none" w:sz="0" w:space="0" w:color="auto"/>
            <w:left w:val="none" w:sz="0" w:space="0" w:color="auto"/>
            <w:bottom w:val="none" w:sz="0" w:space="0" w:color="auto"/>
            <w:right w:val="none" w:sz="0" w:space="0" w:color="auto"/>
          </w:divBdr>
        </w:div>
        <w:div w:id="552279495">
          <w:marLeft w:val="1080"/>
          <w:marRight w:val="0"/>
          <w:marTop w:val="0"/>
          <w:marBottom w:val="101"/>
          <w:divBdr>
            <w:top w:val="none" w:sz="0" w:space="0" w:color="auto"/>
            <w:left w:val="none" w:sz="0" w:space="0" w:color="auto"/>
            <w:bottom w:val="none" w:sz="0" w:space="0" w:color="auto"/>
            <w:right w:val="none" w:sz="0" w:space="0" w:color="auto"/>
          </w:divBdr>
        </w:div>
        <w:div w:id="1952735713">
          <w:marLeft w:val="1440"/>
          <w:marRight w:val="0"/>
          <w:marTop w:val="0"/>
          <w:marBottom w:val="101"/>
          <w:divBdr>
            <w:top w:val="none" w:sz="0" w:space="0" w:color="auto"/>
            <w:left w:val="none" w:sz="0" w:space="0" w:color="auto"/>
            <w:bottom w:val="none" w:sz="0" w:space="0" w:color="auto"/>
            <w:right w:val="none" w:sz="0" w:space="0" w:color="auto"/>
          </w:divBdr>
        </w:div>
        <w:div w:id="347489798">
          <w:marLeft w:val="1440"/>
          <w:marRight w:val="0"/>
          <w:marTop w:val="0"/>
          <w:marBottom w:val="101"/>
          <w:divBdr>
            <w:top w:val="none" w:sz="0" w:space="0" w:color="auto"/>
            <w:left w:val="none" w:sz="0" w:space="0" w:color="auto"/>
            <w:bottom w:val="none" w:sz="0" w:space="0" w:color="auto"/>
            <w:right w:val="none" w:sz="0" w:space="0" w:color="auto"/>
          </w:divBdr>
        </w:div>
        <w:div w:id="2111001104">
          <w:marLeft w:val="1440"/>
          <w:marRight w:val="0"/>
          <w:marTop w:val="0"/>
          <w:marBottom w:val="101"/>
          <w:divBdr>
            <w:top w:val="none" w:sz="0" w:space="0" w:color="auto"/>
            <w:left w:val="none" w:sz="0" w:space="0" w:color="auto"/>
            <w:bottom w:val="none" w:sz="0" w:space="0" w:color="auto"/>
            <w:right w:val="none" w:sz="0" w:space="0" w:color="auto"/>
          </w:divBdr>
        </w:div>
        <w:div w:id="1200360905">
          <w:marLeft w:val="1440"/>
          <w:marRight w:val="0"/>
          <w:marTop w:val="0"/>
          <w:marBottom w:val="101"/>
          <w:divBdr>
            <w:top w:val="none" w:sz="0" w:space="0" w:color="auto"/>
            <w:left w:val="none" w:sz="0" w:space="0" w:color="auto"/>
            <w:bottom w:val="none" w:sz="0" w:space="0" w:color="auto"/>
            <w:right w:val="none" w:sz="0" w:space="0" w:color="auto"/>
          </w:divBdr>
        </w:div>
        <w:div w:id="1585532090">
          <w:marLeft w:val="1080"/>
          <w:marRight w:val="0"/>
          <w:marTop w:val="0"/>
          <w:marBottom w:val="101"/>
          <w:divBdr>
            <w:top w:val="none" w:sz="0" w:space="0" w:color="auto"/>
            <w:left w:val="none" w:sz="0" w:space="0" w:color="auto"/>
            <w:bottom w:val="none" w:sz="0" w:space="0" w:color="auto"/>
            <w:right w:val="none" w:sz="0" w:space="0" w:color="auto"/>
          </w:divBdr>
        </w:div>
        <w:div w:id="226457669">
          <w:marLeft w:val="0"/>
          <w:marRight w:val="0"/>
          <w:marTop w:val="0"/>
          <w:marBottom w:val="101"/>
          <w:divBdr>
            <w:top w:val="none" w:sz="0" w:space="0" w:color="auto"/>
            <w:left w:val="none" w:sz="0" w:space="0" w:color="auto"/>
            <w:bottom w:val="none" w:sz="0" w:space="0" w:color="auto"/>
            <w:right w:val="none" w:sz="0" w:space="0" w:color="auto"/>
          </w:divBdr>
        </w:div>
        <w:div w:id="346369892">
          <w:marLeft w:val="0"/>
          <w:marRight w:val="0"/>
          <w:marTop w:val="60"/>
          <w:marBottom w:val="101"/>
          <w:divBdr>
            <w:top w:val="none" w:sz="0" w:space="0" w:color="auto"/>
            <w:left w:val="none" w:sz="0" w:space="0" w:color="auto"/>
            <w:bottom w:val="none" w:sz="0" w:space="0" w:color="auto"/>
            <w:right w:val="none" w:sz="0" w:space="0" w:color="auto"/>
          </w:divBdr>
        </w:div>
        <w:div w:id="581060989">
          <w:marLeft w:val="0"/>
          <w:marRight w:val="0"/>
          <w:marTop w:val="60"/>
          <w:marBottom w:val="101"/>
          <w:divBdr>
            <w:top w:val="none" w:sz="0" w:space="0" w:color="auto"/>
            <w:left w:val="none" w:sz="0" w:space="0" w:color="auto"/>
            <w:bottom w:val="none" w:sz="0" w:space="0" w:color="auto"/>
            <w:right w:val="none" w:sz="0" w:space="0" w:color="auto"/>
          </w:divBdr>
        </w:div>
        <w:div w:id="1872456030">
          <w:marLeft w:val="0"/>
          <w:marRight w:val="0"/>
          <w:marTop w:val="60"/>
          <w:marBottom w:val="101"/>
          <w:divBdr>
            <w:top w:val="none" w:sz="0" w:space="0" w:color="auto"/>
            <w:left w:val="none" w:sz="0" w:space="0" w:color="auto"/>
            <w:bottom w:val="none" w:sz="0" w:space="0" w:color="auto"/>
            <w:right w:val="none" w:sz="0" w:space="0" w:color="auto"/>
          </w:divBdr>
        </w:div>
        <w:div w:id="1674726640">
          <w:marLeft w:val="0"/>
          <w:marRight w:val="0"/>
          <w:marTop w:val="60"/>
          <w:marBottom w:val="101"/>
          <w:divBdr>
            <w:top w:val="none" w:sz="0" w:space="0" w:color="auto"/>
            <w:left w:val="none" w:sz="0" w:space="0" w:color="auto"/>
            <w:bottom w:val="none" w:sz="0" w:space="0" w:color="auto"/>
            <w:right w:val="none" w:sz="0" w:space="0" w:color="auto"/>
          </w:divBdr>
        </w:div>
        <w:div w:id="982202569">
          <w:marLeft w:val="0"/>
          <w:marRight w:val="0"/>
          <w:marTop w:val="60"/>
          <w:marBottom w:val="101"/>
          <w:divBdr>
            <w:top w:val="none" w:sz="0" w:space="0" w:color="auto"/>
            <w:left w:val="none" w:sz="0" w:space="0" w:color="auto"/>
            <w:bottom w:val="none" w:sz="0" w:space="0" w:color="auto"/>
            <w:right w:val="none" w:sz="0" w:space="0" w:color="auto"/>
          </w:divBdr>
        </w:div>
        <w:div w:id="459150372">
          <w:marLeft w:val="0"/>
          <w:marRight w:val="0"/>
          <w:marTop w:val="60"/>
          <w:marBottom w:val="101"/>
          <w:divBdr>
            <w:top w:val="none" w:sz="0" w:space="0" w:color="auto"/>
            <w:left w:val="none" w:sz="0" w:space="0" w:color="auto"/>
            <w:bottom w:val="none" w:sz="0" w:space="0" w:color="auto"/>
            <w:right w:val="none" w:sz="0" w:space="0" w:color="auto"/>
          </w:divBdr>
        </w:div>
        <w:div w:id="883559201">
          <w:marLeft w:val="0"/>
          <w:marRight w:val="0"/>
          <w:marTop w:val="60"/>
          <w:marBottom w:val="101"/>
          <w:divBdr>
            <w:top w:val="none" w:sz="0" w:space="0" w:color="auto"/>
            <w:left w:val="none" w:sz="0" w:space="0" w:color="auto"/>
            <w:bottom w:val="none" w:sz="0" w:space="0" w:color="auto"/>
            <w:right w:val="none" w:sz="0" w:space="0" w:color="auto"/>
          </w:divBdr>
        </w:div>
        <w:div w:id="2030257004">
          <w:marLeft w:val="0"/>
          <w:marRight w:val="0"/>
          <w:marTop w:val="60"/>
          <w:marBottom w:val="101"/>
          <w:divBdr>
            <w:top w:val="none" w:sz="0" w:space="0" w:color="auto"/>
            <w:left w:val="none" w:sz="0" w:space="0" w:color="auto"/>
            <w:bottom w:val="none" w:sz="0" w:space="0" w:color="auto"/>
            <w:right w:val="none" w:sz="0" w:space="0" w:color="auto"/>
          </w:divBdr>
        </w:div>
        <w:div w:id="747580269">
          <w:marLeft w:val="0"/>
          <w:marRight w:val="0"/>
          <w:marTop w:val="60"/>
          <w:marBottom w:val="101"/>
          <w:divBdr>
            <w:top w:val="none" w:sz="0" w:space="0" w:color="auto"/>
            <w:left w:val="none" w:sz="0" w:space="0" w:color="auto"/>
            <w:bottom w:val="none" w:sz="0" w:space="0" w:color="auto"/>
            <w:right w:val="none" w:sz="0" w:space="0" w:color="auto"/>
          </w:divBdr>
        </w:div>
        <w:div w:id="44793106">
          <w:marLeft w:val="0"/>
          <w:marRight w:val="0"/>
          <w:marTop w:val="60"/>
          <w:marBottom w:val="101"/>
          <w:divBdr>
            <w:top w:val="none" w:sz="0" w:space="0" w:color="auto"/>
            <w:left w:val="none" w:sz="0" w:space="0" w:color="auto"/>
            <w:bottom w:val="none" w:sz="0" w:space="0" w:color="auto"/>
            <w:right w:val="none" w:sz="0" w:space="0" w:color="auto"/>
          </w:divBdr>
        </w:div>
        <w:div w:id="1231115917">
          <w:marLeft w:val="0"/>
          <w:marRight w:val="0"/>
          <w:marTop w:val="60"/>
          <w:marBottom w:val="101"/>
          <w:divBdr>
            <w:top w:val="none" w:sz="0" w:space="0" w:color="auto"/>
            <w:left w:val="none" w:sz="0" w:space="0" w:color="auto"/>
            <w:bottom w:val="none" w:sz="0" w:space="0" w:color="auto"/>
            <w:right w:val="none" w:sz="0" w:space="0" w:color="auto"/>
          </w:divBdr>
        </w:div>
        <w:div w:id="2134320038">
          <w:marLeft w:val="0"/>
          <w:marRight w:val="0"/>
          <w:marTop w:val="60"/>
          <w:marBottom w:val="101"/>
          <w:divBdr>
            <w:top w:val="none" w:sz="0" w:space="0" w:color="auto"/>
            <w:left w:val="none" w:sz="0" w:space="0" w:color="auto"/>
            <w:bottom w:val="none" w:sz="0" w:space="0" w:color="auto"/>
            <w:right w:val="none" w:sz="0" w:space="0" w:color="auto"/>
          </w:divBdr>
        </w:div>
        <w:div w:id="729881952">
          <w:marLeft w:val="0"/>
          <w:marRight w:val="0"/>
          <w:marTop w:val="60"/>
          <w:marBottom w:val="101"/>
          <w:divBdr>
            <w:top w:val="none" w:sz="0" w:space="0" w:color="auto"/>
            <w:left w:val="none" w:sz="0" w:space="0" w:color="auto"/>
            <w:bottom w:val="none" w:sz="0" w:space="0" w:color="auto"/>
            <w:right w:val="none" w:sz="0" w:space="0" w:color="auto"/>
          </w:divBdr>
        </w:div>
        <w:div w:id="1850488397">
          <w:marLeft w:val="0"/>
          <w:marRight w:val="0"/>
          <w:marTop w:val="60"/>
          <w:marBottom w:val="101"/>
          <w:divBdr>
            <w:top w:val="none" w:sz="0" w:space="0" w:color="auto"/>
            <w:left w:val="none" w:sz="0" w:space="0" w:color="auto"/>
            <w:bottom w:val="none" w:sz="0" w:space="0" w:color="auto"/>
            <w:right w:val="none" w:sz="0" w:space="0" w:color="auto"/>
          </w:divBdr>
        </w:div>
        <w:div w:id="1002272560">
          <w:marLeft w:val="0"/>
          <w:marRight w:val="0"/>
          <w:marTop w:val="60"/>
          <w:marBottom w:val="101"/>
          <w:divBdr>
            <w:top w:val="none" w:sz="0" w:space="0" w:color="auto"/>
            <w:left w:val="none" w:sz="0" w:space="0" w:color="auto"/>
            <w:bottom w:val="none" w:sz="0" w:space="0" w:color="auto"/>
            <w:right w:val="none" w:sz="0" w:space="0" w:color="auto"/>
          </w:divBdr>
        </w:div>
        <w:div w:id="706679046">
          <w:marLeft w:val="0"/>
          <w:marRight w:val="0"/>
          <w:marTop w:val="60"/>
          <w:marBottom w:val="101"/>
          <w:divBdr>
            <w:top w:val="none" w:sz="0" w:space="0" w:color="auto"/>
            <w:left w:val="none" w:sz="0" w:space="0" w:color="auto"/>
            <w:bottom w:val="none" w:sz="0" w:space="0" w:color="auto"/>
            <w:right w:val="none" w:sz="0" w:space="0" w:color="auto"/>
          </w:divBdr>
        </w:div>
        <w:div w:id="471101385">
          <w:marLeft w:val="0"/>
          <w:marRight w:val="0"/>
          <w:marTop w:val="60"/>
          <w:marBottom w:val="101"/>
          <w:divBdr>
            <w:top w:val="none" w:sz="0" w:space="0" w:color="auto"/>
            <w:left w:val="none" w:sz="0" w:space="0" w:color="auto"/>
            <w:bottom w:val="none" w:sz="0" w:space="0" w:color="auto"/>
            <w:right w:val="none" w:sz="0" w:space="0" w:color="auto"/>
          </w:divBdr>
        </w:div>
        <w:div w:id="748499538">
          <w:marLeft w:val="0"/>
          <w:marRight w:val="0"/>
          <w:marTop w:val="60"/>
          <w:marBottom w:val="101"/>
          <w:divBdr>
            <w:top w:val="none" w:sz="0" w:space="0" w:color="auto"/>
            <w:left w:val="none" w:sz="0" w:space="0" w:color="auto"/>
            <w:bottom w:val="none" w:sz="0" w:space="0" w:color="auto"/>
            <w:right w:val="none" w:sz="0" w:space="0" w:color="auto"/>
          </w:divBdr>
        </w:div>
        <w:div w:id="2020571749">
          <w:marLeft w:val="0"/>
          <w:marRight w:val="0"/>
          <w:marTop w:val="60"/>
          <w:marBottom w:val="101"/>
          <w:divBdr>
            <w:top w:val="none" w:sz="0" w:space="0" w:color="auto"/>
            <w:left w:val="none" w:sz="0" w:space="0" w:color="auto"/>
            <w:bottom w:val="none" w:sz="0" w:space="0" w:color="auto"/>
            <w:right w:val="none" w:sz="0" w:space="0" w:color="auto"/>
          </w:divBdr>
        </w:div>
        <w:div w:id="831332274">
          <w:marLeft w:val="0"/>
          <w:marRight w:val="0"/>
          <w:marTop w:val="60"/>
          <w:marBottom w:val="101"/>
          <w:divBdr>
            <w:top w:val="none" w:sz="0" w:space="0" w:color="auto"/>
            <w:left w:val="none" w:sz="0" w:space="0" w:color="auto"/>
            <w:bottom w:val="none" w:sz="0" w:space="0" w:color="auto"/>
            <w:right w:val="none" w:sz="0" w:space="0" w:color="auto"/>
          </w:divBdr>
        </w:div>
        <w:div w:id="846483708">
          <w:marLeft w:val="0"/>
          <w:marRight w:val="0"/>
          <w:marTop w:val="20"/>
          <w:marBottom w:val="101"/>
          <w:divBdr>
            <w:top w:val="none" w:sz="0" w:space="0" w:color="auto"/>
            <w:left w:val="none" w:sz="0" w:space="0" w:color="auto"/>
            <w:bottom w:val="none" w:sz="0" w:space="0" w:color="auto"/>
            <w:right w:val="none" w:sz="0" w:space="0" w:color="auto"/>
          </w:divBdr>
        </w:div>
        <w:div w:id="1845394231">
          <w:marLeft w:val="648"/>
          <w:marRight w:val="0"/>
          <w:marTop w:val="0"/>
          <w:marBottom w:val="101"/>
          <w:divBdr>
            <w:top w:val="none" w:sz="0" w:space="0" w:color="auto"/>
            <w:left w:val="none" w:sz="0" w:space="0" w:color="auto"/>
            <w:bottom w:val="none" w:sz="0" w:space="0" w:color="auto"/>
            <w:right w:val="none" w:sz="0" w:space="0" w:color="auto"/>
          </w:divBdr>
        </w:div>
        <w:div w:id="487095457">
          <w:marLeft w:val="648"/>
          <w:marRight w:val="0"/>
          <w:marTop w:val="0"/>
          <w:marBottom w:val="101"/>
          <w:divBdr>
            <w:top w:val="none" w:sz="0" w:space="0" w:color="auto"/>
            <w:left w:val="none" w:sz="0" w:space="0" w:color="auto"/>
            <w:bottom w:val="none" w:sz="0" w:space="0" w:color="auto"/>
            <w:right w:val="none" w:sz="0" w:space="0" w:color="auto"/>
          </w:divBdr>
        </w:div>
        <w:div w:id="1501001583">
          <w:marLeft w:val="0"/>
          <w:marRight w:val="0"/>
          <w:marTop w:val="60"/>
          <w:marBottom w:val="101"/>
          <w:divBdr>
            <w:top w:val="none" w:sz="0" w:space="0" w:color="auto"/>
            <w:left w:val="none" w:sz="0" w:space="0" w:color="auto"/>
            <w:bottom w:val="none" w:sz="0" w:space="0" w:color="auto"/>
            <w:right w:val="none" w:sz="0" w:space="0" w:color="auto"/>
          </w:divBdr>
        </w:div>
        <w:div w:id="122771536">
          <w:marLeft w:val="0"/>
          <w:marRight w:val="0"/>
          <w:marTop w:val="60"/>
          <w:marBottom w:val="101"/>
          <w:divBdr>
            <w:top w:val="none" w:sz="0" w:space="0" w:color="auto"/>
            <w:left w:val="none" w:sz="0" w:space="0" w:color="auto"/>
            <w:bottom w:val="none" w:sz="0" w:space="0" w:color="auto"/>
            <w:right w:val="none" w:sz="0" w:space="0" w:color="auto"/>
          </w:divBdr>
        </w:div>
        <w:div w:id="359673024">
          <w:marLeft w:val="0"/>
          <w:marRight w:val="0"/>
          <w:marTop w:val="60"/>
          <w:marBottom w:val="101"/>
          <w:divBdr>
            <w:top w:val="none" w:sz="0" w:space="0" w:color="auto"/>
            <w:left w:val="none" w:sz="0" w:space="0" w:color="auto"/>
            <w:bottom w:val="none" w:sz="0" w:space="0" w:color="auto"/>
            <w:right w:val="none" w:sz="0" w:space="0" w:color="auto"/>
          </w:divBdr>
        </w:div>
        <w:div w:id="1496455813">
          <w:marLeft w:val="0"/>
          <w:marRight w:val="0"/>
          <w:marTop w:val="60"/>
          <w:marBottom w:val="101"/>
          <w:divBdr>
            <w:top w:val="none" w:sz="0" w:space="0" w:color="auto"/>
            <w:left w:val="none" w:sz="0" w:space="0" w:color="auto"/>
            <w:bottom w:val="none" w:sz="0" w:space="0" w:color="auto"/>
            <w:right w:val="none" w:sz="0" w:space="0" w:color="auto"/>
          </w:divBdr>
        </w:div>
        <w:div w:id="2126463613">
          <w:marLeft w:val="0"/>
          <w:marRight w:val="0"/>
          <w:marTop w:val="60"/>
          <w:marBottom w:val="101"/>
          <w:divBdr>
            <w:top w:val="none" w:sz="0" w:space="0" w:color="auto"/>
            <w:left w:val="none" w:sz="0" w:space="0" w:color="auto"/>
            <w:bottom w:val="none" w:sz="0" w:space="0" w:color="auto"/>
            <w:right w:val="none" w:sz="0" w:space="0" w:color="auto"/>
          </w:divBdr>
        </w:div>
        <w:div w:id="1208419540">
          <w:marLeft w:val="0"/>
          <w:marRight w:val="0"/>
          <w:marTop w:val="60"/>
          <w:marBottom w:val="101"/>
          <w:divBdr>
            <w:top w:val="none" w:sz="0" w:space="0" w:color="auto"/>
            <w:left w:val="none" w:sz="0" w:space="0" w:color="auto"/>
            <w:bottom w:val="none" w:sz="0" w:space="0" w:color="auto"/>
            <w:right w:val="none" w:sz="0" w:space="0" w:color="auto"/>
          </w:divBdr>
        </w:div>
        <w:div w:id="1018894848">
          <w:marLeft w:val="0"/>
          <w:marRight w:val="0"/>
          <w:marTop w:val="60"/>
          <w:marBottom w:val="101"/>
          <w:divBdr>
            <w:top w:val="none" w:sz="0" w:space="0" w:color="auto"/>
            <w:left w:val="none" w:sz="0" w:space="0" w:color="auto"/>
            <w:bottom w:val="none" w:sz="0" w:space="0" w:color="auto"/>
            <w:right w:val="none" w:sz="0" w:space="0" w:color="auto"/>
          </w:divBdr>
        </w:div>
        <w:div w:id="337082809">
          <w:marLeft w:val="0"/>
          <w:marRight w:val="0"/>
          <w:marTop w:val="60"/>
          <w:marBottom w:val="101"/>
          <w:divBdr>
            <w:top w:val="none" w:sz="0" w:space="0" w:color="auto"/>
            <w:left w:val="none" w:sz="0" w:space="0" w:color="auto"/>
            <w:bottom w:val="none" w:sz="0" w:space="0" w:color="auto"/>
            <w:right w:val="none" w:sz="0" w:space="0" w:color="auto"/>
          </w:divBdr>
        </w:div>
        <w:div w:id="1747336977">
          <w:marLeft w:val="0"/>
          <w:marRight w:val="0"/>
          <w:marTop w:val="60"/>
          <w:marBottom w:val="101"/>
          <w:divBdr>
            <w:top w:val="none" w:sz="0" w:space="0" w:color="auto"/>
            <w:left w:val="none" w:sz="0" w:space="0" w:color="auto"/>
            <w:bottom w:val="none" w:sz="0" w:space="0" w:color="auto"/>
            <w:right w:val="none" w:sz="0" w:space="0" w:color="auto"/>
          </w:divBdr>
        </w:div>
        <w:div w:id="2024940701">
          <w:marLeft w:val="0"/>
          <w:marRight w:val="0"/>
          <w:marTop w:val="60"/>
          <w:marBottom w:val="101"/>
          <w:divBdr>
            <w:top w:val="none" w:sz="0" w:space="0" w:color="auto"/>
            <w:left w:val="none" w:sz="0" w:space="0" w:color="auto"/>
            <w:bottom w:val="none" w:sz="0" w:space="0" w:color="auto"/>
            <w:right w:val="none" w:sz="0" w:space="0" w:color="auto"/>
          </w:divBdr>
        </w:div>
        <w:div w:id="846288757">
          <w:marLeft w:val="0"/>
          <w:marRight w:val="0"/>
          <w:marTop w:val="60"/>
          <w:marBottom w:val="101"/>
          <w:divBdr>
            <w:top w:val="none" w:sz="0" w:space="0" w:color="auto"/>
            <w:left w:val="none" w:sz="0" w:space="0" w:color="auto"/>
            <w:bottom w:val="none" w:sz="0" w:space="0" w:color="auto"/>
            <w:right w:val="none" w:sz="0" w:space="0" w:color="auto"/>
          </w:divBdr>
        </w:div>
        <w:div w:id="1130436988">
          <w:marLeft w:val="0"/>
          <w:marRight w:val="0"/>
          <w:marTop w:val="60"/>
          <w:marBottom w:val="101"/>
          <w:divBdr>
            <w:top w:val="none" w:sz="0" w:space="0" w:color="auto"/>
            <w:left w:val="none" w:sz="0" w:space="0" w:color="auto"/>
            <w:bottom w:val="none" w:sz="0" w:space="0" w:color="auto"/>
            <w:right w:val="none" w:sz="0" w:space="0" w:color="auto"/>
          </w:divBdr>
        </w:div>
        <w:div w:id="1255826210">
          <w:marLeft w:val="0"/>
          <w:marRight w:val="0"/>
          <w:marTop w:val="60"/>
          <w:marBottom w:val="101"/>
          <w:divBdr>
            <w:top w:val="none" w:sz="0" w:space="0" w:color="auto"/>
            <w:left w:val="none" w:sz="0" w:space="0" w:color="auto"/>
            <w:bottom w:val="none" w:sz="0" w:space="0" w:color="auto"/>
            <w:right w:val="none" w:sz="0" w:space="0" w:color="auto"/>
          </w:divBdr>
        </w:div>
        <w:div w:id="597099220">
          <w:marLeft w:val="0"/>
          <w:marRight w:val="0"/>
          <w:marTop w:val="60"/>
          <w:marBottom w:val="101"/>
          <w:divBdr>
            <w:top w:val="none" w:sz="0" w:space="0" w:color="auto"/>
            <w:left w:val="none" w:sz="0" w:space="0" w:color="auto"/>
            <w:bottom w:val="none" w:sz="0" w:space="0" w:color="auto"/>
            <w:right w:val="none" w:sz="0" w:space="0" w:color="auto"/>
          </w:divBdr>
        </w:div>
        <w:div w:id="1962034721">
          <w:marLeft w:val="0"/>
          <w:marRight w:val="0"/>
          <w:marTop w:val="60"/>
          <w:marBottom w:val="101"/>
          <w:divBdr>
            <w:top w:val="none" w:sz="0" w:space="0" w:color="auto"/>
            <w:left w:val="none" w:sz="0" w:space="0" w:color="auto"/>
            <w:bottom w:val="none" w:sz="0" w:space="0" w:color="auto"/>
            <w:right w:val="none" w:sz="0" w:space="0" w:color="auto"/>
          </w:divBdr>
        </w:div>
        <w:div w:id="222179734">
          <w:marLeft w:val="0"/>
          <w:marRight w:val="0"/>
          <w:marTop w:val="60"/>
          <w:marBottom w:val="101"/>
          <w:divBdr>
            <w:top w:val="none" w:sz="0" w:space="0" w:color="auto"/>
            <w:left w:val="none" w:sz="0" w:space="0" w:color="auto"/>
            <w:bottom w:val="none" w:sz="0" w:space="0" w:color="auto"/>
            <w:right w:val="none" w:sz="0" w:space="0" w:color="auto"/>
          </w:divBdr>
        </w:div>
        <w:div w:id="1408266712">
          <w:marLeft w:val="0"/>
          <w:marRight w:val="0"/>
          <w:marTop w:val="60"/>
          <w:marBottom w:val="101"/>
          <w:divBdr>
            <w:top w:val="none" w:sz="0" w:space="0" w:color="auto"/>
            <w:left w:val="none" w:sz="0" w:space="0" w:color="auto"/>
            <w:bottom w:val="none" w:sz="0" w:space="0" w:color="auto"/>
            <w:right w:val="none" w:sz="0" w:space="0" w:color="auto"/>
          </w:divBdr>
        </w:div>
        <w:div w:id="310528145">
          <w:marLeft w:val="0"/>
          <w:marRight w:val="0"/>
          <w:marTop w:val="60"/>
          <w:marBottom w:val="101"/>
          <w:divBdr>
            <w:top w:val="none" w:sz="0" w:space="0" w:color="auto"/>
            <w:left w:val="none" w:sz="0" w:space="0" w:color="auto"/>
            <w:bottom w:val="none" w:sz="0" w:space="0" w:color="auto"/>
            <w:right w:val="none" w:sz="0" w:space="0" w:color="auto"/>
          </w:divBdr>
        </w:div>
        <w:div w:id="104036787">
          <w:marLeft w:val="0"/>
          <w:marRight w:val="0"/>
          <w:marTop w:val="60"/>
          <w:marBottom w:val="101"/>
          <w:divBdr>
            <w:top w:val="none" w:sz="0" w:space="0" w:color="auto"/>
            <w:left w:val="none" w:sz="0" w:space="0" w:color="auto"/>
            <w:bottom w:val="none" w:sz="0" w:space="0" w:color="auto"/>
            <w:right w:val="none" w:sz="0" w:space="0" w:color="auto"/>
          </w:divBdr>
        </w:div>
        <w:div w:id="1667785885">
          <w:marLeft w:val="0"/>
          <w:marRight w:val="0"/>
          <w:marTop w:val="60"/>
          <w:marBottom w:val="101"/>
          <w:divBdr>
            <w:top w:val="none" w:sz="0" w:space="0" w:color="auto"/>
            <w:left w:val="none" w:sz="0" w:space="0" w:color="auto"/>
            <w:bottom w:val="none" w:sz="0" w:space="0" w:color="auto"/>
            <w:right w:val="none" w:sz="0" w:space="0" w:color="auto"/>
          </w:divBdr>
        </w:div>
        <w:div w:id="841624454">
          <w:marLeft w:val="0"/>
          <w:marRight w:val="0"/>
          <w:marTop w:val="20"/>
          <w:marBottom w:val="101"/>
          <w:divBdr>
            <w:top w:val="none" w:sz="0" w:space="0" w:color="auto"/>
            <w:left w:val="none" w:sz="0" w:space="0" w:color="auto"/>
            <w:bottom w:val="none" w:sz="0" w:space="0" w:color="auto"/>
            <w:right w:val="none" w:sz="0" w:space="0" w:color="auto"/>
          </w:divBdr>
        </w:div>
        <w:div w:id="1340234057">
          <w:marLeft w:val="0"/>
          <w:marRight w:val="0"/>
          <w:marTop w:val="101"/>
          <w:marBottom w:val="101"/>
          <w:divBdr>
            <w:top w:val="none" w:sz="0" w:space="0" w:color="auto"/>
            <w:left w:val="none" w:sz="0" w:space="0" w:color="auto"/>
            <w:bottom w:val="none" w:sz="0" w:space="0" w:color="auto"/>
            <w:right w:val="none" w:sz="0" w:space="0" w:color="auto"/>
          </w:divBdr>
        </w:div>
        <w:div w:id="1725449009">
          <w:marLeft w:val="0"/>
          <w:marRight w:val="0"/>
          <w:marTop w:val="0"/>
          <w:marBottom w:val="40"/>
          <w:divBdr>
            <w:top w:val="none" w:sz="0" w:space="0" w:color="auto"/>
            <w:left w:val="none" w:sz="0" w:space="0" w:color="auto"/>
            <w:bottom w:val="none" w:sz="0" w:space="0" w:color="auto"/>
            <w:right w:val="none" w:sz="0" w:space="0" w:color="auto"/>
          </w:divBdr>
        </w:div>
        <w:div w:id="1547646344">
          <w:marLeft w:val="0"/>
          <w:marRight w:val="0"/>
          <w:marTop w:val="0"/>
          <w:marBottom w:val="40"/>
          <w:divBdr>
            <w:top w:val="none" w:sz="0" w:space="0" w:color="auto"/>
            <w:left w:val="none" w:sz="0" w:space="0" w:color="auto"/>
            <w:bottom w:val="none" w:sz="0" w:space="0" w:color="auto"/>
            <w:right w:val="none" w:sz="0" w:space="0" w:color="auto"/>
          </w:divBdr>
        </w:div>
        <w:div w:id="1275406902">
          <w:marLeft w:val="0"/>
          <w:marRight w:val="0"/>
          <w:marTop w:val="0"/>
          <w:marBottom w:val="40"/>
          <w:divBdr>
            <w:top w:val="none" w:sz="0" w:space="0" w:color="auto"/>
            <w:left w:val="none" w:sz="0" w:space="0" w:color="auto"/>
            <w:bottom w:val="none" w:sz="0" w:space="0" w:color="auto"/>
            <w:right w:val="none" w:sz="0" w:space="0" w:color="auto"/>
          </w:divBdr>
        </w:div>
        <w:div w:id="1823691982">
          <w:marLeft w:val="0"/>
          <w:marRight w:val="0"/>
          <w:marTop w:val="0"/>
          <w:marBottom w:val="40"/>
          <w:divBdr>
            <w:top w:val="none" w:sz="0" w:space="0" w:color="auto"/>
            <w:left w:val="none" w:sz="0" w:space="0" w:color="auto"/>
            <w:bottom w:val="none" w:sz="0" w:space="0" w:color="auto"/>
            <w:right w:val="none" w:sz="0" w:space="0" w:color="auto"/>
          </w:divBdr>
        </w:div>
        <w:div w:id="267659221">
          <w:marLeft w:val="1080"/>
          <w:marRight w:val="0"/>
          <w:marTop w:val="0"/>
          <w:marBottom w:val="40"/>
          <w:divBdr>
            <w:top w:val="none" w:sz="0" w:space="0" w:color="auto"/>
            <w:left w:val="none" w:sz="0" w:space="0" w:color="auto"/>
            <w:bottom w:val="none" w:sz="0" w:space="0" w:color="auto"/>
            <w:right w:val="none" w:sz="0" w:space="0" w:color="auto"/>
          </w:divBdr>
        </w:div>
        <w:div w:id="812064538">
          <w:marLeft w:val="1080"/>
          <w:marRight w:val="0"/>
          <w:marTop w:val="0"/>
          <w:marBottom w:val="40"/>
          <w:divBdr>
            <w:top w:val="none" w:sz="0" w:space="0" w:color="auto"/>
            <w:left w:val="none" w:sz="0" w:space="0" w:color="auto"/>
            <w:bottom w:val="none" w:sz="0" w:space="0" w:color="auto"/>
            <w:right w:val="none" w:sz="0" w:space="0" w:color="auto"/>
          </w:divBdr>
        </w:div>
        <w:div w:id="1229877427">
          <w:marLeft w:val="0"/>
          <w:marRight w:val="0"/>
          <w:marTop w:val="0"/>
          <w:marBottom w:val="40"/>
          <w:divBdr>
            <w:top w:val="none" w:sz="0" w:space="0" w:color="auto"/>
            <w:left w:val="none" w:sz="0" w:space="0" w:color="auto"/>
            <w:bottom w:val="none" w:sz="0" w:space="0" w:color="auto"/>
            <w:right w:val="none" w:sz="0" w:space="0" w:color="auto"/>
          </w:divBdr>
        </w:div>
        <w:div w:id="893348397">
          <w:marLeft w:val="1080"/>
          <w:marRight w:val="0"/>
          <w:marTop w:val="0"/>
          <w:marBottom w:val="40"/>
          <w:divBdr>
            <w:top w:val="none" w:sz="0" w:space="0" w:color="auto"/>
            <w:left w:val="none" w:sz="0" w:space="0" w:color="auto"/>
            <w:bottom w:val="none" w:sz="0" w:space="0" w:color="auto"/>
            <w:right w:val="none" w:sz="0" w:space="0" w:color="auto"/>
          </w:divBdr>
        </w:div>
        <w:div w:id="1642422940">
          <w:marLeft w:val="1080"/>
          <w:marRight w:val="0"/>
          <w:marTop w:val="0"/>
          <w:marBottom w:val="40"/>
          <w:divBdr>
            <w:top w:val="none" w:sz="0" w:space="0" w:color="auto"/>
            <w:left w:val="none" w:sz="0" w:space="0" w:color="auto"/>
            <w:bottom w:val="none" w:sz="0" w:space="0" w:color="auto"/>
            <w:right w:val="none" w:sz="0" w:space="0" w:color="auto"/>
          </w:divBdr>
        </w:div>
        <w:div w:id="735513373">
          <w:marLeft w:val="1080"/>
          <w:marRight w:val="0"/>
          <w:marTop w:val="0"/>
          <w:marBottom w:val="40"/>
          <w:divBdr>
            <w:top w:val="none" w:sz="0" w:space="0" w:color="auto"/>
            <w:left w:val="none" w:sz="0" w:space="0" w:color="auto"/>
            <w:bottom w:val="none" w:sz="0" w:space="0" w:color="auto"/>
            <w:right w:val="none" w:sz="0" w:space="0" w:color="auto"/>
          </w:divBdr>
        </w:div>
        <w:div w:id="1619675012">
          <w:marLeft w:val="1080"/>
          <w:marRight w:val="0"/>
          <w:marTop w:val="0"/>
          <w:marBottom w:val="40"/>
          <w:divBdr>
            <w:top w:val="none" w:sz="0" w:space="0" w:color="auto"/>
            <w:left w:val="none" w:sz="0" w:space="0" w:color="auto"/>
            <w:bottom w:val="none" w:sz="0" w:space="0" w:color="auto"/>
            <w:right w:val="none" w:sz="0" w:space="0" w:color="auto"/>
          </w:divBdr>
        </w:div>
        <w:div w:id="592595814">
          <w:marLeft w:val="1440"/>
          <w:marRight w:val="0"/>
          <w:marTop w:val="0"/>
          <w:marBottom w:val="40"/>
          <w:divBdr>
            <w:top w:val="none" w:sz="0" w:space="0" w:color="auto"/>
            <w:left w:val="none" w:sz="0" w:space="0" w:color="auto"/>
            <w:bottom w:val="none" w:sz="0" w:space="0" w:color="auto"/>
            <w:right w:val="none" w:sz="0" w:space="0" w:color="auto"/>
          </w:divBdr>
        </w:div>
        <w:div w:id="714694418">
          <w:marLeft w:val="1440"/>
          <w:marRight w:val="0"/>
          <w:marTop w:val="0"/>
          <w:marBottom w:val="40"/>
          <w:divBdr>
            <w:top w:val="none" w:sz="0" w:space="0" w:color="auto"/>
            <w:left w:val="none" w:sz="0" w:space="0" w:color="auto"/>
            <w:bottom w:val="none" w:sz="0" w:space="0" w:color="auto"/>
            <w:right w:val="none" w:sz="0" w:space="0" w:color="auto"/>
          </w:divBdr>
        </w:div>
        <w:div w:id="1422409398">
          <w:marLeft w:val="1080"/>
          <w:marRight w:val="0"/>
          <w:marTop w:val="0"/>
          <w:marBottom w:val="40"/>
          <w:divBdr>
            <w:top w:val="none" w:sz="0" w:space="0" w:color="auto"/>
            <w:left w:val="none" w:sz="0" w:space="0" w:color="auto"/>
            <w:bottom w:val="none" w:sz="0" w:space="0" w:color="auto"/>
            <w:right w:val="none" w:sz="0" w:space="0" w:color="auto"/>
          </w:divBdr>
        </w:div>
        <w:div w:id="1402677661">
          <w:marLeft w:val="1440"/>
          <w:marRight w:val="0"/>
          <w:marTop w:val="0"/>
          <w:marBottom w:val="40"/>
          <w:divBdr>
            <w:top w:val="none" w:sz="0" w:space="0" w:color="auto"/>
            <w:left w:val="none" w:sz="0" w:space="0" w:color="auto"/>
            <w:bottom w:val="none" w:sz="0" w:space="0" w:color="auto"/>
            <w:right w:val="none" w:sz="0" w:space="0" w:color="auto"/>
          </w:divBdr>
        </w:div>
        <w:div w:id="2096634495">
          <w:marLeft w:val="1440"/>
          <w:marRight w:val="0"/>
          <w:marTop w:val="0"/>
          <w:marBottom w:val="40"/>
          <w:divBdr>
            <w:top w:val="none" w:sz="0" w:space="0" w:color="auto"/>
            <w:left w:val="none" w:sz="0" w:space="0" w:color="auto"/>
            <w:bottom w:val="none" w:sz="0" w:space="0" w:color="auto"/>
            <w:right w:val="none" w:sz="0" w:space="0" w:color="auto"/>
          </w:divBdr>
        </w:div>
        <w:div w:id="204605813">
          <w:marLeft w:val="0"/>
          <w:marRight w:val="0"/>
          <w:marTop w:val="0"/>
          <w:marBottom w:val="40"/>
          <w:divBdr>
            <w:top w:val="none" w:sz="0" w:space="0" w:color="auto"/>
            <w:left w:val="none" w:sz="0" w:space="0" w:color="auto"/>
            <w:bottom w:val="none" w:sz="0" w:space="0" w:color="auto"/>
            <w:right w:val="none" w:sz="0" w:space="0" w:color="auto"/>
          </w:divBdr>
        </w:div>
        <w:div w:id="1556742784">
          <w:marLeft w:val="1080"/>
          <w:marRight w:val="0"/>
          <w:marTop w:val="0"/>
          <w:marBottom w:val="40"/>
          <w:divBdr>
            <w:top w:val="none" w:sz="0" w:space="0" w:color="auto"/>
            <w:left w:val="none" w:sz="0" w:space="0" w:color="auto"/>
            <w:bottom w:val="none" w:sz="0" w:space="0" w:color="auto"/>
            <w:right w:val="none" w:sz="0" w:space="0" w:color="auto"/>
          </w:divBdr>
        </w:div>
        <w:div w:id="1806925649">
          <w:marLeft w:val="1080"/>
          <w:marRight w:val="0"/>
          <w:marTop w:val="0"/>
          <w:marBottom w:val="40"/>
          <w:divBdr>
            <w:top w:val="none" w:sz="0" w:space="0" w:color="auto"/>
            <w:left w:val="none" w:sz="0" w:space="0" w:color="auto"/>
            <w:bottom w:val="none" w:sz="0" w:space="0" w:color="auto"/>
            <w:right w:val="none" w:sz="0" w:space="0" w:color="auto"/>
          </w:divBdr>
        </w:div>
        <w:div w:id="1976374105">
          <w:marLeft w:val="0"/>
          <w:marRight w:val="0"/>
          <w:marTop w:val="0"/>
          <w:marBottom w:val="40"/>
          <w:divBdr>
            <w:top w:val="none" w:sz="0" w:space="0" w:color="auto"/>
            <w:left w:val="none" w:sz="0" w:space="0" w:color="auto"/>
            <w:bottom w:val="none" w:sz="0" w:space="0" w:color="auto"/>
            <w:right w:val="none" w:sz="0" w:space="0" w:color="auto"/>
          </w:divBdr>
        </w:div>
        <w:div w:id="1439644816">
          <w:marLeft w:val="0"/>
          <w:marRight w:val="0"/>
          <w:marTop w:val="0"/>
          <w:marBottom w:val="40"/>
          <w:divBdr>
            <w:top w:val="none" w:sz="0" w:space="0" w:color="auto"/>
            <w:left w:val="none" w:sz="0" w:space="0" w:color="auto"/>
            <w:bottom w:val="none" w:sz="0" w:space="0" w:color="auto"/>
            <w:right w:val="none" w:sz="0" w:space="0" w:color="auto"/>
          </w:divBdr>
        </w:div>
        <w:div w:id="1989359541">
          <w:marLeft w:val="0"/>
          <w:marRight w:val="0"/>
          <w:marTop w:val="0"/>
          <w:marBottom w:val="40"/>
          <w:divBdr>
            <w:top w:val="none" w:sz="0" w:space="0" w:color="auto"/>
            <w:left w:val="none" w:sz="0" w:space="0" w:color="auto"/>
            <w:bottom w:val="none" w:sz="0" w:space="0" w:color="auto"/>
            <w:right w:val="none" w:sz="0" w:space="0" w:color="auto"/>
          </w:divBdr>
        </w:div>
        <w:div w:id="546920481">
          <w:marLeft w:val="1080"/>
          <w:marRight w:val="0"/>
          <w:marTop w:val="0"/>
          <w:marBottom w:val="40"/>
          <w:divBdr>
            <w:top w:val="none" w:sz="0" w:space="0" w:color="auto"/>
            <w:left w:val="none" w:sz="0" w:space="0" w:color="auto"/>
            <w:bottom w:val="none" w:sz="0" w:space="0" w:color="auto"/>
            <w:right w:val="none" w:sz="0" w:space="0" w:color="auto"/>
          </w:divBdr>
        </w:div>
        <w:div w:id="23134789">
          <w:marLeft w:val="1080"/>
          <w:marRight w:val="0"/>
          <w:marTop w:val="0"/>
          <w:marBottom w:val="40"/>
          <w:divBdr>
            <w:top w:val="none" w:sz="0" w:space="0" w:color="auto"/>
            <w:left w:val="none" w:sz="0" w:space="0" w:color="auto"/>
            <w:bottom w:val="none" w:sz="0" w:space="0" w:color="auto"/>
            <w:right w:val="none" w:sz="0" w:space="0" w:color="auto"/>
          </w:divBdr>
        </w:div>
        <w:div w:id="467550631">
          <w:marLeft w:val="1080"/>
          <w:marRight w:val="0"/>
          <w:marTop w:val="0"/>
          <w:marBottom w:val="40"/>
          <w:divBdr>
            <w:top w:val="none" w:sz="0" w:space="0" w:color="auto"/>
            <w:left w:val="none" w:sz="0" w:space="0" w:color="auto"/>
            <w:bottom w:val="none" w:sz="0" w:space="0" w:color="auto"/>
            <w:right w:val="none" w:sz="0" w:space="0" w:color="auto"/>
          </w:divBdr>
        </w:div>
        <w:div w:id="1338993832">
          <w:marLeft w:val="1080"/>
          <w:marRight w:val="0"/>
          <w:marTop w:val="0"/>
          <w:marBottom w:val="40"/>
          <w:divBdr>
            <w:top w:val="none" w:sz="0" w:space="0" w:color="auto"/>
            <w:left w:val="none" w:sz="0" w:space="0" w:color="auto"/>
            <w:bottom w:val="none" w:sz="0" w:space="0" w:color="auto"/>
            <w:right w:val="none" w:sz="0" w:space="0" w:color="auto"/>
          </w:divBdr>
        </w:div>
        <w:div w:id="21909077">
          <w:marLeft w:val="1080"/>
          <w:marRight w:val="0"/>
          <w:marTop w:val="0"/>
          <w:marBottom w:val="40"/>
          <w:divBdr>
            <w:top w:val="none" w:sz="0" w:space="0" w:color="auto"/>
            <w:left w:val="none" w:sz="0" w:space="0" w:color="auto"/>
            <w:bottom w:val="none" w:sz="0" w:space="0" w:color="auto"/>
            <w:right w:val="none" w:sz="0" w:space="0" w:color="auto"/>
          </w:divBdr>
        </w:div>
        <w:div w:id="988444177">
          <w:marLeft w:val="0"/>
          <w:marRight w:val="0"/>
          <w:marTop w:val="0"/>
          <w:marBottom w:val="40"/>
          <w:divBdr>
            <w:top w:val="none" w:sz="0" w:space="0" w:color="auto"/>
            <w:left w:val="none" w:sz="0" w:space="0" w:color="auto"/>
            <w:bottom w:val="none" w:sz="0" w:space="0" w:color="auto"/>
            <w:right w:val="none" w:sz="0" w:space="0" w:color="auto"/>
          </w:divBdr>
        </w:div>
        <w:div w:id="283577960">
          <w:marLeft w:val="1080"/>
          <w:marRight w:val="0"/>
          <w:marTop w:val="0"/>
          <w:marBottom w:val="40"/>
          <w:divBdr>
            <w:top w:val="none" w:sz="0" w:space="0" w:color="auto"/>
            <w:left w:val="none" w:sz="0" w:space="0" w:color="auto"/>
            <w:bottom w:val="none" w:sz="0" w:space="0" w:color="auto"/>
            <w:right w:val="none" w:sz="0" w:space="0" w:color="auto"/>
          </w:divBdr>
        </w:div>
        <w:div w:id="1103693617">
          <w:marLeft w:val="1080"/>
          <w:marRight w:val="0"/>
          <w:marTop w:val="0"/>
          <w:marBottom w:val="40"/>
          <w:divBdr>
            <w:top w:val="none" w:sz="0" w:space="0" w:color="auto"/>
            <w:left w:val="none" w:sz="0" w:space="0" w:color="auto"/>
            <w:bottom w:val="none" w:sz="0" w:space="0" w:color="auto"/>
            <w:right w:val="none" w:sz="0" w:space="0" w:color="auto"/>
          </w:divBdr>
        </w:div>
        <w:div w:id="1505707800">
          <w:marLeft w:val="1080"/>
          <w:marRight w:val="0"/>
          <w:marTop w:val="0"/>
          <w:marBottom w:val="40"/>
          <w:divBdr>
            <w:top w:val="none" w:sz="0" w:space="0" w:color="auto"/>
            <w:left w:val="none" w:sz="0" w:space="0" w:color="auto"/>
            <w:bottom w:val="none" w:sz="0" w:space="0" w:color="auto"/>
            <w:right w:val="none" w:sz="0" w:space="0" w:color="auto"/>
          </w:divBdr>
        </w:div>
        <w:div w:id="2035764846">
          <w:marLeft w:val="1440"/>
          <w:marRight w:val="0"/>
          <w:marTop w:val="0"/>
          <w:marBottom w:val="40"/>
          <w:divBdr>
            <w:top w:val="none" w:sz="0" w:space="0" w:color="auto"/>
            <w:left w:val="none" w:sz="0" w:space="0" w:color="auto"/>
            <w:bottom w:val="none" w:sz="0" w:space="0" w:color="auto"/>
            <w:right w:val="none" w:sz="0" w:space="0" w:color="auto"/>
          </w:divBdr>
        </w:div>
        <w:div w:id="1250042">
          <w:marLeft w:val="1080"/>
          <w:marRight w:val="0"/>
          <w:marTop w:val="0"/>
          <w:marBottom w:val="40"/>
          <w:divBdr>
            <w:top w:val="none" w:sz="0" w:space="0" w:color="auto"/>
            <w:left w:val="none" w:sz="0" w:space="0" w:color="auto"/>
            <w:bottom w:val="none" w:sz="0" w:space="0" w:color="auto"/>
            <w:right w:val="none" w:sz="0" w:space="0" w:color="auto"/>
          </w:divBdr>
        </w:div>
        <w:div w:id="538323771">
          <w:marLeft w:val="1440"/>
          <w:marRight w:val="0"/>
          <w:marTop w:val="0"/>
          <w:marBottom w:val="40"/>
          <w:divBdr>
            <w:top w:val="none" w:sz="0" w:space="0" w:color="auto"/>
            <w:left w:val="none" w:sz="0" w:space="0" w:color="auto"/>
            <w:bottom w:val="none" w:sz="0" w:space="0" w:color="auto"/>
            <w:right w:val="none" w:sz="0" w:space="0" w:color="auto"/>
          </w:divBdr>
        </w:div>
        <w:div w:id="415056601">
          <w:marLeft w:val="1440"/>
          <w:marRight w:val="0"/>
          <w:marTop w:val="0"/>
          <w:marBottom w:val="40"/>
          <w:divBdr>
            <w:top w:val="none" w:sz="0" w:space="0" w:color="auto"/>
            <w:left w:val="none" w:sz="0" w:space="0" w:color="auto"/>
            <w:bottom w:val="none" w:sz="0" w:space="0" w:color="auto"/>
            <w:right w:val="none" w:sz="0" w:space="0" w:color="auto"/>
          </w:divBdr>
        </w:div>
        <w:div w:id="275719159">
          <w:marLeft w:val="0"/>
          <w:marRight w:val="0"/>
          <w:marTop w:val="0"/>
          <w:marBottom w:val="40"/>
          <w:divBdr>
            <w:top w:val="none" w:sz="0" w:space="0" w:color="auto"/>
            <w:left w:val="none" w:sz="0" w:space="0" w:color="auto"/>
            <w:bottom w:val="none" w:sz="0" w:space="0" w:color="auto"/>
            <w:right w:val="none" w:sz="0" w:space="0" w:color="auto"/>
          </w:divBdr>
        </w:div>
        <w:div w:id="1538352811">
          <w:marLeft w:val="1080"/>
          <w:marRight w:val="0"/>
          <w:marTop w:val="0"/>
          <w:marBottom w:val="40"/>
          <w:divBdr>
            <w:top w:val="none" w:sz="0" w:space="0" w:color="auto"/>
            <w:left w:val="none" w:sz="0" w:space="0" w:color="auto"/>
            <w:bottom w:val="none" w:sz="0" w:space="0" w:color="auto"/>
            <w:right w:val="none" w:sz="0" w:space="0" w:color="auto"/>
          </w:divBdr>
        </w:div>
        <w:div w:id="1139571530">
          <w:marLeft w:val="1080"/>
          <w:marRight w:val="0"/>
          <w:marTop w:val="0"/>
          <w:marBottom w:val="40"/>
          <w:divBdr>
            <w:top w:val="none" w:sz="0" w:space="0" w:color="auto"/>
            <w:left w:val="none" w:sz="0" w:space="0" w:color="auto"/>
            <w:bottom w:val="none" w:sz="0" w:space="0" w:color="auto"/>
            <w:right w:val="none" w:sz="0" w:space="0" w:color="auto"/>
          </w:divBdr>
        </w:div>
        <w:div w:id="1798840614">
          <w:marLeft w:val="0"/>
          <w:marRight w:val="0"/>
          <w:marTop w:val="0"/>
          <w:marBottom w:val="40"/>
          <w:divBdr>
            <w:top w:val="none" w:sz="0" w:space="0" w:color="auto"/>
            <w:left w:val="none" w:sz="0" w:space="0" w:color="auto"/>
            <w:bottom w:val="none" w:sz="0" w:space="0" w:color="auto"/>
            <w:right w:val="none" w:sz="0" w:space="0" w:color="auto"/>
          </w:divBdr>
        </w:div>
        <w:div w:id="1039207521">
          <w:marLeft w:val="720"/>
          <w:marRight w:val="0"/>
          <w:marTop w:val="0"/>
          <w:marBottom w:val="40"/>
          <w:divBdr>
            <w:top w:val="none" w:sz="0" w:space="0" w:color="auto"/>
            <w:left w:val="none" w:sz="0" w:space="0" w:color="auto"/>
            <w:bottom w:val="none" w:sz="0" w:space="0" w:color="auto"/>
            <w:right w:val="none" w:sz="0" w:space="0" w:color="auto"/>
          </w:divBdr>
        </w:div>
        <w:div w:id="2135521220">
          <w:marLeft w:val="1080"/>
          <w:marRight w:val="0"/>
          <w:marTop w:val="0"/>
          <w:marBottom w:val="40"/>
          <w:divBdr>
            <w:top w:val="none" w:sz="0" w:space="0" w:color="auto"/>
            <w:left w:val="none" w:sz="0" w:space="0" w:color="auto"/>
            <w:bottom w:val="none" w:sz="0" w:space="0" w:color="auto"/>
            <w:right w:val="none" w:sz="0" w:space="0" w:color="auto"/>
          </w:divBdr>
        </w:div>
        <w:div w:id="1312057506">
          <w:marLeft w:val="1080"/>
          <w:marRight w:val="0"/>
          <w:marTop w:val="0"/>
          <w:marBottom w:val="40"/>
          <w:divBdr>
            <w:top w:val="none" w:sz="0" w:space="0" w:color="auto"/>
            <w:left w:val="none" w:sz="0" w:space="0" w:color="auto"/>
            <w:bottom w:val="none" w:sz="0" w:space="0" w:color="auto"/>
            <w:right w:val="none" w:sz="0" w:space="0" w:color="auto"/>
          </w:divBdr>
        </w:div>
        <w:div w:id="812604328">
          <w:marLeft w:val="1080"/>
          <w:marRight w:val="0"/>
          <w:marTop w:val="0"/>
          <w:marBottom w:val="40"/>
          <w:divBdr>
            <w:top w:val="none" w:sz="0" w:space="0" w:color="auto"/>
            <w:left w:val="none" w:sz="0" w:space="0" w:color="auto"/>
            <w:bottom w:val="none" w:sz="0" w:space="0" w:color="auto"/>
            <w:right w:val="none" w:sz="0" w:space="0" w:color="auto"/>
          </w:divBdr>
        </w:div>
        <w:div w:id="1648511398">
          <w:marLeft w:val="1080"/>
          <w:marRight w:val="0"/>
          <w:marTop w:val="0"/>
          <w:marBottom w:val="40"/>
          <w:divBdr>
            <w:top w:val="none" w:sz="0" w:space="0" w:color="auto"/>
            <w:left w:val="none" w:sz="0" w:space="0" w:color="auto"/>
            <w:bottom w:val="none" w:sz="0" w:space="0" w:color="auto"/>
            <w:right w:val="none" w:sz="0" w:space="0" w:color="auto"/>
          </w:divBdr>
        </w:div>
        <w:div w:id="1978216863">
          <w:marLeft w:val="1080"/>
          <w:marRight w:val="0"/>
          <w:marTop w:val="0"/>
          <w:marBottom w:val="40"/>
          <w:divBdr>
            <w:top w:val="none" w:sz="0" w:space="0" w:color="auto"/>
            <w:left w:val="none" w:sz="0" w:space="0" w:color="auto"/>
            <w:bottom w:val="none" w:sz="0" w:space="0" w:color="auto"/>
            <w:right w:val="none" w:sz="0" w:space="0" w:color="auto"/>
          </w:divBdr>
        </w:div>
        <w:div w:id="1079476067">
          <w:marLeft w:val="720"/>
          <w:marRight w:val="0"/>
          <w:marTop w:val="0"/>
          <w:marBottom w:val="40"/>
          <w:divBdr>
            <w:top w:val="none" w:sz="0" w:space="0" w:color="auto"/>
            <w:left w:val="none" w:sz="0" w:space="0" w:color="auto"/>
            <w:bottom w:val="none" w:sz="0" w:space="0" w:color="auto"/>
            <w:right w:val="none" w:sz="0" w:space="0" w:color="auto"/>
          </w:divBdr>
        </w:div>
        <w:div w:id="806626989">
          <w:marLeft w:val="0"/>
          <w:marRight w:val="0"/>
          <w:marTop w:val="0"/>
          <w:marBottom w:val="40"/>
          <w:divBdr>
            <w:top w:val="none" w:sz="0" w:space="0" w:color="auto"/>
            <w:left w:val="none" w:sz="0" w:space="0" w:color="auto"/>
            <w:bottom w:val="none" w:sz="0" w:space="0" w:color="auto"/>
            <w:right w:val="none" w:sz="0" w:space="0" w:color="auto"/>
          </w:divBdr>
        </w:div>
        <w:div w:id="1625696256">
          <w:marLeft w:val="720"/>
          <w:marRight w:val="0"/>
          <w:marTop w:val="0"/>
          <w:marBottom w:val="40"/>
          <w:divBdr>
            <w:top w:val="none" w:sz="0" w:space="0" w:color="auto"/>
            <w:left w:val="none" w:sz="0" w:space="0" w:color="auto"/>
            <w:bottom w:val="none" w:sz="0" w:space="0" w:color="auto"/>
            <w:right w:val="none" w:sz="0" w:space="0" w:color="auto"/>
          </w:divBdr>
        </w:div>
        <w:div w:id="223030426">
          <w:marLeft w:val="720"/>
          <w:marRight w:val="0"/>
          <w:marTop w:val="0"/>
          <w:marBottom w:val="40"/>
          <w:divBdr>
            <w:top w:val="none" w:sz="0" w:space="0" w:color="auto"/>
            <w:left w:val="none" w:sz="0" w:space="0" w:color="auto"/>
            <w:bottom w:val="none" w:sz="0" w:space="0" w:color="auto"/>
            <w:right w:val="none" w:sz="0" w:space="0" w:color="auto"/>
          </w:divBdr>
        </w:div>
        <w:div w:id="433870106">
          <w:marLeft w:val="720"/>
          <w:marRight w:val="0"/>
          <w:marTop w:val="0"/>
          <w:marBottom w:val="40"/>
          <w:divBdr>
            <w:top w:val="none" w:sz="0" w:space="0" w:color="auto"/>
            <w:left w:val="none" w:sz="0" w:space="0" w:color="auto"/>
            <w:bottom w:val="none" w:sz="0" w:space="0" w:color="auto"/>
            <w:right w:val="none" w:sz="0" w:space="0" w:color="auto"/>
          </w:divBdr>
        </w:div>
        <w:div w:id="2053263170">
          <w:marLeft w:val="0"/>
          <w:marRight w:val="0"/>
          <w:marTop w:val="0"/>
          <w:marBottom w:val="40"/>
          <w:divBdr>
            <w:top w:val="none" w:sz="0" w:space="0" w:color="auto"/>
            <w:left w:val="none" w:sz="0" w:space="0" w:color="auto"/>
            <w:bottom w:val="none" w:sz="0" w:space="0" w:color="auto"/>
            <w:right w:val="none" w:sz="0" w:space="0" w:color="auto"/>
          </w:divBdr>
        </w:div>
        <w:div w:id="771702485">
          <w:marLeft w:val="0"/>
          <w:marRight w:val="0"/>
          <w:marTop w:val="0"/>
          <w:marBottom w:val="40"/>
          <w:divBdr>
            <w:top w:val="none" w:sz="0" w:space="0" w:color="auto"/>
            <w:left w:val="none" w:sz="0" w:space="0" w:color="auto"/>
            <w:bottom w:val="none" w:sz="0" w:space="0" w:color="auto"/>
            <w:right w:val="none" w:sz="0" w:space="0" w:color="auto"/>
          </w:divBdr>
        </w:div>
        <w:div w:id="487600496">
          <w:marLeft w:val="720"/>
          <w:marRight w:val="0"/>
          <w:marTop w:val="0"/>
          <w:marBottom w:val="40"/>
          <w:divBdr>
            <w:top w:val="none" w:sz="0" w:space="0" w:color="auto"/>
            <w:left w:val="none" w:sz="0" w:space="0" w:color="auto"/>
            <w:bottom w:val="none" w:sz="0" w:space="0" w:color="auto"/>
            <w:right w:val="none" w:sz="0" w:space="0" w:color="auto"/>
          </w:divBdr>
        </w:div>
        <w:div w:id="685327864">
          <w:marLeft w:val="720"/>
          <w:marRight w:val="0"/>
          <w:marTop w:val="0"/>
          <w:marBottom w:val="40"/>
          <w:divBdr>
            <w:top w:val="none" w:sz="0" w:space="0" w:color="auto"/>
            <w:left w:val="none" w:sz="0" w:space="0" w:color="auto"/>
            <w:bottom w:val="none" w:sz="0" w:space="0" w:color="auto"/>
            <w:right w:val="none" w:sz="0" w:space="0" w:color="auto"/>
          </w:divBdr>
        </w:div>
        <w:div w:id="1297102902">
          <w:marLeft w:val="720"/>
          <w:marRight w:val="0"/>
          <w:marTop w:val="0"/>
          <w:marBottom w:val="40"/>
          <w:divBdr>
            <w:top w:val="none" w:sz="0" w:space="0" w:color="auto"/>
            <w:left w:val="none" w:sz="0" w:space="0" w:color="auto"/>
            <w:bottom w:val="none" w:sz="0" w:space="0" w:color="auto"/>
            <w:right w:val="none" w:sz="0" w:space="0" w:color="auto"/>
          </w:divBdr>
        </w:div>
        <w:div w:id="229966277">
          <w:marLeft w:val="720"/>
          <w:marRight w:val="0"/>
          <w:marTop w:val="0"/>
          <w:marBottom w:val="40"/>
          <w:divBdr>
            <w:top w:val="none" w:sz="0" w:space="0" w:color="auto"/>
            <w:left w:val="none" w:sz="0" w:space="0" w:color="auto"/>
            <w:bottom w:val="none" w:sz="0" w:space="0" w:color="auto"/>
            <w:right w:val="none" w:sz="0" w:space="0" w:color="auto"/>
          </w:divBdr>
        </w:div>
        <w:div w:id="1888829788">
          <w:marLeft w:val="720"/>
          <w:marRight w:val="0"/>
          <w:marTop w:val="0"/>
          <w:marBottom w:val="40"/>
          <w:divBdr>
            <w:top w:val="none" w:sz="0" w:space="0" w:color="auto"/>
            <w:left w:val="none" w:sz="0" w:space="0" w:color="auto"/>
            <w:bottom w:val="none" w:sz="0" w:space="0" w:color="auto"/>
            <w:right w:val="none" w:sz="0" w:space="0" w:color="auto"/>
          </w:divBdr>
        </w:div>
        <w:div w:id="6367934">
          <w:marLeft w:val="0"/>
          <w:marRight w:val="0"/>
          <w:marTop w:val="0"/>
          <w:marBottom w:val="40"/>
          <w:divBdr>
            <w:top w:val="none" w:sz="0" w:space="0" w:color="auto"/>
            <w:left w:val="none" w:sz="0" w:space="0" w:color="auto"/>
            <w:bottom w:val="none" w:sz="0" w:space="0" w:color="auto"/>
            <w:right w:val="none" w:sz="0" w:space="0" w:color="auto"/>
          </w:divBdr>
        </w:div>
        <w:div w:id="1509175156">
          <w:marLeft w:val="720"/>
          <w:marRight w:val="0"/>
          <w:marTop w:val="0"/>
          <w:marBottom w:val="40"/>
          <w:divBdr>
            <w:top w:val="none" w:sz="0" w:space="0" w:color="auto"/>
            <w:left w:val="none" w:sz="0" w:space="0" w:color="auto"/>
            <w:bottom w:val="none" w:sz="0" w:space="0" w:color="auto"/>
            <w:right w:val="none" w:sz="0" w:space="0" w:color="auto"/>
          </w:divBdr>
        </w:div>
        <w:div w:id="208497173">
          <w:marLeft w:val="720"/>
          <w:marRight w:val="0"/>
          <w:marTop w:val="0"/>
          <w:marBottom w:val="40"/>
          <w:divBdr>
            <w:top w:val="none" w:sz="0" w:space="0" w:color="auto"/>
            <w:left w:val="none" w:sz="0" w:space="0" w:color="auto"/>
            <w:bottom w:val="none" w:sz="0" w:space="0" w:color="auto"/>
            <w:right w:val="none" w:sz="0" w:space="0" w:color="auto"/>
          </w:divBdr>
        </w:div>
        <w:div w:id="1213998024">
          <w:marLeft w:val="720"/>
          <w:marRight w:val="0"/>
          <w:marTop w:val="0"/>
          <w:marBottom w:val="40"/>
          <w:divBdr>
            <w:top w:val="none" w:sz="0" w:space="0" w:color="auto"/>
            <w:left w:val="none" w:sz="0" w:space="0" w:color="auto"/>
            <w:bottom w:val="none" w:sz="0" w:space="0" w:color="auto"/>
            <w:right w:val="none" w:sz="0" w:space="0" w:color="auto"/>
          </w:divBdr>
        </w:div>
        <w:div w:id="1071201018">
          <w:marLeft w:val="720"/>
          <w:marRight w:val="0"/>
          <w:marTop w:val="0"/>
          <w:marBottom w:val="40"/>
          <w:divBdr>
            <w:top w:val="none" w:sz="0" w:space="0" w:color="auto"/>
            <w:left w:val="none" w:sz="0" w:space="0" w:color="auto"/>
            <w:bottom w:val="none" w:sz="0" w:space="0" w:color="auto"/>
            <w:right w:val="none" w:sz="0" w:space="0" w:color="auto"/>
          </w:divBdr>
        </w:div>
        <w:div w:id="509220953">
          <w:marLeft w:val="720"/>
          <w:marRight w:val="0"/>
          <w:marTop w:val="0"/>
          <w:marBottom w:val="40"/>
          <w:divBdr>
            <w:top w:val="none" w:sz="0" w:space="0" w:color="auto"/>
            <w:left w:val="none" w:sz="0" w:space="0" w:color="auto"/>
            <w:bottom w:val="none" w:sz="0" w:space="0" w:color="auto"/>
            <w:right w:val="none" w:sz="0" w:space="0" w:color="auto"/>
          </w:divBdr>
        </w:div>
        <w:div w:id="370880872">
          <w:marLeft w:val="0"/>
          <w:marRight w:val="0"/>
          <w:marTop w:val="0"/>
          <w:marBottom w:val="40"/>
          <w:divBdr>
            <w:top w:val="none" w:sz="0" w:space="0" w:color="auto"/>
            <w:left w:val="none" w:sz="0" w:space="0" w:color="auto"/>
            <w:bottom w:val="none" w:sz="0" w:space="0" w:color="auto"/>
            <w:right w:val="none" w:sz="0" w:space="0" w:color="auto"/>
          </w:divBdr>
        </w:div>
        <w:div w:id="2005012384">
          <w:marLeft w:val="0"/>
          <w:marRight w:val="0"/>
          <w:marTop w:val="0"/>
          <w:marBottom w:val="40"/>
          <w:divBdr>
            <w:top w:val="none" w:sz="0" w:space="0" w:color="auto"/>
            <w:left w:val="none" w:sz="0" w:space="0" w:color="auto"/>
            <w:bottom w:val="none" w:sz="0" w:space="0" w:color="auto"/>
            <w:right w:val="none" w:sz="0" w:space="0" w:color="auto"/>
          </w:divBdr>
        </w:div>
        <w:div w:id="101266550">
          <w:marLeft w:val="0"/>
          <w:marRight w:val="0"/>
          <w:marTop w:val="101"/>
          <w:marBottom w:val="101"/>
          <w:divBdr>
            <w:top w:val="none" w:sz="0" w:space="0" w:color="auto"/>
            <w:left w:val="none" w:sz="0" w:space="0" w:color="auto"/>
            <w:bottom w:val="none" w:sz="0" w:space="0" w:color="auto"/>
            <w:right w:val="none" w:sz="0" w:space="0" w:color="auto"/>
          </w:divBdr>
        </w:div>
        <w:div w:id="861822316">
          <w:marLeft w:val="0"/>
          <w:marRight w:val="0"/>
          <w:marTop w:val="0"/>
          <w:marBottom w:val="101"/>
          <w:divBdr>
            <w:top w:val="none" w:sz="0" w:space="0" w:color="auto"/>
            <w:left w:val="none" w:sz="0" w:space="0" w:color="auto"/>
            <w:bottom w:val="none" w:sz="0" w:space="0" w:color="auto"/>
            <w:right w:val="none" w:sz="0" w:space="0" w:color="auto"/>
          </w:divBdr>
        </w:div>
        <w:div w:id="596866574">
          <w:marLeft w:val="0"/>
          <w:marRight w:val="0"/>
          <w:marTop w:val="0"/>
          <w:marBottom w:val="101"/>
          <w:divBdr>
            <w:top w:val="none" w:sz="0" w:space="0" w:color="auto"/>
            <w:left w:val="none" w:sz="0" w:space="0" w:color="auto"/>
            <w:bottom w:val="none" w:sz="0" w:space="0" w:color="auto"/>
            <w:right w:val="none" w:sz="0" w:space="0" w:color="auto"/>
          </w:divBdr>
        </w:div>
        <w:div w:id="256405586">
          <w:marLeft w:val="720"/>
          <w:marRight w:val="0"/>
          <w:marTop w:val="0"/>
          <w:marBottom w:val="101"/>
          <w:divBdr>
            <w:top w:val="none" w:sz="0" w:space="0" w:color="auto"/>
            <w:left w:val="none" w:sz="0" w:space="0" w:color="auto"/>
            <w:bottom w:val="none" w:sz="0" w:space="0" w:color="auto"/>
            <w:right w:val="none" w:sz="0" w:space="0" w:color="auto"/>
          </w:divBdr>
        </w:div>
        <w:div w:id="337344357">
          <w:marLeft w:val="1803"/>
          <w:marRight w:val="0"/>
          <w:marTop w:val="0"/>
          <w:marBottom w:val="101"/>
          <w:divBdr>
            <w:top w:val="none" w:sz="0" w:space="0" w:color="auto"/>
            <w:left w:val="none" w:sz="0" w:space="0" w:color="auto"/>
            <w:bottom w:val="none" w:sz="0" w:space="0" w:color="auto"/>
            <w:right w:val="none" w:sz="0" w:space="0" w:color="auto"/>
          </w:divBdr>
        </w:div>
        <w:div w:id="142738780">
          <w:marLeft w:val="1803"/>
          <w:marRight w:val="0"/>
          <w:marTop w:val="0"/>
          <w:marBottom w:val="101"/>
          <w:divBdr>
            <w:top w:val="none" w:sz="0" w:space="0" w:color="auto"/>
            <w:left w:val="none" w:sz="0" w:space="0" w:color="auto"/>
            <w:bottom w:val="none" w:sz="0" w:space="0" w:color="auto"/>
            <w:right w:val="none" w:sz="0" w:space="0" w:color="auto"/>
          </w:divBdr>
        </w:div>
        <w:div w:id="770130155">
          <w:marLeft w:val="0"/>
          <w:marRight w:val="0"/>
          <w:marTop w:val="0"/>
          <w:marBottom w:val="101"/>
          <w:divBdr>
            <w:top w:val="none" w:sz="0" w:space="0" w:color="auto"/>
            <w:left w:val="none" w:sz="0" w:space="0" w:color="auto"/>
            <w:bottom w:val="none" w:sz="0" w:space="0" w:color="auto"/>
            <w:right w:val="none" w:sz="0" w:space="0" w:color="auto"/>
          </w:divBdr>
        </w:div>
        <w:div w:id="54552649">
          <w:marLeft w:val="0"/>
          <w:marRight w:val="0"/>
          <w:marTop w:val="0"/>
          <w:marBottom w:val="101"/>
          <w:divBdr>
            <w:top w:val="none" w:sz="0" w:space="0" w:color="auto"/>
            <w:left w:val="none" w:sz="0" w:space="0" w:color="auto"/>
            <w:bottom w:val="none" w:sz="0" w:space="0" w:color="auto"/>
            <w:right w:val="none" w:sz="0" w:space="0" w:color="auto"/>
          </w:divBdr>
        </w:div>
        <w:div w:id="1311714424">
          <w:marLeft w:val="0"/>
          <w:marRight w:val="0"/>
          <w:marTop w:val="101"/>
          <w:marBottom w:val="101"/>
          <w:divBdr>
            <w:top w:val="none" w:sz="0" w:space="0" w:color="auto"/>
            <w:left w:val="none" w:sz="0" w:space="0" w:color="auto"/>
            <w:bottom w:val="none" w:sz="0" w:space="0" w:color="auto"/>
            <w:right w:val="none" w:sz="0" w:space="0" w:color="auto"/>
          </w:divBdr>
        </w:div>
        <w:div w:id="506018588">
          <w:marLeft w:val="0"/>
          <w:marRight w:val="0"/>
          <w:marTop w:val="0"/>
          <w:marBottom w:val="101"/>
          <w:divBdr>
            <w:top w:val="none" w:sz="0" w:space="0" w:color="auto"/>
            <w:left w:val="none" w:sz="0" w:space="0" w:color="auto"/>
            <w:bottom w:val="none" w:sz="0" w:space="0" w:color="auto"/>
            <w:right w:val="none" w:sz="0" w:space="0" w:color="auto"/>
          </w:divBdr>
        </w:div>
        <w:div w:id="963006377">
          <w:marLeft w:val="0"/>
          <w:marRight w:val="0"/>
          <w:marTop w:val="0"/>
          <w:marBottom w:val="101"/>
          <w:divBdr>
            <w:top w:val="none" w:sz="0" w:space="0" w:color="auto"/>
            <w:left w:val="none" w:sz="0" w:space="0" w:color="auto"/>
            <w:bottom w:val="none" w:sz="0" w:space="0" w:color="auto"/>
            <w:right w:val="none" w:sz="0" w:space="0" w:color="auto"/>
          </w:divBdr>
        </w:div>
        <w:div w:id="756095906">
          <w:marLeft w:val="720"/>
          <w:marRight w:val="0"/>
          <w:marTop w:val="0"/>
          <w:marBottom w:val="101"/>
          <w:divBdr>
            <w:top w:val="none" w:sz="0" w:space="0" w:color="auto"/>
            <w:left w:val="none" w:sz="0" w:space="0" w:color="auto"/>
            <w:bottom w:val="none" w:sz="0" w:space="0" w:color="auto"/>
            <w:right w:val="none" w:sz="0" w:space="0" w:color="auto"/>
          </w:divBdr>
        </w:div>
        <w:div w:id="526868077">
          <w:marLeft w:val="1080"/>
          <w:marRight w:val="0"/>
          <w:marTop w:val="0"/>
          <w:marBottom w:val="101"/>
          <w:divBdr>
            <w:top w:val="none" w:sz="0" w:space="0" w:color="auto"/>
            <w:left w:val="none" w:sz="0" w:space="0" w:color="auto"/>
            <w:bottom w:val="none" w:sz="0" w:space="0" w:color="auto"/>
            <w:right w:val="none" w:sz="0" w:space="0" w:color="auto"/>
          </w:divBdr>
        </w:div>
        <w:div w:id="417942209">
          <w:marLeft w:val="1080"/>
          <w:marRight w:val="0"/>
          <w:marTop w:val="0"/>
          <w:marBottom w:val="101"/>
          <w:divBdr>
            <w:top w:val="none" w:sz="0" w:space="0" w:color="auto"/>
            <w:left w:val="none" w:sz="0" w:space="0" w:color="auto"/>
            <w:bottom w:val="none" w:sz="0" w:space="0" w:color="auto"/>
            <w:right w:val="none" w:sz="0" w:space="0" w:color="auto"/>
          </w:divBdr>
        </w:div>
        <w:div w:id="1876309721">
          <w:marLeft w:val="720"/>
          <w:marRight w:val="0"/>
          <w:marTop w:val="0"/>
          <w:marBottom w:val="101"/>
          <w:divBdr>
            <w:top w:val="none" w:sz="0" w:space="0" w:color="auto"/>
            <w:left w:val="none" w:sz="0" w:space="0" w:color="auto"/>
            <w:bottom w:val="none" w:sz="0" w:space="0" w:color="auto"/>
            <w:right w:val="none" w:sz="0" w:space="0" w:color="auto"/>
          </w:divBdr>
        </w:div>
        <w:div w:id="1286539604">
          <w:marLeft w:val="720"/>
          <w:marRight w:val="0"/>
          <w:marTop w:val="0"/>
          <w:marBottom w:val="101"/>
          <w:divBdr>
            <w:top w:val="none" w:sz="0" w:space="0" w:color="auto"/>
            <w:left w:val="none" w:sz="0" w:space="0" w:color="auto"/>
            <w:bottom w:val="none" w:sz="0" w:space="0" w:color="auto"/>
            <w:right w:val="none" w:sz="0" w:space="0" w:color="auto"/>
          </w:divBdr>
        </w:div>
        <w:div w:id="1799451446">
          <w:marLeft w:val="720"/>
          <w:marRight w:val="0"/>
          <w:marTop w:val="0"/>
          <w:marBottom w:val="101"/>
          <w:divBdr>
            <w:top w:val="none" w:sz="0" w:space="0" w:color="auto"/>
            <w:left w:val="none" w:sz="0" w:space="0" w:color="auto"/>
            <w:bottom w:val="none" w:sz="0" w:space="0" w:color="auto"/>
            <w:right w:val="none" w:sz="0" w:space="0" w:color="auto"/>
          </w:divBdr>
        </w:div>
        <w:div w:id="743719">
          <w:marLeft w:val="720"/>
          <w:marRight w:val="0"/>
          <w:marTop w:val="0"/>
          <w:marBottom w:val="101"/>
          <w:divBdr>
            <w:top w:val="none" w:sz="0" w:space="0" w:color="auto"/>
            <w:left w:val="none" w:sz="0" w:space="0" w:color="auto"/>
            <w:bottom w:val="none" w:sz="0" w:space="0" w:color="auto"/>
            <w:right w:val="none" w:sz="0" w:space="0" w:color="auto"/>
          </w:divBdr>
        </w:div>
        <w:div w:id="1343048098">
          <w:marLeft w:val="720"/>
          <w:marRight w:val="0"/>
          <w:marTop w:val="0"/>
          <w:marBottom w:val="101"/>
          <w:divBdr>
            <w:top w:val="none" w:sz="0" w:space="0" w:color="auto"/>
            <w:left w:val="none" w:sz="0" w:space="0" w:color="auto"/>
            <w:bottom w:val="none" w:sz="0" w:space="0" w:color="auto"/>
            <w:right w:val="none" w:sz="0" w:space="0" w:color="auto"/>
          </w:divBdr>
        </w:div>
        <w:div w:id="1531533887">
          <w:marLeft w:val="0"/>
          <w:marRight w:val="0"/>
          <w:marTop w:val="0"/>
          <w:marBottom w:val="101"/>
          <w:divBdr>
            <w:top w:val="none" w:sz="0" w:space="0" w:color="auto"/>
            <w:left w:val="none" w:sz="0" w:space="0" w:color="auto"/>
            <w:bottom w:val="none" w:sz="0" w:space="0" w:color="auto"/>
            <w:right w:val="none" w:sz="0" w:space="0" w:color="auto"/>
          </w:divBdr>
        </w:div>
        <w:div w:id="1349986738">
          <w:marLeft w:val="0"/>
          <w:marRight w:val="0"/>
          <w:marTop w:val="0"/>
          <w:marBottom w:val="101"/>
          <w:divBdr>
            <w:top w:val="none" w:sz="0" w:space="0" w:color="auto"/>
            <w:left w:val="none" w:sz="0" w:space="0" w:color="auto"/>
            <w:bottom w:val="none" w:sz="0" w:space="0" w:color="auto"/>
            <w:right w:val="none" w:sz="0" w:space="0" w:color="auto"/>
          </w:divBdr>
        </w:div>
        <w:div w:id="575670351">
          <w:marLeft w:val="0"/>
          <w:marRight w:val="0"/>
          <w:marTop w:val="0"/>
          <w:marBottom w:val="101"/>
          <w:divBdr>
            <w:top w:val="none" w:sz="0" w:space="0" w:color="auto"/>
            <w:left w:val="none" w:sz="0" w:space="0" w:color="auto"/>
            <w:bottom w:val="none" w:sz="0" w:space="0" w:color="auto"/>
            <w:right w:val="none" w:sz="0" w:space="0" w:color="auto"/>
          </w:divBdr>
        </w:div>
        <w:div w:id="903881225">
          <w:marLeft w:val="1080"/>
          <w:marRight w:val="0"/>
          <w:marTop w:val="0"/>
          <w:marBottom w:val="101"/>
          <w:divBdr>
            <w:top w:val="none" w:sz="0" w:space="0" w:color="auto"/>
            <w:left w:val="none" w:sz="0" w:space="0" w:color="auto"/>
            <w:bottom w:val="none" w:sz="0" w:space="0" w:color="auto"/>
            <w:right w:val="none" w:sz="0" w:space="0" w:color="auto"/>
          </w:divBdr>
        </w:div>
        <w:div w:id="1096370073">
          <w:marLeft w:val="1080"/>
          <w:marRight w:val="0"/>
          <w:marTop w:val="0"/>
          <w:marBottom w:val="101"/>
          <w:divBdr>
            <w:top w:val="none" w:sz="0" w:space="0" w:color="auto"/>
            <w:left w:val="none" w:sz="0" w:space="0" w:color="auto"/>
            <w:bottom w:val="none" w:sz="0" w:space="0" w:color="auto"/>
            <w:right w:val="none" w:sz="0" w:space="0" w:color="auto"/>
          </w:divBdr>
        </w:div>
        <w:div w:id="1206258962">
          <w:marLeft w:val="1080"/>
          <w:marRight w:val="0"/>
          <w:marTop w:val="0"/>
          <w:marBottom w:val="101"/>
          <w:divBdr>
            <w:top w:val="none" w:sz="0" w:space="0" w:color="auto"/>
            <w:left w:val="none" w:sz="0" w:space="0" w:color="auto"/>
            <w:bottom w:val="none" w:sz="0" w:space="0" w:color="auto"/>
            <w:right w:val="none" w:sz="0" w:space="0" w:color="auto"/>
          </w:divBdr>
        </w:div>
        <w:div w:id="2092189276">
          <w:marLeft w:val="0"/>
          <w:marRight w:val="0"/>
          <w:marTop w:val="101"/>
          <w:marBottom w:val="101"/>
          <w:divBdr>
            <w:top w:val="none" w:sz="0" w:space="0" w:color="auto"/>
            <w:left w:val="none" w:sz="0" w:space="0" w:color="auto"/>
            <w:bottom w:val="none" w:sz="0" w:space="0" w:color="auto"/>
            <w:right w:val="none" w:sz="0" w:space="0" w:color="auto"/>
          </w:divBdr>
        </w:div>
        <w:div w:id="1722098927">
          <w:marLeft w:val="0"/>
          <w:marRight w:val="0"/>
          <w:marTop w:val="0"/>
          <w:marBottom w:val="101"/>
          <w:divBdr>
            <w:top w:val="none" w:sz="0" w:space="0" w:color="auto"/>
            <w:left w:val="none" w:sz="0" w:space="0" w:color="auto"/>
            <w:bottom w:val="none" w:sz="0" w:space="0" w:color="auto"/>
            <w:right w:val="none" w:sz="0" w:space="0" w:color="auto"/>
          </w:divBdr>
        </w:div>
        <w:div w:id="1731077903">
          <w:marLeft w:val="0"/>
          <w:marRight w:val="0"/>
          <w:marTop w:val="0"/>
          <w:marBottom w:val="101"/>
          <w:divBdr>
            <w:top w:val="none" w:sz="0" w:space="0" w:color="auto"/>
            <w:left w:val="none" w:sz="0" w:space="0" w:color="auto"/>
            <w:bottom w:val="none" w:sz="0" w:space="0" w:color="auto"/>
            <w:right w:val="none" w:sz="0" w:space="0" w:color="auto"/>
          </w:divBdr>
        </w:div>
        <w:div w:id="183910878">
          <w:marLeft w:val="0"/>
          <w:marRight w:val="0"/>
          <w:marTop w:val="0"/>
          <w:marBottom w:val="101"/>
          <w:divBdr>
            <w:top w:val="none" w:sz="0" w:space="0" w:color="auto"/>
            <w:left w:val="none" w:sz="0" w:space="0" w:color="auto"/>
            <w:bottom w:val="none" w:sz="0" w:space="0" w:color="auto"/>
            <w:right w:val="none" w:sz="0" w:space="0" w:color="auto"/>
          </w:divBdr>
        </w:div>
        <w:div w:id="38940288">
          <w:marLeft w:val="0"/>
          <w:marRight w:val="0"/>
          <w:marTop w:val="101"/>
          <w:marBottom w:val="101"/>
          <w:divBdr>
            <w:top w:val="none" w:sz="0" w:space="0" w:color="auto"/>
            <w:left w:val="none" w:sz="0" w:space="0" w:color="auto"/>
            <w:bottom w:val="none" w:sz="0" w:space="0" w:color="auto"/>
            <w:right w:val="none" w:sz="0" w:space="0" w:color="auto"/>
          </w:divBdr>
        </w:div>
        <w:div w:id="121847502">
          <w:marLeft w:val="0"/>
          <w:marRight w:val="0"/>
          <w:marTop w:val="101"/>
          <w:marBottom w:val="101"/>
          <w:divBdr>
            <w:top w:val="none" w:sz="0" w:space="0" w:color="auto"/>
            <w:left w:val="none" w:sz="0" w:space="0" w:color="auto"/>
            <w:bottom w:val="none" w:sz="0" w:space="0" w:color="auto"/>
            <w:right w:val="none" w:sz="0" w:space="0" w:color="auto"/>
          </w:divBdr>
        </w:div>
        <w:div w:id="1636373970">
          <w:marLeft w:val="0"/>
          <w:marRight w:val="0"/>
          <w:marTop w:val="101"/>
          <w:marBottom w:val="101"/>
          <w:divBdr>
            <w:top w:val="none" w:sz="0" w:space="0" w:color="auto"/>
            <w:left w:val="none" w:sz="0" w:space="0" w:color="auto"/>
            <w:bottom w:val="none" w:sz="0" w:space="0" w:color="auto"/>
            <w:right w:val="none" w:sz="0" w:space="0" w:color="auto"/>
          </w:divBdr>
        </w:div>
        <w:div w:id="669606178">
          <w:marLeft w:val="0"/>
          <w:marRight w:val="0"/>
          <w:marTop w:val="101"/>
          <w:marBottom w:val="101"/>
          <w:divBdr>
            <w:top w:val="none" w:sz="0" w:space="0" w:color="auto"/>
            <w:left w:val="none" w:sz="0" w:space="0" w:color="auto"/>
            <w:bottom w:val="none" w:sz="0" w:space="0" w:color="auto"/>
            <w:right w:val="none" w:sz="0" w:space="0" w:color="auto"/>
          </w:divBdr>
        </w:div>
        <w:div w:id="12268943">
          <w:marLeft w:val="0"/>
          <w:marRight w:val="0"/>
          <w:marTop w:val="101"/>
          <w:marBottom w:val="101"/>
          <w:divBdr>
            <w:top w:val="none" w:sz="0" w:space="0" w:color="auto"/>
            <w:left w:val="none" w:sz="0" w:space="0" w:color="auto"/>
            <w:bottom w:val="none" w:sz="0" w:space="0" w:color="auto"/>
            <w:right w:val="none" w:sz="0" w:space="0" w:color="auto"/>
          </w:divBdr>
        </w:div>
        <w:div w:id="1017390748">
          <w:marLeft w:val="0"/>
          <w:marRight w:val="0"/>
          <w:marTop w:val="101"/>
          <w:marBottom w:val="101"/>
          <w:divBdr>
            <w:top w:val="none" w:sz="0" w:space="0" w:color="auto"/>
            <w:left w:val="none" w:sz="0" w:space="0" w:color="auto"/>
            <w:bottom w:val="none" w:sz="0" w:space="0" w:color="auto"/>
            <w:right w:val="none" w:sz="0" w:space="0" w:color="auto"/>
          </w:divBdr>
        </w:div>
        <w:div w:id="1209759810">
          <w:marLeft w:val="0"/>
          <w:marRight w:val="0"/>
          <w:marTop w:val="101"/>
          <w:marBottom w:val="101"/>
          <w:divBdr>
            <w:top w:val="none" w:sz="0" w:space="0" w:color="auto"/>
            <w:left w:val="none" w:sz="0" w:space="0" w:color="auto"/>
            <w:bottom w:val="none" w:sz="0" w:space="0" w:color="auto"/>
            <w:right w:val="none" w:sz="0" w:space="0" w:color="auto"/>
          </w:divBdr>
        </w:div>
        <w:div w:id="909079450">
          <w:marLeft w:val="0"/>
          <w:marRight w:val="0"/>
          <w:marTop w:val="101"/>
          <w:marBottom w:val="101"/>
          <w:divBdr>
            <w:top w:val="none" w:sz="0" w:space="0" w:color="auto"/>
            <w:left w:val="none" w:sz="0" w:space="0" w:color="auto"/>
            <w:bottom w:val="none" w:sz="0" w:space="0" w:color="auto"/>
            <w:right w:val="none" w:sz="0" w:space="0" w:color="auto"/>
          </w:divBdr>
        </w:div>
        <w:div w:id="2100904004">
          <w:marLeft w:val="0"/>
          <w:marRight w:val="0"/>
          <w:marTop w:val="101"/>
          <w:marBottom w:val="101"/>
          <w:divBdr>
            <w:top w:val="none" w:sz="0" w:space="0" w:color="auto"/>
            <w:left w:val="none" w:sz="0" w:space="0" w:color="auto"/>
            <w:bottom w:val="none" w:sz="0" w:space="0" w:color="auto"/>
            <w:right w:val="none" w:sz="0" w:space="0" w:color="auto"/>
          </w:divBdr>
        </w:div>
        <w:div w:id="2131702773">
          <w:marLeft w:val="0"/>
          <w:marRight w:val="0"/>
          <w:marTop w:val="101"/>
          <w:marBottom w:val="101"/>
          <w:divBdr>
            <w:top w:val="none" w:sz="0" w:space="0" w:color="auto"/>
            <w:left w:val="none" w:sz="0" w:space="0" w:color="auto"/>
            <w:bottom w:val="none" w:sz="0" w:space="0" w:color="auto"/>
            <w:right w:val="none" w:sz="0" w:space="0" w:color="auto"/>
          </w:divBdr>
        </w:div>
        <w:div w:id="1267301999">
          <w:marLeft w:val="0"/>
          <w:marRight w:val="0"/>
          <w:marTop w:val="101"/>
          <w:marBottom w:val="101"/>
          <w:divBdr>
            <w:top w:val="none" w:sz="0" w:space="0" w:color="auto"/>
            <w:left w:val="none" w:sz="0" w:space="0" w:color="auto"/>
            <w:bottom w:val="none" w:sz="0" w:space="0" w:color="auto"/>
            <w:right w:val="none" w:sz="0" w:space="0" w:color="auto"/>
          </w:divBdr>
        </w:div>
        <w:div w:id="375356076">
          <w:marLeft w:val="0"/>
          <w:marRight w:val="0"/>
          <w:marTop w:val="101"/>
          <w:marBottom w:val="101"/>
          <w:divBdr>
            <w:top w:val="none" w:sz="0" w:space="0" w:color="auto"/>
            <w:left w:val="none" w:sz="0" w:space="0" w:color="auto"/>
            <w:bottom w:val="none" w:sz="0" w:space="0" w:color="auto"/>
            <w:right w:val="none" w:sz="0" w:space="0" w:color="auto"/>
          </w:divBdr>
        </w:div>
        <w:div w:id="1301111991">
          <w:marLeft w:val="0"/>
          <w:marRight w:val="0"/>
          <w:marTop w:val="101"/>
          <w:marBottom w:val="101"/>
          <w:divBdr>
            <w:top w:val="none" w:sz="0" w:space="0" w:color="auto"/>
            <w:left w:val="none" w:sz="0" w:space="0" w:color="auto"/>
            <w:bottom w:val="none" w:sz="0" w:space="0" w:color="auto"/>
            <w:right w:val="none" w:sz="0" w:space="0" w:color="auto"/>
          </w:divBdr>
        </w:div>
        <w:div w:id="2001887004">
          <w:marLeft w:val="0"/>
          <w:marRight w:val="0"/>
          <w:marTop w:val="101"/>
          <w:marBottom w:val="101"/>
          <w:divBdr>
            <w:top w:val="none" w:sz="0" w:space="0" w:color="auto"/>
            <w:left w:val="none" w:sz="0" w:space="0" w:color="auto"/>
            <w:bottom w:val="none" w:sz="0" w:space="0" w:color="auto"/>
            <w:right w:val="none" w:sz="0" w:space="0" w:color="auto"/>
          </w:divBdr>
        </w:div>
        <w:div w:id="1449206067">
          <w:marLeft w:val="0"/>
          <w:marRight w:val="0"/>
          <w:marTop w:val="101"/>
          <w:marBottom w:val="101"/>
          <w:divBdr>
            <w:top w:val="none" w:sz="0" w:space="0" w:color="auto"/>
            <w:left w:val="none" w:sz="0" w:space="0" w:color="auto"/>
            <w:bottom w:val="none" w:sz="0" w:space="0" w:color="auto"/>
            <w:right w:val="none" w:sz="0" w:space="0" w:color="auto"/>
          </w:divBdr>
        </w:div>
        <w:div w:id="606933278">
          <w:marLeft w:val="0"/>
          <w:marRight w:val="0"/>
          <w:marTop w:val="101"/>
          <w:marBottom w:val="101"/>
          <w:divBdr>
            <w:top w:val="none" w:sz="0" w:space="0" w:color="auto"/>
            <w:left w:val="none" w:sz="0" w:space="0" w:color="auto"/>
            <w:bottom w:val="none" w:sz="0" w:space="0" w:color="auto"/>
            <w:right w:val="none" w:sz="0" w:space="0" w:color="auto"/>
          </w:divBdr>
        </w:div>
        <w:div w:id="1060708140">
          <w:marLeft w:val="0"/>
          <w:marRight w:val="0"/>
          <w:marTop w:val="101"/>
          <w:marBottom w:val="101"/>
          <w:divBdr>
            <w:top w:val="none" w:sz="0" w:space="0" w:color="auto"/>
            <w:left w:val="none" w:sz="0" w:space="0" w:color="auto"/>
            <w:bottom w:val="none" w:sz="0" w:space="0" w:color="auto"/>
            <w:right w:val="none" w:sz="0" w:space="0" w:color="auto"/>
          </w:divBdr>
        </w:div>
        <w:div w:id="1898659315">
          <w:marLeft w:val="0"/>
          <w:marRight w:val="0"/>
          <w:marTop w:val="101"/>
          <w:marBottom w:val="101"/>
          <w:divBdr>
            <w:top w:val="none" w:sz="0" w:space="0" w:color="auto"/>
            <w:left w:val="none" w:sz="0" w:space="0" w:color="auto"/>
            <w:bottom w:val="none" w:sz="0" w:space="0" w:color="auto"/>
            <w:right w:val="none" w:sz="0" w:space="0" w:color="auto"/>
          </w:divBdr>
        </w:div>
        <w:div w:id="501088778">
          <w:marLeft w:val="0"/>
          <w:marRight w:val="0"/>
          <w:marTop w:val="101"/>
          <w:marBottom w:val="101"/>
          <w:divBdr>
            <w:top w:val="none" w:sz="0" w:space="0" w:color="auto"/>
            <w:left w:val="none" w:sz="0" w:space="0" w:color="auto"/>
            <w:bottom w:val="none" w:sz="0" w:space="0" w:color="auto"/>
            <w:right w:val="none" w:sz="0" w:space="0" w:color="auto"/>
          </w:divBdr>
        </w:div>
        <w:div w:id="981235512">
          <w:marLeft w:val="0"/>
          <w:marRight w:val="0"/>
          <w:marTop w:val="101"/>
          <w:marBottom w:val="101"/>
          <w:divBdr>
            <w:top w:val="none" w:sz="0" w:space="0" w:color="auto"/>
            <w:left w:val="none" w:sz="0" w:space="0" w:color="auto"/>
            <w:bottom w:val="none" w:sz="0" w:space="0" w:color="auto"/>
            <w:right w:val="none" w:sz="0" w:space="0" w:color="auto"/>
          </w:divBdr>
        </w:div>
      </w:divsChild>
    </w:div>
    <w:div w:id="179289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217</Pages>
  <Words>77563</Words>
  <Characters>426599</Characters>
  <Application>Microsoft Office Word</Application>
  <DocSecurity>0</DocSecurity>
  <Lines>3554</Lines>
  <Paragraphs>1006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2018-11-16T14:31:00Z</dcterms:created>
  <dcterms:modified xsi:type="dcterms:W3CDTF">2018-11-16T14:31:00Z</dcterms:modified>
</cp:coreProperties>
</file>