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5C7693">
      <w:pPr>
        <w:jc w:val="center"/>
        <w:rPr>
          <w:rFonts w:hint="default" w:ascii="Verdana" w:hAnsi="Verdana"/>
          <w:b/>
          <w:color w:val="0000FF"/>
          <w:sz w:val="24"/>
          <w:szCs w:val="24"/>
          <w:rtl w:val="0"/>
        </w:rPr>
      </w:pPr>
      <w:r>
        <w:rPr>
          <w:rFonts w:hint="default" w:ascii="Verdana" w:hAnsi="Verdana"/>
          <w:b/>
          <w:color w:val="0000FF"/>
          <w:sz w:val="24"/>
          <w:szCs w:val="24"/>
          <w:rtl w:val="0"/>
        </w:rPr>
        <w:t>CONVENIO de Coordinación para el otorgamiento del subsidio para la creación, fortalecimiento y/o mejora de los Centros de Conciliación, que celebran la Secretaría del Trabajo y Previsión Social y el Estado de San Luis Potosí.</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26</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junio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0CF81172">
      <w:pPr>
        <w:jc w:val="both"/>
        <w:rPr>
          <w:rFonts w:hint="default"/>
          <w:b w:val="0"/>
          <w:bCs/>
          <w:color w:val="2F2F2F"/>
          <w:sz w:val="16"/>
          <w:szCs w:val="16"/>
          <w:rtl w:val="0"/>
        </w:rPr>
      </w:pPr>
      <w:r>
        <w:rPr>
          <w:rFonts w:hint="default"/>
          <w:b w:val="0"/>
          <w:bCs/>
          <w:color w:val="2F2F2F"/>
          <w:sz w:val="16"/>
          <w:szCs w:val="16"/>
          <w:rtl w:val="0"/>
        </w:rPr>
        <w:t>CONVENIO DE COORDINACIÓN PARA EL OTORGAMIENTO DEL SUBSIDIO PARA LA "CREACIÓN, FORTALECIMIENTO Y/O MEJORA DE LOS CENTROS DE CONCILIACIÓN QUE CELEBRAN, POR UNA PARTE, EL EJECUTIVO FEDERAL, POR CONDUCTO DE LA SECRETARÍA DEL TRABAJO Y PREVISIÓN SOCIAL, EN LO SUCESIVO "LA SECRETARÍA", REPRESENTADA POR LA PERSONA TITULAR DE LA UNIDAD DE ENLACE PARA LA REFORMA AL SISTEMA DE JUSTICIA LABORAL, TEY WENDOLYNE RETANA ALARCÓN, Y POR EL TITULAR DE LA UNIDAD DE ADMINISTRACIÓN Y FINANZAS, HANZEL HOMERO ALVIZAR BAÑUELOS Y POR OTRA PARTE, EL GOBIERNO DEL ESTADO DE SAN LUIS POTOSÍ, EN ADELANTE "EL GOBIERNO DEL ESTADO", REPRESENTADO POR MIGUEL CARDOZA MORA DIRECTOR GENERAL DEL CENTRO DE CONCILIACIÓN LABORAL Y RESPONSABLE DEL PROYECTO, TITULAR DE LA SECRETARIA DE FINANZAS, C. OMAR VALADEZ MACÍAS; A QUIENES CUANDO ACTÚEN CONJUNTAMENTE SE LES DESIGNARÁ COMO "LAS PARTES", AL TENOR DE LOS SIGUIENTES ANTECEDENTES, DECLARACIONES Y CLÁUSULAS:</w:t>
      </w:r>
    </w:p>
    <w:p w14:paraId="20A6FBFE">
      <w:pPr>
        <w:keepNext w:val="0"/>
        <w:keepLines w:val="0"/>
        <w:widowControl/>
        <w:suppressLineNumbers w:val="0"/>
        <w:shd w:val="clear" w:fill="FFFFFF"/>
        <w:spacing w:before="101" w:beforeAutospacing="0" w:after="90"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ANTECEDENTES</w:t>
      </w:r>
    </w:p>
    <w:p w14:paraId="00215FFE">
      <w:pPr>
        <w:keepNext w:val="0"/>
        <w:keepLines w:val="0"/>
        <w:widowControl/>
        <w:suppressLineNumbers w:val="0"/>
        <w:shd w:val="clear" w:fill="FFFFFF"/>
        <w:spacing w:after="90"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w:t>
      </w:r>
      <w:r>
        <w:rPr>
          <w:rFonts w:hint="default" w:ascii="Arial" w:hAnsi="Arial" w:eastAsia="SimSun" w:cs="Arial"/>
          <w:i w:val="0"/>
          <w:iCs w:val="0"/>
          <w:caps w:val="0"/>
          <w:color w:val="000000"/>
          <w:spacing w:val="0"/>
          <w:kern w:val="0"/>
          <w:sz w:val="18"/>
          <w:szCs w:val="18"/>
          <w:shd w:val="clear" w:fill="FFFFFF"/>
          <w:lang w:val="en-US" w:eastAsia="zh-CN" w:bidi="ar"/>
        </w:rPr>
        <w:t>Con fecha 24 de febrero de 2017, se publicó en el Diario Oficial de la Federación (DOF) el "</w:t>
      </w:r>
      <w:r>
        <w:rPr>
          <w:rFonts w:hint="default" w:ascii="Arial" w:hAnsi="Arial" w:eastAsia="SimSun" w:cs="Arial"/>
          <w:i/>
          <w:iCs/>
          <w:caps w:val="0"/>
          <w:color w:val="000000"/>
          <w:spacing w:val="0"/>
          <w:kern w:val="0"/>
          <w:sz w:val="18"/>
          <w:szCs w:val="18"/>
          <w:shd w:val="clear" w:fill="FFFFFF"/>
          <w:lang w:val="en-US" w:eastAsia="zh-CN" w:bidi="ar"/>
        </w:rPr>
        <w:t>Decreto por el que se declaran reformadas y adicionadas diversas disposiciones de los artículos 107 y 123 de la Constitución Política de los Estados Unidos Mexicanos, en materia de Justicia Laboral"</w:t>
      </w:r>
      <w:r>
        <w:rPr>
          <w:rFonts w:hint="default" w:ascii="Arial" w:hAnsi="Arial" w:eastAsia="SimSun" w:cs="Arial"/>
          <w:i w:val="0"/>
          <w:iCs w:val="0"/>
          <w:caps w:val="0"/>
          <w:color w:val="000000"/>
          <w:spacing w:val="0"/>
          <w:kern w:val="0"/>
          <w:sz w:val="18"/>
          <w:szCs w:val="18"/>
          <w:shd w:val="clear" w:fill="FFFFFF"/>
          <w:lang w:val="en-US" w:eastAsia="zh-CN" w:bidi="ar"/>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14:paraId="54728EDF">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14:paraId="051F314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 </w:t>
      </w:r>
      <w:r>
        <w:rPr>
          <w:rFonts w:hint="default" w:ascii="Arial" w:hAnsi="Arial" w:eastAsia="SimSun" w:cs="Arial"/>
          <w:i w:val="0"/>
          <w:iCs w:val="0"/>
          <w:caps w:val="0"/>
          <w:color w:val="000000"/>
          <w:spacing w:val="0"/>
          <w:kern w:val="0"/>
          <w:sz w:val="18"/>
          <w:szCs w:val="18"/>
          <w:shd w:val="clear" w:fill="FFFFFF"/>
          <w:lang w:val="en-US" w:eastAsia="zh-CN" w:bidi="ar"/>
        </w:rPr>
        <w:t>Con fecha 1° de mayo de 2019, se publicó en el DOF </w:t>
      </w:r>
      <w:r>
        <w:rPr>
          <w:rFonts w:hint="default" w:ascii="Arial" w:hAnsi="Arial" w:eastAsia="SimSun" w:cs="Arial"/>
          <w:i/>
          <w:iCs/>
          <w:caps w:val="0"/>
          <w:color w:val="000000"/>
          <w:spacing w:val="0"/>
          <w:kern w:val="0"/>
          <w:sz w:val="18"/>
          <w:szCs w:val="18"/>
          <w:shd w:val="clear" w:fill="FFFFFF"/>
          <w:lang w:val="en-US" w:eastAsia="zh-CN" w:bidi="ar"/>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Pr>
          <w:rFonts w:hint="default" w:ascii="Arial" w:hAnsi="Arial" w:eastAsia="SimSun" w:cs="Arial"/>
          <w:i w:val="0"/>
          <w:iCs w:val="0"/>
          <w:caps w:val="0"/>
          <w:color w:val="000000"/>
          <w:spacing w:val="0"/>
          <w:kern w:val="0"/>
          <w:sz w:val="18"/>
          <w:szCs w:val="18"/>
          <w:shd w:val="clear" w:fill="FFFFFF"/>
          <w:lang w:val="en-US" w:eastAsia="zh-CN" w:bidi="ar"/>
        </w:rPr>
        <w:t>, con el cual se establecen las reglas relativas al procedimiento de conciliación prejudicial obligatoria para la resolución de problemas de orden laboral.</w:t>
      </w:r>
    </w:p>
    <w:p w14:paraId="33802BF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w:t>
      </w:r>
      <w:r>
        <w:rPr>
          <w:rFonts w:hint="default" w:ascii="Arial" w:hAnsi="Arial" w:eastAsia="SimSun" w:cs="Arial"/>
          <w:i w:val="0"/>
          <w:iCs w:val="0"/>
          <w:caps w:val="0"/>
          <w:color w:val="000000"/>
          <w:spacing w:val="0"/>
          <w:kern w:val="0"/>
          <w:sz w:val="18"/>
          <w:szCs w:val="18"/>
          <w:shd w:val="clear" w:fill="FFFFFF"/>
          <w:lang w:val="en-US" w:eastAsia="zh-CN" w:bidi="ar"/>
        </w:rPr>
        <w:t>El artículo Quinto Transitorio del Decreto referido en el párrafo anterior, dispone que la Autoridad Conciliatoria Local y los Tribunales Laborales del Poder Judicial de las entidades federativas iniciarán actividades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Laborales Locales en cada entidad federativa comenzará en la misma fecha en que lo hagan los Tribunales Laborales Locales.</w:t>
      </w:r>
    </w:p>
    <w:p w14:paraId="047AC1A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14:paraId="1295037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IV. </w:t>
      </w:r>
      <w:r>
        <w:rPr>
          <w:rFonts w:hint="default" w:ascii="Arial" w:hAnsi="Arial" w:eastAsia="SimSun" w:cs="Arial"/>
          <w:i w:val="0"/>
          <w:iCs w:val="0"/>
          <w:caps w:val="0"/>
          <w:color w:val="000000"/>
          <w:spacing w:val="0"/>
          <w:kern w:val="0"/>
          <w:sz w:val="18"/>
          <w:szCs w:val="18"/>
          <w:shd w:val="clear" w:fill="FFFFFF"/>
          <w:lang w:val="en-US" w:eastAsia="zh-CN" w:bidi="ar"/>
        </w:rPr>
        <w:t>Que el artículo Décimo Séptimo Transitorio del Decreto referido en el Antecedente II, crea el Consejo de Coordinación para la Implementación de la Reforma al Sistema de Justicia Laboral (CCIRSJL) como instancia nacional de consulta, planeación y coordinación, que tendrá por objeto establecer la política y la coordinación de las acciones necesarias para implementar a nivel federal y local el Sistema de Justicia Laboral, con pleno respeto a las atribuciones de los Poderes Federales y Locales.</w:t>
      </w:r>
    </w:p>
    <w:p w14:paraId="686D11C4">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Entre sus atribuciones, el Consejo de Coordinación coadyuvará con las Legislaturas de las entidades federativas, en el seguimiento y evaluación de los recursos presupuestales ejercidos en la implementación y operación del Sistema de Justicia Laboral.</w:t>
      </w:r>
    </w:p>
    <w:p w14:paraId="1BCB4CC0">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 </w:t>
      </w:r>
      <w:r>
        <w:rPr>
          <w:rFonts w:hint="default" w:ascii="Arial" w:hAnsi="Arial" w:eastAsia="SimSun" w:cs="Arial"/>
          <w:i w:val="0"/>
          <w:iCs w:val="0"/>
          <w:caps w:val="0"/>
          <w:color w:val="000000"/>
          <w:spacing w:val="0"/>
          <w:kern w:val="0"/>
          <w:sz w:val="18"/>
          <w:szCs w:val="18"/>
          <w:shd w:val="clear" w:fill="FFFFFF"/>
          <w:lang w:val="en-US" w:eastAsia="zh-CN" w:bidi="ar"/>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 con el propósito de implementar la reforma del Sistema de Justicia Laboral de forma escalonada y sincronizada, la Secretaría del Trabajo y Previsión Social, conjuntamente con el Poder Judicial de la Federación, realizaron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aquellas entidades federativas con menor ingreso de demandas.</w:t>
      </w:r>
    </w:p>
    <w:p w14:paraId="5F648C4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w:t>
      </w:r>
      <w:r>
        <w:rPr>
          <w:rFonts w:hint="default" w:ascii="Arial" w:hAnsi="Arial" w:eastAsia="SimSun" w:cs="Arial"/>
          <w:i w:val="0"/>
          <w:iCs w:val="0"/>
          <w:caps w:val="0"/>
          <w:color w:val="000000"/>
          <w:spacing w:val="0"/>
          <w:kern w:val="0"/>
          <w:sz w:val="18"/>
          <w:szCs w:val="18"/>
          <w:shd w:val="clear" w:fill="FFFFFF"/>
          <w:lang w:val="en-US" w:eastAsia="zh-CN" w:bidi="ar"/>
        </w:rPr>
        <w:t>. El 17 de marzo de 2020, se publicó en el DOF el Acuerdo por el que se crea la Unidad de Enlace para la Reforma al Sistema de Justicia Laboral de la Secretaría del Trabajo y Previsión Social, cuyo artículo 3, fracción VII, le confiere la atribución de observar que la administración de los recursos públicos federales asignados se realice con base en criterios de legalidad, honestidad, eficiencia, eficacia, economía, racionalidad, austeridad, transparencia, control, rendición de cuentas y equidad de género establecidos en el artículo 1, párrafo segundo, de la Ley Federal de Presupuesto y Responsabilidad Hacendaria. Asimismo, el artículo transitorio Segundo del citado Acuerdo dispone que 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14:paraId="708CE3A2">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 </w:t>
      </w:r>
      <w:r>
        <w:rPr>
          <w:rFonts w:hint="default" w:ascii="Arial" w:hAnsi="Arial" w:eastAsia="SimSun" w:cs="Arial"/>
          <w:i w:val="0"/>
          <w:iCs w:val="0"/>
          <w:caps w:val="0"/>
          <w:color w:val="000000"/>
          <w:spacing w:val="0"/>
          <w:kern w:val="0"/>
          <w:sz w:val="18"/>
          <w:szCs w:val="18"/>
          <w:shd w:val="clear" w:fill="FFFFFF"/>
          <w:lang w:val="en-US" w:eastAsia="zh-CN" w:bidi="ar"/>
        </w:rPr>
        <w:t>El 18 de mayo de 2022, se publicó en el DOF el DECRETO por el que se reforma el artículo Quinto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DOF el 1° de mayo de 2019; lo anterior, para señalar que los Centros de Conciliación locales y los Tribunales del Poder Judicial de las entidades federativas iniciarán actividades a más tardar el 3 de octubre de 2022, en términos de lo que establezca su propia normatividad y posibilidades presupuestales, conforme a lo que determinen sus poderes locales.</w:t>
      </w:r>
    </w:p>
    <w:p w14:paraId="0AE1DEE5">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VIII. </w:t>
      </w:r>
      <w:r>
        <w:rPr>
          <w:rFonts w:hint="default" w:ascii="Arial" w:hAnsi="Arial" w:eastAsia="SimSun" w:cs="Arial"/>
          <w:i w:val="0"/>
          <w:iCs w:val="0"/>
          <w:caps w:val="0"/>
          <w:color w:val="000000"/>
          <w:spacing w:val="0"/>
          <w:kern w:val="0"/>
          <w:sz w:val="18"/>
          <w:szCs w:val="18"/>
          <w:shd w:val="clear" w:fill="FFFFFF"/>
          <w:lang w:val="en-US" w:eastAsia="zh-CN" w:bidi="ar"/>
        </w:rPr>
        <w:t>El 17 de octubre de 2023, de conformidad con los artículos Quinto y Décimo Séptimo Transitorios del citado Decreto del 1° de mayo de 2019, el Consejo de Coordinación para la Implementación de la Reforma al Sistema de Justicia Laboral aprobó el </w:t>
      </w:r>
      <w:r>
        <w:rPr>
          <w:rFonts w:hint="default" w:ascii="Arial" w:hAnsi="Arial" w:eastAsia="SimSun" w:cs="Arial"/>
          <w:i/>
          <w:iCs/>
          <w:caps w:val="0"/>
          <w:color w:val="000000"/>
          <w:spacing w:val="0"/>
          <w:kern w:val="0"/>
          <w:sz w:val="18"/>
          <w:szCs w:val="18"/>
          <w:shd w:val="clear" w:fill="FFFFFF"/>
          <w:lang w:val="en-US" w:eastAsia="zh-CN" w:bidi="ar"/>
        </w:rPr>
        <w:t>Acuerdo CCIRSJL17-17/10/2023, por el que se exhorta a la Secretaría del Trabajo y Previsión Social a realizar las acciones necesarias para gestionar ante las instancias competentes un programa de subsidios para el ejercicio fiscal 2024, dirigido a las entidades federativas, con el fin de consolidar la Reforma al Sistema de Justicia Laboral, atendiendo a la disponibilidad presupuestal y obedeciendo los principios de eficiencia, eficacia, economía, transparencia y honradez.</w:t>
      </w:r>
    </w:p>
    <w:p w14:paraId="7603E33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IX. </w:t>
      </w:r>
      <w:r>
        <w:rPr>
          <w:rFonts w:hint="default" w:ascii="Arial" w:hAnsi="Arial" w:eastAsia="SimSun" w:cs="Arial"/>
          <w:i w:val="0"/>
          <w:iCs w:val="0"/>
          <w:caps w:val="0"/>
          <w:color w:val="000000"/>
          <w:spacing w:val="0"/>
          <w:kern w:val="0"/>
          <w:sz w:val="18"/>
          <w:szCs w:val="18"/>
          <w:shd w:val="clear" w:fill="FFFFFF"/>
          <w:lang w:val="en-US" w:eastAsia="zh-CN" w:bidi="ar"/>
        </w:rPr>
        <w:t>Con fecha 25 de noviembre de 2023, se publicó en el Diario Oficial de la Federación el Presupuesto de Egresos de la Federación para el Ejercicio Fiscal 2024; en el cual se asignaron a la Secretaría del Trabajo y Previsión Social los recursos suficientes para atender su estructura programática, entre las que se encuentra el </w:t>
      </w:r>
      <w:r>
        <w:rPr>
          <w:rFonts w:hint="default" w:ascii="Arial" w:hAnsi="Arial" w:eastAsia="SimSun" w:cs="Arial"/>
          <w:i/>
          <w:iCs/>
          <w:caps w:val="0"/>
          <w:color w:val="000000"/>
          <w:spacing w:val="0"/>
          <w:kern w:val="0"/>
          <w:sz w:val="18"/>
          <w:szCs w:val="18"/>
          <w:shd w:val="clear" w:fill="FFFFFF"/>
          <w:lang w:val="en-US" w:eastAsia="zh-CN" w:bidi="ar"/>
        </w:rPr>
        <w:t>Programa Presupuestario U 100 "Subsidios a las entidades federativas para la implementación de la Reforma al Sistema de Justicia Laboral"</w:t>
      </w:r>
      <w:r>
        <w:rPr>
          <w:rFonts w:hint="default" w:ascii="Arial" w:hAnsi="Arial" w:eastAsia="SimSun" w:cs="Arial"/>
          <w:i w:val="0"/>
          <w:iCs w:val="0"/>
          <w:caps w:val="0"/>
          <w:color w:val="000000"/>
          <w:spacing w:val="0"/>
          <w:kern w:val="0"/>
          <w:sz w:val="18"/>
          <w:szCs w:val="18"/>
          <w:shd w:val="clear" w:fill="FFFFFF"/>
          <w:lang w:val="en-US" w:eastAsia="zh-CN" w:bidi="ar"/>
        </w:rPr>
        <w:t>, que considera la asignación de un monto para coadyuvar con las entidades federativas en la implementación de la Reforma al Sistema de Justicia Laboral.</w:t>
      </w:r>
    </w:p>
    <w:p w14:paraId="736BD616">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w:t>
      </w:r>
      <w:r>
        <w:rPr>
          <w:rFonts w:hint="default" w:ascii="Arial" w:hAnsi="Arial" w:eastAsia="SimSun" w:cs="Arial"/>
          <w:i w:val="0"/>
          <w:iCs w:val="0"/>
          <w:caps w:val="0"/>
          <w:color w:val="000000"/>
          <w:spacing w:val="0"/>
          <w:kern w:val="0"/>
          <w:sz w:val="18"/>
          <w:szCs w:val="18"/>
          <w:shd w:val="clear" w:fill="FFFFFF"/>
          <w:lang w:val="en-US" w:eastAsia="zh-CN" w:bidi="ar"/>
        </w:rPr>
        <w:t> Derivado de la fracción anterior, el 30 de enero de 2024 se publicaron en el DOF los </w:t>
      </w:r>
      <w:r>
        <w:rPr>
          <w:rFonts w:hint="default" w:ascii="Arial" w:hAnsi="Arial" w:eastAsia="SimSun" w:cs="Arial"/>
          <w:b/>
          <w:bCs/>
          <w:i w:val="0"/>
          <w:iCs w:val="0"/>
          <w:caps w:val="0"/>
          <w:color w:val="000000"/>
          <w:spacing w:val="0"/>
          <w:kern w:val="0"/>
          <w:sz w:val="18"/>
          <w:szCs w:val="18"/>
          <w:shd w:val="clear" w:fill="FFFFFF"/>
          <w:lang w:val="en-US" w:eastAsia="zh-CN" w:bidi="ar"/>
        </w:rPr>
        <w:t>Lineamientos por los que se establecen las bases y requisitos que deberán cumplir las entidades federativas para acceder al subsidio para la creación, fortalecimiento y/o mejora de los Centros de Conciliación y Tribunales Laborales</w:t>
      </w:r>
      <w:r>
        <w:rPr>
          <w:rFonts w:hint="default" w:ascii="Arial" w:hAnsi="Arial" w:eastAsia="SimSun" w:cs="Arial"/>
          <w:i w:val="0"/>
          <w:iCs w:val="0"/>
          <w:caps w:val="0"/>
          <w:color w:val="000000"/>
          <w:spacing w:val="0"/>
          <w:kern w:val="0"/>
          <w:sz w:val="18"/>
          <w:szCs w:val="18"/>
          <w:shd w:val="clear" w:fill="FFFFFF"/>
          <w:lang w:val="en-US" w:eastAsia="zh-CN" w:bidi="ar"/>
        </w:rPr>
        <w:t>.</w:t>
      </w:r>
    </w:p>
    <w:p w14:paraId="655DDD5F">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w:t>
      </w:r>
      <w:r>
        <w:rPr>
          <w:rFonts w:hint="default" w:ascii="Arial" w:hAnsi="Arial" w:eastAsia="SimSun" w:cs="Arial"/>
          <w:i w:val="0"/>
          <w:iCs w:val="0"/>
          <w:caps w:val="0"/>
          <w:color w:val="000000"/>
          <w:spacing w:val="0"/>
          <w:kern w:val="0"/>
          <w:sz w:val="18"/>
          <w:szCs w:val="18"/>
          <w:shd w:val="clear" w:fill="FFFFFF"/>
          <w:lang w:val="en-US" w:eastAsia="zh-CN" w:bidi="ar"/>
        </w:rPr>
        <w:t>. Que, el otorgamiento, transferencia y seguimiento de los recursos se realizará con base en los Lineamientos, y en términos de lo que dispone el artículo 75 de la Ley Federal de Presupuesto y Responsabilidad Hacendaria (LFPRH), particularmente, para sujetarse a los criterios de objetividad, equidad, transparencia, publicidad, selectividad y temporalidad, para lo cual se deberá, entre otros aspectos:</w:t>
      </w:r>
    </w:p>
    <w:p w14:paraId="1BE1ADCF">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000000"/>
          <w:spacing w:val="0"/>
          <w:kern w:val="0"/>
          <w:sz w:val="18"/>
          <w:szCs w:val="18"/>
          <w:shd w:val="clear" w:fill="FFFFFF"/>
          <w:lang w:val="en-US" w:eastAsia="zh-CN" w:bidi="ar"/>
        </w:rPr>
        <w:t> Identificar con precisión la población objetivo; </w:t>
      </w: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000000"/>
          <w:spacing w:val="0"/>
          <w:kern w:val="0"/>
          <w:sz w:val="18"/>
          <w:szCs w:val="18"/>
          <w:shd w:val="clear" w:fill="FFFFFF"/>
          <w:lang w:val="en-US" w:eastAsia="zh-CN" w:bidi="ar"/>
        </w:rPr>
        <w:t> Incorporar mecanismos periódicos de seguimiento, supervisión y evaluación; </w:t>
      </w: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000000"/>
          <w:spacing w:val="0"/>
          <w:kern w:val="0"/>
          <w:sz w:val="18"/>
          <w:szCs w:val="18"/>
          <w:shd w:val="clear" w:fill="FFFFFF"/>
          <w:lang w:val="en-US" w:eastAsia="zh-CN" w:bidi="ar"/>
        </w:rPr>
        <w:t> Prever la temporalidad en su otorgamiento y </w:t>
      </w: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000000"/>
          <w:spacing w:val="0"/>
          <w:kern w:val="0"/>
          <w:sz w:val="18"/>
          <w:szCs w:val="18"/>
          <w:shd w:val="clear" w:fill="FFFFFF"/>
          <w:lang w:val="en-US" w:eastAsia="zh-CN" w:bidi="ar"/>
        </w:rPr>
        <w:t> Reportar su ejercicio.</w:t>
      </w:r>
    </w:p>
    <w:p w14:paraId="53CC148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w:t>
      </w:r>
      <w:r>
        <w:rPr>
          <w:rFonts w:hint="default" w:ascii="Arial" w:hAnsi="Arial" w:eastAsia="SimSun" w:cs="Arial"/>
          <w:i w:val="0"/>
          <w:iCs w:val="0"/>
          <w:caps w:val="0"/>
          <w:color w:val="000000"/>
          <w:spacing w:val="0"/>
          <w:kern w:val="0"/>
          <w:sz w:val="18"/>
          <w:szCs w:val="18"/>
          <w:shd w:val="clear" w:fill="FFFFFF"/>
          <w:lang w:val="en-US" w:eastAsia="zh-CN" w:bidi="ar"/>
        </w:rPr>
        <w:t>. Que 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pero deberán reintegrar a la Tesorería de la Federación los recursos que no se destinen a los fines autorizados y aquellos que al cierre del ejercicio fiscal de que se trate, no se hayan devengado.</w:t>
      </w:r>
    </w:p>
    <w:p w14:paraId="6A6D67C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XIII. </w:t>
      </w:r>
      <w:r>
        <w:rPr>
          <w:rFonts w:hint="default" w:ascii="Arial" w:hAnsi="Arial" w:eastAsia="SimSun" w:cs="Arial"/>
          <w:i w:val="0"/>
          <w:iCs w:val="0"/>
          <w:caps w:val="0"/>
          <w:color w:val="000000"/>
          <w:spacing w:val="0"/>
          <w:kern w:val="0"/>
          <w:sz w:val="18"/>
          <w:szCs w:val="18"/>
          <w:shd w:val="clear" w:fill="FFFFFF"/>
          <w:lang w:val="en-US" w:eastAsia="zh-CN" w:bidi="ar"/>
        </w:rPr>
        <w:t>Que, del cumplimiento en tiempo y forma de los requisitos señalados en los Lineamientos, el Comité de Evaluación de Proyectos determinó aprobar el Proyecto presentado por el estado de San Luis Potosí, por lo que autorizó la cantidad de $13,918,928.07 (Trece millones novecientos dieciocho mil novecientos veintiocho pesos 07/100 M.N.) para el fortalecimiento y/o mejora de los Centros de Conciliación Laboral.</w:t>
      </w:r>
    </w:p>
    <w:p w14:paraId="6A94E2F3">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XIV. </w:t>
      </w:r>
      <w:r>
        <w:rPr>
          <w:rFonts w:hint="default" w:ascii="Arial" w:hAnsi="Arial" w:eastAsia="SimSun" w:cs="Arial"/>
          <w:i w:val="0"/>
          <w:iCs w:val="0"/>
          <w:caps w:val="0"/>
          <w:color w:val="000000"/>
          <w:spacing w:val="0"/>
          <w:kern w:val="0"/>
          <w:sz w:val="18"/>
          <w:szCs w:val="18"/>
          <w:shd w:val="clear" w:fill="FFFFFF"/>
          <w:lang w:val="en-US" w:eastAsia="zh-CN" w:bidi="ar"/>
        </w:rPr>
        <w:t>Dicha situación se notificó a la entidad federativa mediante resolución del Comité de Evaluación de Proyectos el 31 de mayo de 2024, por lo que, en cumplimiento con lo establecido en el numeral Décimo noveno, Vigésimo tercero y Vigésimo cuarto de los Lineamientos, se celebra el presente instrumento para la transferencia de los recursos referidos en la fracción anterior.</w:t>
      </w:r>
    </w:p>
    <w:p w14:paraId="0CB5DD5F">
      <w:pPr>
        <w:keepNext w:val="0"/>
        <w:keepLines w:val="0"/>
        <w:widowControl/>
        <w:suppressLineNumbers w:val="0"/>
        <w:shd w:val="clear" w:fill="FFFFFF"/>
        <w:spacing w:before="101" w:beforeAutospacing="0" w:after="90"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DECLARACIONES</w:t>
      </w:r>
    </w:p>
    <w:p w14:paraId="20D90E1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 "LA SECRETARÍA" declara que:</w:t>
      </w:r>
    </w:p>
    <w:p w14:paraId="103C5B6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I.1. </w:t>
      </w:r>
      <w:r>
        <w:rPr>
          <w:rFonts w:hint="default" w:ascii="Arial" w:hAnsi="Arial" w:eastAsia="SimSun" w:cs="Arial"/>
          <w:i w:val="0"/>
          <w:iCs w:val="0"/>
          <w:caps w:val="0"/>
          <w:color w:val="000000"/>
          <w:spacing w:val="0"/>
          <w:kern w:val="0"/>
          <w:sz w:val="18"/>
          <w:szCs w:val="18"/>
          <w:shd w:val="clear" w:fill="FFFFFF"/>
          <w:lang w:val="en-US" w:eastAsia="zh-CN" w:bidi="ar"/>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14:paraId="2B7044A5">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I.2. </w:t>
      </w:r>
      <w:r>
        <w:rPr>
          <w:rFonts w:hint="default" w:ascii="Arial" w:hAnsi="Arial" w:eastAsia="SimSun" w:cs="Arial"/>
          <w:i w:val="0"/>
          <w:iCs w:val="0"/>
          <w:caps w:val="0"/>
          <w:color w:val="000000"/>
          <w:spacing w:val="0"/>
          <w:kern w:val="0"/>
          <w:sz w:val="18"/>
          <w:szCs w:val="18"/>
          <w:shd w:val="clear" w:fill="FFFFFF"/>
          <w:lang w:val="en-US" w:eastAsia="zh-CN" w:bidi="ar"/>
        </w:rPr>
        <w:t>De acuerdo con lo dispuesto por el artículo 40, fracción I de la Ley antes mencionada, tiene entre sus atribuciones, la de vigilar la observancia y aplicación de las disposiciones relativas contenidas en el artículo</w:t>
      </w:r>
    </w:p>
    <w:p w14:paraId="04E9EA31">
      <w:pPr>
        <w:keepNext w:val="0"/>
        <w:keepLines w:val="0"/>
        <w:widowControl/>
        <w:suppressLineNumbers w:val="0"/>
        <w:shd w:val="clear" w:fill="FFFFFF"/>
        <w:spacing w:after="9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123 y demás de la Constitución Política de los Estados Unidos Mexicanos, en la Ley Federal del Trabajo y en sus Reglamentos.</w:t>
      </w:r>
    </w:p>
    <w:p w14:paraId="43EF6BB1">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I.3. </w:t>
      </w:r>
      <w:r>
        <w:rPr>
          <w:rFonts w:hint="default" w:ascii="Arial" w:hAnsi="Arial" w:eastAsia="SimSun" w:cs="Arial"/>
          <w:i w:val="0"/>
          <w:iCs w:val="0"/>
          <w:caps w:val="0"/>
          <w:color w:val="000000"/>
          <w:spacing w:val="0"/>
          <w:kern w:val="0"/>
          <w:sz w:val="18"/>
          <w:szCs w:val="18"/>
          <w:shd w:val="clear" w:fill="FFFFFF"/>
          <w:lang w:val="en-US" w:eastAsia="zh-CN" w:bidi="ar"/>
        </w:rPr>
        <w:t>Tey Wendolyne Retana Alarcón, en su carácter de Titular de la Unidad Enlace para la Reforma al Sistema de Justicia Laboral (UERSJL), está plenamente facultada para suscribir el presente Convenio, de conformidad con lo dispuesto por los artículos 1 y 3, fracciones I, III, VII, VIII y XIV del Acuerdo por el que se crea la Unidad de Enlace para la Reforma al Sistema de Justicia Laboral de la Secretaría del Trabajo y Previsión Social, publicado en el Diario Oficial de la Federación el 17 de marzo de 2020.</w:t>
      </w:r>
    </w:p>
    <w:p w14:paraId="520F92C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I.4. </w:t>
      </w:r>
      <w:r>
        <w:rPr>
          <w:rFonts w:hint="default" w:ascii="Arial" w:hAnsi="Arial" w:eastAsia="SimSun" w:cs="Arial"/>
          <w:i w:val="0"/>
          <w:iCs w:val="0"/>
          <w:caps w:val="0"/>
          <w:color w:val="000000"/>
          <w:spacing w:val="0"/>
          <w:kern w:val="0"/>
          <w:sz w:val="18"/>
          <w:szCs w:val="18"/>
          <w:shd w:val="clear" w:fill="FFFFFF"/>
          <w:lang w:val="en-US" w:eastAsia="zh-CN" w:bidi="ar"/>
        </w:rPr>
        <w:t>Hanzel Homero Alvizar Bañuelos,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14:paraId="0CF6042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I.5. </w:t>
      </w:r>
      <w:r>
        <w:rPr>
          <w:rFonts w:hint="default" w:ascii="Arial" w:hAnsi="Arial" w:eastAsia="SimSun" w:cs="Arial"/>
          <w:i w:val="0"/>
          <w:iCs w:val="0"/>
          <w:caps w:val="0"/>
          <w:color w:val="000000"/>
          <w:spacing w:val="0"/>
          <w:kern w:val="0"/>
          <w:sz w:val="18"/>
          <w:szCs w:val="18"/>
          <w:shd w:val="clear" w:fill="FFFFFF"/>
          <w:lang w:val="en-US" w:eastAsia="zh-CN" w:bidi="ar"/>
        </w:rPr>
        <w:t>Para dar cumplimiento al presente Convenio de Coordinación, cuenta con los recursos económicos suficientes para la consolidación de la reforma en materia de justicia laboral, libertad sindical y negociación colectiva, publicada en el DOF el 1º de mayo de 2019, para operar los Centros de Conciliación Locales y Tribunales Laborales Locales.</w:t>
      </w:r>
    </w:p>
    <w:p w14:paraId="1603CDB3">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I.6. </w:t>
      </w:r>
      <w:r>
        <w:rPr>
          <w:rFonts w:hint="default" w:ascii="Arial" w:hAnsi="Arial" w:eastAsia="SimSun" w:cs="Arial"/>
          <w:i w:val="0"/>
          <w:iCs w:val="0"/>
          <w:caps w:val="0"/>
          <w:color w:val="000000"/>
          <w:spacing w:val="0"/>
          <w:kern w:val="0"/>
          <w:sz w:val="18"/>
          <w:szCs w:val="18"/>
          <w:shd w:val="clear" w:fill="FFFFFF"/>
          <w:lang w:val="en-US" w:eastAsia="zh-CN" w:bidi="ar"/>
        </w:rPr>
        <w:t>Para efectos derivados del presente Convenio, señala como su domicilio el ubicado en Boulevard Adolfo López Mateos 1968, Colonia Los Alpes, Alcaldía Álvaro Obregón, Código Postal 01010, en la Ciudad de México.</w:t>
      </w:r>
    </w:p>
    <w:p w14:paraId="3F4B06D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w:t>
      </w:r>
      <w:r>
        <w:rPr>
          <w:rFonts w:hint="default" w:ascii="Arial" w:hAnsi="Arial" w:eastAsia="SimSun" w:cs="Arial"/>
          <w:i w:val="0"/>
          <w:iCs w:val="0"/>
          <w:caps w:val="0"/>
          <w:color w:val="000000"/>
          <w:spacing w:val="0"/>
          <w:kern w:val="0"/>
          <w:sz w:val="18"/>
          <w:szCs w:val="18"/>
          <w:shd w:val="clear" w:fill="FFFFFF"/>
          <w:lang w:val="en-US" w:eastAsia="zh-CN" w:bidi="ar"/>
        </w:rPr>
        <w:t> </w:t>
      </w:r>
      <w:r>
        <w:rPr>
          <w:rFonts w:hint="default" w:ascii="Arial" w:hAnsi="Arial" w:eastAsia="SimSun" w:cs="Arial"/>
          <w:b/>
          <w:bCs/>
          <w:i w:val="0"/>
          <w:iCs w:val="0"/>
          <w:caps w:val="0"/>
          <w:color w:val="000000"/>
          <w:spacing w:val="0"/>
          <w:kern w:val="0"/>
          <w:sz w:val="18"/>
          <w:szCs w:val="18"/>
          <w:shd w:val="clear" w:fill="FFFFFF"/>
          <w:lang w:val="en-US" w:eastAsia="zh-CN" w:bidi="ar"/>
        </w:rPr>
        <w:t>"EL GOBIERNO DEL ESTADO" declara que:</w:t>
      </w:r>
    </w:p>
    <w:p w14:paraId="796B205F">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II.1.</w:t>
      </w:r>
      <w:r>
        <w:rPr>
          <w:rFonts w:hint="default" w:ascii="Arial" w:hAnsi="Arial" w:eastAsia="SimSun" w:cs="Arial"/>
          <w:i w:val="0"/>
          <w:iCs w:val="0"/>
          <w:caps w:val="0"/>
          <w:color w:val="000000"/>
          <w:spacing w:val="0"/>
          <w:kern w:val="0"/>
          <w:sz w:val="18"/>
          <w:szCs w:val="18"/>
          <w:shd w:val="clear" w:fill="FFFFFF"/>
          <w:lang w:val="en-US" w:eastAsia="zh-CN" w:bidi="ar"/>
        </w:rPr>
        <w:t> Con fundamento en los artículos 40, 41 primer párrafo, 42, fracción I, 43 y 116 de la Constitución Política de los Estados Unidos Mexicanos; así como el artículo 1 de la Constitución Política del Estado de San Luis Potosí, es un Estado libre y soberano en todo lo concerniente a su régimen interior y forma parte integrante de la Federación.</w:t>
      </w:r>
    </w:p>
    <w:p w14:paraId="322B975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II.2.</w:t>
      </w:r>
      <w:r>
        <w:rPr>
          <w:rFonts w:hint="default" w:ascii="Arial" w:hAnsi="Arial" w:eastAsia="SimSun" w:cs="Arial"/>
          <w:i w:val="0"/>
          <w:iCs w:val="0"/>
          <w:caps w:val="0"/>
          <w:color w:val="000000"/>
          <w:spacing w:val="0"/>
          <w:kern w:val="0"/>
          <w:sz w:val="18"/>
          <w:szCs w:val="18"/>
          <w:shd w:val="clear" w:fill="FFFFFF"/>
          <w:lang w:val="en-US" w:eastAsia="zh-CN" w:bidi="ar"/>
        </w:rPr>
        <w:t> El CP Omar Valadez Macías, por disposición del Gobernador del Estado de San Luis Potosí, José Ricardo Gallardo Cardona, fue designado el día 20 de Noviembre de 2023, Secretario de Finanzas del Poder Ejecutivo del Estado, por lo que cuenta con las atribuciones necesarias para participar, en el ámbito de su competencia, en la suscripción del presente instrumento jurídico, de conformidad con lo establecido por los artículos, 3, fracción I inciso a), 31, fracción II y 33 de la Ley Orgánica de la Administración Pública del Estado de San Luis Potosí; 55 de la Ley para el Manejo de los Recursos Públicos del Estado de San Luis Potosí, 5 y 6 del Reglamento Interior de la Secretaría de Finanzas y 69 de la Ley General de Contabilidad Gubernamental.</w:t>
      </w:r>
    </w:p>
    <w:p w14:paraId="6ADEA2E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II.3.</w:t>
      </w:r>
      <w:r>
        <w:rPr>
          <w:rFonts w:hint="default" w:ascii="Arial" w:hAnsi="Arial" w:eastAsia="SimSun" w:cs="Arial"/>
          <w:i w:val="0"/>
          <w:iCs w:val="0"/>
          <w:caps w:val="0"/>
          <w:color w:val="000000"/>
          <w:spacing w:val="0"/>
          <w:kern w:val="0"/>
          <w:sz w:val="18"/>
          <w:szCs w:val="18"/>
          <w:shd w:val="clear" w:fill="FFFFFF"/>
          <w:lang w:val="en-US" w:eastAsia="zh-CN" w:bidi="ar"/>
        </w:rPr>
        <w:t> De conformidad con lo dispuesto en los artículos 18 de la Ley Orgánica del Poder Ejecutivo del Estado de San Luis Potosí; artículo 30 del Reglamento Interior del Centro de Conciliación Laboral, Miguel Cardoza Mora, en su carácter de Director General del Estado de San Luis Potosí, se encuentra facultado para suscribir el presente Convenio y fungirá como responsable, encargado de la consolidación de la Reforma al Sistema de Justicia Laboral.</w:t>
      </w:r>
    </w:p>
    <w:p w14:paraId="0CD9F8FE">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II.4.</w:t>
      </w:r>
      <w:r>
        <w:rPr>
          <w:rFonts w:hint="default" w:ascii="Arial" w:hAnsi="Arial" w:eastAsia="SimSun" w:cs="Arial"/>
          <w:i w:val="0"/>
          <w:iCs w:val="0"/>
          <w:caps w:val="0"/>
          <w:color w:val="000000"/>
          <w:spacing w:val="0"/>
          <w:kern w:val="0"/>
          <w:sz w:val="18"/>
          <w:szCs w:val="18"/>
          <w:shd w:val="clear" w:fill="FFFFFF"/>
          <w:lang w:val="en-US" w:eastAsia="zh-CN" w:bidi="ar"/>
        </w:rPr>
        <w:t> Para los efectos del presente instrumento, tiene como domicilio legal el ubicado en Calle Manuel J. Clouthier, número 263 local F-16, en la Colonia Tangamanga en San Luis Potosí, C.P.78269.</w:t>
      </w:r>
    </w:p>
    <w:p w14:paraId="47894675">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 "LAS PARTES" declaran que:</w:t>
      </w:r>
    </w:p>
    <w:p w14:paraId="14100358">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III.1. </w:t>
      </w:r>
      <w:r>
        <w:rPr>
          <w:rFonts w:hint="default" w:ascii="Arial" w:hAnsi="Arial" w:eastAsia="SimSun" w:cs="Arial"/>
          <w:i w:val="0"/>
          <w:iCs w:val="0"/>
          <w:caps w:val="0"/>
          <w:color w:val="000000"/>
          <w:spacing w:val="0"/>
          <w:kern w:val="0"/>
          <w:sz w:val="18"/>
          <w:szCs w:val="18"/>
          <w:shd w:val="clear" w:fill="FFFFFF"/>
          <w:lang w:val="en-US" w:eastAsia="zh-CN" w:bidi="ar"/>
        </w:rPr>
        <w:t>Reconocen en forma recíproca la personalidad con la que se ostentan y comparecen a la suscripción de este Convenio.</w:t>
      </w:r>
    </w:p>
    <w:p w14:paraId="09C3CDBA">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III.2. </w:t>
      </w:r>
      <w:r>
        <w:rPr>
          <w:rFonts w:hint="default" w:ascii="Arial" w:hAnsi="Arial" w:eastAsia="SimSun" w:cs="Arial"/>
          <w:i w:val="0"/>
          <w:iCs w:val="0"/>
          <w:caps w:val="0"/>
          <w:color w:val="000000"/>
          <w:spacing w:val="0"/>
          <w:kern w:val="0"/>
          <w:sz w:val="18"/>
          <w:szCs w:val="18"/>
          <w:shd w:val="clear" w:fill="FFFFFF"/>
          <w:lang w:val="en-US" w:eastAsia="zh-CN" w:bidi="ar"/>
        </w:rPr>
        <w:t>Es su voluntad conjuntar esfuerzos en sus respectivos ámbitos de gobierno, para impulsar y ejecutar acciones que tengan como eje central la consolidación de la reforma al sistema de justicia laboral.</w:t>
      </w:r>
    </w:p>
    <w:p w14:paraId="01EC0C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III.3. </w:t>
      </w:r>
      <w:r>
        <w:rPr>
          <w:rFonts w:hint="default" w:ascii="Arial" w:hAnsi="Arial" w:eastAsia="SimSun" w:cs="Arial"/>
          <w:i w:val="0"/>
          <w:iCs w:val="0"/>
          <w:caps w:val="0"/>
          <w:color w:val="000000"/>
          <w:spacing w:val="0"/>
          <w:kern w:val="0"/>
          <w:sz w:val="18"/>
          <w:szCs w:val="18"/>
          <w:shd w:val="clear" w:fill="FFFFFF"/>
          <w:lang w:val="en-US" w:eastAsia="zh-CN" w:bidi="ar"/>
        </w:rPr>
        <w:t>Están convencidas de la importancia de instrumentar, con prioridad, los mecanismos necesarios para la creación y fortalecimiento de los Centros de Conciliación de la entidad federativa, a fin de otorgar el servicio público de conciliación e impartición de justicia laboral, tal y como lo refiere el artículo 123, apartado A, fracción XX de la Constitución Federal.</w:t>
      </w:r>
    </w:p>
    <w:p w14:paraId="27A74B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III.4. </w:t>
      </w:r>
      <w:r>
        <w:rPr>
          <w:rFonts w:hint="default" w:ascii="Arial" w:hAnsi="Arial" w:eastAsia="SimSun" w:cs="Arial"/>
          <w:i w:val="0"/>
          <w:iCs w:val="0"/>
          <w:caps w:val="0"/>
          <w:color w:val="000000"/>
          <w:spacing w:val="0"/>
          <w:kern w:val="0"/>
          <w:sz w:val="18"/>
          <w:szCs w:val="18"/>
          <w:shd w:val="clear" w:fill="FFFFFF"/>
          <w:lang w:val="en-US" w:eastAsia="zh-CN" w:bidi="ar"/>
        </w:rPr>
        <w:t>Consideran como acciones prioritarias para la consolidación de la reforma al sistema de justicia laboral dar seguimiento a los acuerdos que tome el CCIRSJL, así como atender los criterios que emita el Comité de Evaluación y transparentar todos los recursos devengados que se requieran para la adecuación o adaptación de inmuebles destinados a los Centros de Conciliación.</w:t>
      </w:r>
    </w:p>
    <w:p w14:paraId="09C653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III.5. </w:t>
      </w:r>
      <w:r>
        <w:rPr>
          <w:rFonts w:hint="default" w:ascii="Arial" w:hAnsi="Arial" w:eastAsia="SimSun" w:cs="Arial"/>
          <w:i w:val="0"/>
          <w:iCs w:val="0"/>
          <w:caps w:val="0"/>
          <w:color w:val="000000"/>
          <w:spacing w:val="0"/>
          <w:kern w:val="0"/>
          <w:sz w:val="18"/>
          <w:szCs w:val="18"/>
          <w:shd w:val="clear" w:fill="FFFFFF"/>
          <w:lang w:val="en-US" w:eastAsia="zh-CN" w:bidi="ar"/>
        </w:rPr>
        <w:t>Se obligan al cumplimiento de los preceptos establecidos en los Lineamientos y las leyes aplicables en la materia.</w:t>
      </w:r>
    </w:p>
    <w:p w14:paraId="65130B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Expuesto lo anterior, "LAS PARTES" sujetan su compromiso a la forma y términos que se establecen en las siguientes:</w:t>
      </w:r>
    </w:p>
    <w:p w14:paraId="2D1E1640">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CLÁUSULAS</w:t>
      </w:r>
    </w:p>
    <w:p w14:paraId="7A4D82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PRIMERA. </w:t>
      </w:r>
      <w:r>
        <w:rPr>
          <w:rFonts w:hint="default" w:ascii="Arial" w:hAnsi="Arial" w:eastAsia="SimSun" w:cs="Arial"/>
          <w:i w:val="0"/>
          <w:iCs w:val="0"/>
          <w:caps w:val="0"/>
          <w:color w:val="000000"/>
          <w:spacing w:val="0"/>
          <w:kern w:val="0"/>
          <w:sz w:val="18"/>
          <w:szCs w:val="18"/>
          <w:shd w:val="clear" w:fill="FFFFFF"/>
          <w:lang w:val="en-US" w:eastAsia="zh-CN" w:bidi="ar"/>
        </w:rPr>
        <w:t>OBJETO. El presente Convenio de Coordinación tiene por objeto el otorgamiento de los recursos autorizados al Estado de San Luis Potosí para la creación, fortalecimiento y/o mejora, a través de la creación de Centros de Conciliación de la entidad federativa para la resolución de los conflictos entre trabajadores y patrones.</w:t>
      </w:r>
    </w:p>
    <w:p w14:paraId="7D5893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SEGUNDA. </w:t>
      </w:r>
      <w:r>
        <w:rPr>
          <w:rFonts w:hint="default" w:ascii="Arial" w:hAnsi="Arial" w:eastAsia="SimSun" w:cs="Arial"/>
          <w:i w:val="0"/>
          <w:iCs w:val="0"/>
          <w:caps w:val="0"/>
          <w:color w:val="000000"/>
          <w:spacing w:val="0"/>
          <w:kern w:val="0"/>
          <w:sz w:val="18"/>
          <w:szCs w:val="18"/>
          <w:shd w:val="clear" w:fill="FFFFFF"/>
          <w:lang w:val="en-US" w:eastAsia="zh-CN" w:bidi="ar"/>
        </w:rPr>
        <w:t>ASIGNACIÓN DE LOS RECURSOS. Para el cumplimiento del objeto señalado en la cláusula anterior, "LA SECRETARÍA" asignará la cantidad de $13,918,928.07 (Trece millones novecientos dieciocho mil novecientos veintiocho pesos 07/100 M.N.) correspondientes al recurso autorizado por el Comité de Evaluación de Proyectos, los cuales serán destinados para la creación, fortalecimiento y/o mejora de los Centros de Conciliación.</w:t>
      </w:r>
    </w:p>
    <w:p w14:paraId="349D42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ejecución del Proyecto y el ejercicio de los recursos serán responsabilidad del Centro de Conciliación del Estado.</w:t>
      </w:r>
    </w:p>
    <w:p w14:paraId="199D2F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federales se radicarán a "EL GOBIERNO DEL ESTADO", a través de su Secretaría de Finanzas, en la cuenta bancaria especifica que aperturó previamente en cumplimiento a lo que establece el numeral Vigésimo segundo, inciso a, de los Lineamientos, y con el artículo 69 de la Ley General de Contabilidad Gubernamental, y la que se identifica con los siguientes datos:</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62"/>
        <w:gridCol w:w="6204"/>
      </w:tblGrid>
      <w:tr w14:paraId="2CA1A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6"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6229AD2">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32F20E3">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255 SAN LUIS POTOSI</w:t>
            </w:r>
          </w:p>
        </w:tc>
      </w:tr>
      <w:tr w14:paraId="47990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72EAC7B">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640C43B">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BBVA MEXICO, SA</w:t>
            </w:r>
          </w:p>
        </w:tc>
      </w:tr>
      <w:tr w14:paraId="4D60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D006333">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34C9580">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0123274098</w:t>
            </w:r>
          </w:p>
        </w:tc>
      </w:tr>
      <w:tr w14:paraId="424CB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4E1553A">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F489DFF">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012700001232740988</w:t>
            </w:r>
          </w:p>
        </w:tc>
      </w:tr>
      <w:tr w14:paraId="77625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3C83FE2">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7230C9">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GES850101L4A</w:t>
            </w:r>
          </w:p>
        </w:tc>
      </w:tr>
      <w:tr w14:paraId="3111C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6"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765C274">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A6751ED">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Madero, número 100, Col. Centro, C.P. 78000, San Luis Potosí.</w:t>
            </w:r>
          </w:p>
        </w:tc>
      </w:tr>
    </w:tbl>
    <w:p w14:paraId="6C156B9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473D57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conforme a lo que dispone el numeral Tercero de los Lineamientos, el Centro de Conciliación será beneficiario de los recursos otorgados. Por lo anterior, la Secretaría Finanzas del Poder Ejecutivo del Estado de San Luis Potosí, se compromete a transferir en un plazo no mayor a diez días hábiles contados a partir de la ministración del recurso por parte de "LA SECRETARÍA", al Centro de Conciliación Laboral del estado la cantidad requerida, en la cuenta aperturada conforme a lo que establece el numeral Vigésimo segundo, inciso b, y que se identifican con los siguientes datos:</w:t>
      </w:r>
    </w:p>
    <w:p w14:paraId="320953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el proyecto del Centro de Conciliación Laboral:</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173"/>
        <w:gridCol w:w="6193"/>
      </w:tblGrid>
      <w:tr w14:paraId="088B5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6"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C4D0358">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Número de plaza: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51A4180">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024 SAN LUIS POTOSÍ</w:t>
            </w:r>
          </w:p>
        </w:tc>
      </w:tr>
      <w:tr w14:paraId="252D1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38124CB1">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Entidad bancaria:</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134BB3C">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BANCO MERCANTIL DEL NORTE SA</w:t>
            </w:r>
          </w:p>
        </w:tc>
      </w:tr>
      <w:tr w14:paraId="6833F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132FD339">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Cuenta bancaria número:</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45F2D1BD">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1274456575</w:t>
            </w:r>
          </w:p>
        </w:tc>
      </w:tr>
      <w:tr w14:paraId="08940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0509E5E0">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CLABE:</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5EEE34C">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072 700 01274456575 8</w:t>
            </w:r>
          </w:p>
        </w:tc>
      </w:tr>
      <w:tr w14:paraId="56748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1"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4BC0268">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RFC:</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5C351048">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CCL200821FN6</w:t>
            </w:r>
          </w:p>
        </w:tc>
      </w:tr>
      <w:tr w14:paraId="08F57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28" w:hRule="atLeast"/>
        </w:trPr>
        <w:tc>
          <w:tcPr>
            <w:tcW w:w="2305"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7D89C646">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Domicilio fiscal:</w:t>
            </w:r>
          </w:p>
        </w:tc>
        <w:tc>
          <w:tcPr>
            <w:tcW w:w="6679"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14:paraId="20F66C99">
            <w:pPr>
              <w:keepNext w:val="0"/>
              <w:keepLines w:val="0"/>
              <w:widowControl/>
              <w:suppressLineNumbers w:val="0"/>
              <w:pBdr>
                <w:left w:val="none" w:color="auto" w:sz="0" w:space="0"/>
                <w:right w:val="none" w:color="auto" w:sz="0" w:space="0"/>
              </w:pBdr>
              <w:spacing w:after="90"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Calle Manuel J Clouthier, número 263 local F-16, Col. Tangamanga CP 78269 San Luis Potosí.</w:t>
            </w:r>
          </w:p>
        </w:tc>
      </w:tr>
    </w:tbl>
    <w:p w14:paraId="66A2C17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Es un requisito indispensable que "EL GOBIERNO DEL ESTADO" remita, a través de su Secretaría de Finanzas, a "LA SECRETARÍA" la solicitud de transferencia de recursos con los requisitos señalados en el numeral Vigésimo quinto, de los Lineamientos.</w:t>
      </w:r>
    </w:p>
    <w:p w14:paraId="406C4CB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Posteriormente, dentro de los diez días naturales siguientes a la transferencia de los recursos "EL GOBIERNO DEL ESTADO" deberá emitir el recibo electrónico correspondiente por el monto depositado, mismo que deberá estar validado por el Secretario de Finanzas, cumplir con los requisitos establecidos en el artículo 29-A del Código Fiscal de la Federación y enviarlo a "LA SECRETARÍA" vía correo electrónico a la dirección reforma.laboral@stps.gob.mx, así como adjuntarlo en la Plataforma.</w:t>
      </w:r>
    </w:p>
    <w:p w14:paraId="5C479A8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"LA SECRETARÍA", la radicación de los recursos federales genera los momentos contables del gasto devengado, ejercido y pagado, en términos del artículo 4, fracciones XIV, XV, XVI y XVII de la Ley General de Contabilidad Gubernamental.</w:t>
      </w:r>
    </w:p>
    <w:p w14:paraId="66944724">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Por su parte, "EL GOBIERNO DEL ESTADO" deberá registrar en su contabilidad, de acuerdo con las disposiciones jurídicas federales aplicables, los recursos federales recibidos y rendir informes de su aplicación en su Cuenta Pública, con independencia de los que deben rendirse por conducto de "LA SECRETARÍA".</w:t>
      </w:r>
    </w:p>
    <w:p w14:paraId="0B0DA590">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recursos asignados a la entidad federativa se encuentran sujetos a su disponibilidad, en términos del Presupuesto de Egresos de la Federación 2024, por lo que "LA SECRETARÍA" no será responsable por el retraso en la transferencia o la cancelación de los recursos, derivado de disposiciones administrativas presupuestarias ajenas a "LA SECRETARÍA". La UERSJL, comunicará oportunamente a la entidad federativa cualquier eventualidad relacionada con la ministración de los recursos.</w:t>
      </w:r>
    </w:p>
    <w:p w14:paraId="6F60B5BF">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 SECRETARÍA" será ajena a los procedimientos de adjudicación, contratación, orden de pago y/o facturación que lleven a cabo las entidades federativas para la ejecución de los Planes calendarizados aprobados, por lo que estas se comprometen a deslindar a "LA SECRETARÍA" de cualquier controversia que en su caso derive de estas contrataciones.</w:t>
      </w:r>
    </w:p>
    <w:p w14:paraId="39B7F3F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Además, de conformidad con el artículo 67 de la Ley General de Contabilidad Gubernamental, "EL</w:t>
      </w:r>
    </w:p>
    <w:p w14:paraId="37B78B2C">
      <w:pPr>
        <w:keepNext w:val="0"/>
        <w:keepLines w:val="0"/>
        <w:widowControl/>
        <w:suppressLineNumbers w:val="0"/>
        <w:shd w:val="clear" w:fill="FFFFFF"/>
        <w:spacing w:after="9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GOBIERNO DEL ESTADO" deberá registrar en los sistemas respectivos, los documentos justificativos y comprobatorios que correspondan y demás información asociada a los momentos contables del gasto comprometido y devengado.</w:t>
      </w:r>
    </w:p>
    <w:p w14:paraId="785EAE0E">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TERCERA. </w:t>
      </w:r>
      <w:r>
        <w:rPr>
          <w:rFonts w:hint="default" w:ascii="Arial" w:hAnsi="Arial" w:eastAsia="SimSun" w:cs="Arial"/>
          <w:i w:val="0"/>
          <w:iCs w:val="0"/>
          <w:caps w:val="0"/>
          <w:color w:val="000000"/>
          <w:spacing w:val="0"/>
          <w:kern w:val="0"/>
          <w:sz w:val="18"/>
          <w:szCs w:val="18"/>
          <w:shd w:val="clear" w:fill="FFFFFF"/>
          <w:lang w:val="en-US" w:eastAsia="zh-CN" w:bidi="ar"/>
        </w:rPr>
        <w:t>COMPROMISO DE "LAS PARTES". Además de lo previsto en los Lineamientos, para la realización del objeto del presente Convenio, "LAS PARTES" se comprometen a lo siguiente:</w:t>
      </w:r>
    </w:p>
    <w:p w14:paraId="1F0125F2">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todas las facilidades para la rendición de cuentas, respecto a la utilización de los recursos aportados por el Gobierno Federal, así como de la planeación, asistencia técnica y, en su caso, los recursos aportados por el Gobierno Estatal.</w:t>
      </w:r>
    </w:p>
    <w:p w14:paraId="792FA7EB">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Apegarse a lo establecido en la LFPRH, su Reglamento y demás legislación aplicable en materia de subsidios.</w:t>
      </w:r>
    </w:p>
    <w:p w14:paraId="6253F7A4">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Atender todos los acuerdos del Consejo de Coordinación para la Implementación de la Reforma al Sistema de Justicia Laboral y los que deriven de las Reuniones de coordinación para la implementación de la reforma al Sistema de Justicia Laboral.</w:t>
      </w:r>
    </w:p>
    <w:p w14:paraId="6E295FC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CUARTA. </w:t>
      </w:r>
      <w:r>
        <w:rPr>
          <w:rFonts w:hint="default" w:ascii="Arial" w:hAnsi="Arial" w:eastAsia="SimSun" w:cs="Arial"/>
          <w:i w:val="0"/>
          <w:iCs w:val="0"/>
          <w:caps w:val="0"/>
          <w:color w:val="000000"/>
          <w:spacing w:val="0"/>
          <w:kern w:val="0"/>
          <w:sz w:val="18"/>
          <w:szCs w:val="18"/>
          <w:shd w:val="clear" w:fill="FFFFFF"/>
          <w:lang w:val="en-US" w:eastAsia="zh-CN" w:bidi="ar"/>
        </w:rPr>
        <w:t>COMPROMISOS DE "LA SECRETARÍA". "LA SECRETARÍA", se obliga a:</w:t>
      </w:r>
    </w:p>
    <w:p w14:paraId="5C2BD3AA">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Otorgar los recursos públicos federales por concepto de subsidios objeto del presente Convenio, para la ejecución de los Proyectos a que se refieren las CLÁUSULAS PRIMERA y SEGUNDA, conforme a lo aprobado por el Comité de Evaluación, hasta dentro de los veinte días hábiles siguientes al envío de la solicitud de transferencia de recursos, conforme a lo dispuesto en el numeral Vigésimo séptimo de los Lineamientos.</w:t>
      </w:r>
    </w:p>
    <w:p w14:paraId="5EEF3107">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Cuenta Pública Federal y en los demás informes sobre el ejercicio del gasto público, a efecto de informar sobre la aplicación de los subsidios otorgados en el marco del presente instrumento.</w:t>
      </w:r>
    </w:p>
    <w:p w14:paraId="71A2AD16">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sobre los resultados obtenidos con la aplicación de los recursos presupuestarios federales que se proporcionarán en el marco de este instrumento.</w:t>
      </w:r>
    </w:p>
    <w:p w14:paraId="3D316A5D">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Publicar en el DOF el presente Convenio, una vez firmado por "LAS PARTES", para los efectos legales conducentes.</w:t>
      </w:r>
    </w:p>
    <w:p w14:paraId="796F88D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QUINTA. </w:t>
      </w:r>
      <w:r>
        <w:rPr>
          <w:rFonts w:hint="default" w:ascii="Arial" w:hAnsi="Arial" w:eastAsia="SimSun" w:cs="Arial"/>
          <w:i w:val="0"/>
          <w:iCs w:val="0"/>
          <w:caps w:val="0"/>
          <w:color w:val="000000"/>
          <w:spacing w:val="0"/>
          <w:kern w:val="0"/>
          <w:sz w:val="18"/>
          <w:szCs w:val="18"/>
          <w:shd w:val="clear" w:fill="FFFFFF"/>
          <w:lang w:val="en-US" w:eastAsia="zh-CN" w:bidi="ar"/>
        </w:rPr>
        <w:t>COMPROMISOS DE "EL GOBIERNO DEL ESTADO". "EL GOBIERNO DEL ESTADO" se compromete a:</w:t>
      </w:r>
    </w:p>
    <w:p w14:paraId="02A5EDA8">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Destinar por conducto del Centro de Conciliación del estado, los recursos asignados vía subsidio exclusivamente para los fines previstos en las CLÁUSULAS PRIMERA y SEGUNDA.</w:t>
      </w:r>
    </w:p>
    <w:p w14:paraId="4E47AF89">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Ejercer el recurso federal de conformidad con lo establecido en el Proyecto presentado, a más tardar el 30 de noviembre de 2024.</w:t>
      </w:r>
    </w:p>
    <w:p w14:paraId="46B2F1A1">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Iniciar las acciones para dar cumplimiento a los objetivos y metas definidas en el Proyecto presentado y en el Plan calendarizado, una vez que se firme el presente Convenio.</w:t>
      </w:r>
    </w:p>
    <w:p w14:paraId="48D7BAF4">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por conducto del Centro de Conciliación Laboral del estado o los enlaces designados, las acciones, contrataciones y adquisiciones necesarias para la consecución de los fines del Proyecto, en estricto apego a la Ley de Obras Públicas y Servicios Relacionados con las Mismas; a la Ley de Adquisiciones, Arrendamientos y Servicios del Sector Público, a sus respectivos reglamentos y la normatividad aplicable en la materia, considerando los precios unitarios autorizados de acuerdo con las cotizaciones presentadas en cada uno de los rubros de Mobiliario y Tecnologías de la Información, se podrán adquirir los bienes y servicios hasta con un incremento del 20% sobre los precios unitarios aprobados por el Comité, siempre y cuando cuenten con la disponibilidad en cada uno de los rubros en comento. Asimismo, no se deberán adquirir cantidades superiores de los bienes y/o servicios autorizados por el Comité, aun cuando los precios unitarios a la adjudicación sean menores en comparación con los precios unitarios del proyecto autorizado, ni tampoco adquirir bienes o servicios no contemplados en el proyecto autorizado por el Comité, salvo por lo previsto en el segundo párrafo del numeral Cuarto de los Lineamientos.</w:t>
      </w:r>
    </w:p>
    <w:p w14:paraId="21DFDB36">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Requerir con la oportunidad debida a las instancias federales, estatales o municipales que correspondan, la asesoría técnica, autorizaciones o permisos que resulten necesarios para la realización de las funciones derivadas de los Proyectos previstos en este instrumento.</w:t>
      </w:r>
    </w:p>
    <w:p w14:paraId="2FFDE3A2">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Garantizar que los Proyectos que serán financiados con los recursos federales a los que se refiere el presente Convenio de Coordinación, cuenten con la documentación legal y administrativa que resulte necesaria para su ejecución, así como de la autenticidad de la misma.</w:t>
      </w:r>
    </w:p>
    <w:p w14:paraId="54E85360">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Recabar, resguardar y conservar la documentación justificativa y comprobatoria de las erogaciones cubiertas con los recursos federales que le sean entregados por concepto de subsidios.</w:t>
      </w:r>
    </w:p>
    <w:p w14:paraId="3198EF89">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h.</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Realizar los registros correspondientes en la contabilidad y en la Cuenta Pública local, conforme sean devengados y ejercidos los recursos, y dar cumplimiento a las disposiciones federales aplicables respecto de la administración de éstos.</w:t>
      </w:r>
    </w:p>
    <w:p w14:paraId="4CB254DC">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Integrar y resguardar los expedientes relacionados con la ejecución y comprobación de los Proyectos financiados con los recursos otorgados objeto del presente instrumento.</w:t>
      </w:r>
    </w:p>
    <w:p w14:paraId="25AF5147">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j.</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Reportar trimestralmente por rubro, conforme al Plan calendarizado lo siguiente:</w:t>
      </w:r>
    </w:p>
    <w:p w14:paraId="72D47018">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información sobre el ejercicio, destino y resultados obtenidos con los recursos del subsidio;</w:t>
      </w:r>
    </w:p>
    <w:p w14:paraId="16C5FEDF">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La disponibilidad financiera con la que cuente y el recurso del subsidio autorizado, comprometido, devengado, ejercido pagado y disponible el cual deberá ser validado por la Secretaría de Finanzas y soportado con la documentación inherente al Proyecto que corresponda (creación, fortalecimiento y/o mejora de los Centros de Conciliación).</w:t>
      </w:r>
    </w:p>
    <w:p w14:paraId="52542F1E">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instrumentos contractuales correspondientes a los procesos de adjudicación realizados en el periodo reportado.</w:t>
      </w:r>
    </w:p>
    <w:p w14:paraId="505FC763">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4.</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comprobantes fiscales en términos de las leyes aplicables y la verificación de estos en la página de Sistema de Administración Tributaria (SAT).</w:t>
      </w:r>
    </w:p>
    <w:p w14:paraId="09FA08C2">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5.</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estados de cuenta bancarios del periodo reportado.</w:t>
      </w:r>
    </w:p>
    <w:p w14:paraId="0CF07E62">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6.</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El grado de avance de los Proyectos medidos con base en las metas e indicadores que se muestren en el formato de la Plataforma que "LA SECRETARÍA" habilite para tal fin.</w:t>
      </w:r>
    </w:p>
    <w:p w14:paraId="362A66D5">
      <w:pPr>
        <w:keepNext w:val="0"/>
        <w:keepLines w:val="0"/>
        <w:widowControl/>
        <w:suppressLineNumbers w:val="0"/>
        <w:shd w:val="clear" w:fill="FFFFFF"/>
        <w:spacing w:after="80" w:afterAutospacing="0"/>
        <w:ind w:left="1080" w:hanging="36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Los reportes también deberán hacer mención del avance del Proyecto con su debido soporte documental.</w:t>
      </w:r>
    </w:p>
    <w:p w14:paraId="61B827F9">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k.</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Proporcionar a "LA SECRETARÍA" toda la información y documentación requerida para la comprobación de la correcta aplicación del subsidio, así como de las acciones implementadas para la ejecución de los Proyectos, la cual deberán remitir en formato electrónico y físico, según corresponda conforme a lo señalado en los Lineamientos.</w:t>
      </w:r>
    </w:p>
    <w:p w14:paraId="3AC1D4B1">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l.</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En términos de los Lineamientos, presentar a "LA SECRETARÍA", a más tardar el 15 de diciembre de 2024, el acta de cierre del Proyecto, firmada de manera autógrafa por las autoridades responsables, la cual deberá cumplir con los requisitos que se establecen en el numeral Trigésimo octavo, inciso p, de los Lineamientos.</w:t>
      </w:r>
    </w:p>
    <w:p w14:paraId="6F54013A">
      <w:pPr>
        <w:keepNext w:val="0"/>
        <w:keepLines w:val="0"/>
        <w:widowControl/>
        <w:suppressLineNumbers w:val="0"/>
        <w:shd w:val="clear" w:fill="FFFFFF"/>
        <w:spacing w:after="8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m.</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Informar a "LA SECRETARÍA" el cambio de los servidores públicos con injerencia directa en la aplicación de los Lineamientos, que se realice en la entidad federativa hasta el 15 de diciembre de 2024, para lo cual deberá remitir físicamente a "LA SECRETARÍA", en un plazo no mayor a quince días hábiles antes del cambio, un pre cierre en el que se refleje el estado que guarda la aplicación de los recursos de los Lineamientos, así como el avance en el cumplimiento de metas convenidas en su Proyecto.</w:t>
      </w:r>
    </w:p>
    <w:p w14:paraId="71CE0C1D">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Notificar a "LA SECRETARÍA" sobre cualquier cambio de la persona designada como Enlace, así como del personal responsable del seguimiento del Subsidio, en un plazo no mayor a 5 días hábiles contados a partir del cambio correspondiente, proporcionando los datos de contacto de quien asumirá dichas funciones.</w:t>
      </w:r>
    </w:p>
    <w:p w14:paraId="13F7191E">
      <w:pPr>
        <w:keepNext w:val="0"/>
        <w:keepLines w:val="0"/>
        <w:widowControl/>
        <w:suppressLineNumbers w:val="0"/>
        <w:shd w:val="clear" w:fill="FFFFFF"/>
        <w:spacing w:after="9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000000"/>
          <w:spacing w:val="0"/>
          <w:kern w:val="0"/>
          <w:sz w:val="18"/>
          <w:szCs w:val="18"/>
          <w:shd w:val="clear" w:fill="FFFFFF"/>
          <w:lang w:val="en-US" w:eastAsia="zh-CN" w:bidi="ar"/>
        </w:rPr>
        <w:t>Cumplir y observar en todo momento las disposiciones de la LFPRH, el RLFPRH, el Presupuesto de Egresos de la Federación 2024, y demás legislación aplicable a la materia.</w:t>
      </w:r>
    </w:p>
    <w:p w14:paraId="0026DE82">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SEXTA. </w:t>
      </w:r>
      <w:r>
        <w:rPr>
          <w:rFonts w:hint="default" w:ascii="Arial" w:hAnsi="Arial" w:eastAsia="SimSun" w:cs="Arial"/>
          <w:i w:val="0"/>
          <w:iCs w:val="0"/>
          <w:caps w:val="0"/>
          <w:color w:val="000000"/>
          <w:spacing w:val="0"/>
          <w:kern w:val="0"/>
          <w:sz w:val="18"/>
          <w:szCs w:val="18"/>
          <w:shd w:val="clear" w:fill="FFFFFF"/>
          <w:lang w:val="en-US" w:eastAsia="zh-CN" w:bidi="ar"/>
        </w:rPr>
        <w:t>ENLACES. Las o los servidores públicos que fungirán como enlaces entre "LAS PARTES" serán, por "EL GOBIERNO DEL ESTADO" el designado por la persona titular del Centro de Conciliación, y por "LA SECRETARÍA" la persona designada por la UERSJL.</w:t>
      </w:r>
    </w:p>
    <w:p w14:paraId="61A41DF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 través de las personas designadas como enlaces se efectuarán todas las comunicaciones derivadas de la operación del presente Convenio de Coordinación, quienes serán responsables internos de las actividades encomendadas.</w:t>
      </w:r>
    </w:p>
    <w:p w14:paraId="279CC33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del seguimiento y evaluación, "LAS PARTES" acuerdan que las y/o los enlaces podrán a su vez, designar a los funcionarios o personal del nivel jerárquico inmediato inferior, para que los asistan en las funciones encomendadas.</w:t>
      </w:r>
    </w:p>
    <w:p w14:paraId="1CD64B50">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SÉPTIMA. </w:t>
      </w:r>
      <w:r>
        <w:rPr>
          <w:rFonts w:hint="default" w:ascii="Arial" w:hAnsi="Arial" w:eastAsia="SimSun" w:cs="Arial"/>
          <w:i w:val="0"/>
          <w:iCs w:val="0"/>
          <w:caps w:val="0"/>
          <w:color w:val="000000"/>
          <w:spacing w:val="0"/>
          <w:kern w:val="0"/>
          <w:sz w:val="18"/>
          <w:szCs w:val="18"/>
          <w:shd w:val="clear" w:fill="FFFFFF"/>
          <w:lang w:val="en-US" w:eastAsia="zh-CN" w:bidi="ar"/>
        </w:rPr>
        <w:t>REPORTES TRIMESTRALES. "EL GOBIERNO DEL ESTADO", por conducto del enlace asignado informará a "LA SECRETARÍA", a través de la Plataforma y con su debido soporte documental, los reportes trimestrales por rubro del avance conforme al Plan calendarizado presentado por cada uno de los Proyectos.</w:t>
      </w:r>
    </w:p>
    <w:p w14:paraId="140CE795">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reportes deberán presentarse dentro de los 10 días hábiles siguientes a la conclusión de cada trimestre, a partir de la fecha del depósito del recurso al que se refiere la CLÁUSULA SEGUNDA del presente Convenio.</w:t>
      </w:r>
    </w:p>
    <w:p w14:paraId="3749CEF1">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lo anterior deberá atender lo dispuesto en el numeral Trigésimo octavo, inciso f, de los Lineamientos.</w:t>
      </w:r>
    </w:p>
    <w:p w14:paraId="03F22034">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no recibir los reportes de acuerdo con su plan calendarizado "LA SECRETARÍA", a través de la UERSJL, requerirá a la autoridad solicitante, que cumpla con esta obligación en un plazo no mayor a 3 días hábiles; de no hacerlo dicha omisión se hará del conocimiento del Comité de Evaluación para que éste determine lo conducente.</w:t>
      </w:r>
    </w:p>
    <w:p w14:paraId="7AEFFEA3">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OCTAVA. </w:t>
      </w:r>
      <w:r>
        <w:rPr>
          <w:rFonts w:hint="default" w:ascii="Arial" w:hAnsi="Arial" w:eastAsia="SimSun" w:cs="Arial"/>
          <w:i w:val="0"/>
          <w:iCs w:val="0"/>
          <w:caps w:val="0"/>
          <w:color w:val="000000"/>
          <w:spacing w:val="0"/>
          <w:kern w:val="0"/>
          <w:sz w:val="18"/>
          <w:szCs w:val="18"/>
          <w:shd w:val="clear" w:fill="FFFFFF"/>
          <w:lang w:val="en-US" w:eastAsia="zh-CN" w:bidi="ar"/>
        </w:rPr>
        <w:t>APLICACIONES DE LOS RECURSOS. Los recursos federales que se entregarán a "EL GOBIERNO DEL ESTADO" en los términos del presente instrumento y sus Proyectos, no pierden su carácter federal, por lo que su administración, compromiso, devengo, justificación, comprobación, pago, ejercicio y</w:t>
      </w:r>
    </w:p>
    <w:p w14:paraId="7B6ED11E">
      <w:pPr>
        <w:keepNext w:val="0"/>
        <w:keepLines w:val="0"/>
        <w:widowControl/>
        <w:suppressLineNumbers w:val="0"/>
        <w:shd w:val="clear" w:fill="FFFFFF"/>
        <w:spacing w:after="9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contabilización, deberá realizarse de conformidad con las disposiciones contenidas en la legislación federal vigente. Los rendimientos financieros que se obtengan en la cuenta productiva a la cual se transferirá el subsidio en el ejercicio fiscal 2024, deberán ser reintegrados a la Tesorería de la Federación en términos de lo dispuesto en el capítulo X de los Lineamientos.</w:t>
      </w:r>
    </w:p>
    <w:p w14:paraId="455F3919">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NOVENA. </w:t>
      </w:r>
      <w:r>
        <w:rPr>
          <w:rFonts w:hint="default" w:ascii="Arial" w:hAnsi="Arial" w:eastAsia="SimSun" w:cs="Arial"/>
          <w:i w:val="0"/>
          <w:iCs w:val="0"/>
          <w:caps w:val="0"/>
          <w:color w:val="000000"/>
          <w:spacing w:val="0"/>
          <w:kern w:val="0"/>
          <w:sz w:val="18"/>
          <w:szCs w:val="18"/>
          <w:shd w:val="clear" w:fill="FFFFFF"/>
          <w:lang w:val="en-US" w:eastAsia="zh-CN" w:bidi="ar"/>
        </w:rPr>
        <w:t>RESPONSABILIDAD DEL RESGUARDO DE LA DOCUMENTACIÓN. El resguardo y conservación de la documentación original que sirvió para justificar y comprobar la aplicación de los recursos a que se refiere el presente Convenio de Coordinación, estará a cargo de "EL GOBIERNO DEL ESTADO" a través del Titular de la autoridad solicitante.</w:t>
      </w:r>
    </w:p>
    <w:p w14:paraId="1859A2C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el caso de "LA SECRETARÍA", la documentación original que deberá conservar y que estará bajo su resguardo es la que señalan los numerales Quinto, Décimo cuarto, Décimo sexto, Vigésimo quinto, Trigésimo octavo, incisos f y p, de los Lineamientos.</w:t>
      </w:r>
    </w:p>
    <w:p w14:paraId="2D50B57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w:t>
      </w:r>
      <w:r>
        <w:rPr>
          <w:rFonts w:hint="default" w:ascii="Arial" w:hAnsi="Arial" w:eastAsia="SimSun" w:cs="Arial"/>
          <w:i w:val="0"/>
          <w:iCs w:val="0"/>
          <w:caps w:val="0"/>
          <w:color w:val="000000"/>
          <w:spacing w:val="0"/>
          <w:kern w:val="0"/>
          <w:sz w:val="18"/>
          <w:szCs w:val="18"/>
          <w:shd w:val="clear" w:fill="FFFFFF"/>
          <w:lang w:val="en-US" w:eastAsia="zh-CN" w:bidi="ar"/>
        </w:rPr>
        <w:t>REINTEGRO DE LOS RECURSOS. En caso de que "EL GOBIERNO DEL ESTADO" no erogue los recursos federales asignados, los recursos remanentes o saldos disponibles que presente al 30 de noviembre de 2024, deberá de notificarlo por escrito a la UERSJL de "LA SECRETARÍA" a más tardar el 01 de diciembre de 2024, especificando el monto a reintegrar y estableciendo de forma diferenciada la cantidad correspondiente a los recursos del subsidio disponibles y los rendimientos financieros, con la finalidad de realizar las gestiones necesarias para la obtención de las líneas de captura para realizar el reintegro correspondiente.</w:t>
      </w:r>
    </w:p>
    <w:p w14:paraId="023FCB43">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efectos de lo dispuesto en el párrafo anterior, "EL GOBIERNO DEL ESTADO" deberá requerir por escrito signado por el Titular de la autoridad solicitante a la UERSJL de "LA SECRETARÍA", la emisión de dos líneas de captura, una para el reintegro de los recursos y otra para el reintegro de los rendimientos financieros generados. Una vez que las líneas sean expedidas, "EL GOBIERNO DEL ESTADO" deberá comprobar el reintegro correspondiente a más tardar el día 31 de diciembre de 2024, a través de los medios señalados en los Lineamientos.</w:t>
      </w:r>
    </w:p>
    <w:p w14:paraId="39BC2C35">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"EL GOBIERNO DEL ESTADO" estará obligado a reintegrar a la Tesorería de la Federación aquellos recursos que no sean aplicados a los fines para los que le fueron autorizados.</w:t>
      </w:r>
    </w:p>
    <w:p w14:paraId="4EF8860E">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reintegro de los recursos a la Tesorería de la Federación se regirá conforme a lo dispuesto en el capítulo X de los Lineamientos, la LFPRH, el RLFPRH y las demás disposiciones aplicables en la materia.</w:t>
      </w:r>
    </w:p>
    <w:p w14:paraId="0ABCB067">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PRIMERA. </w:t>
      </w:r>
      <w:r>
        <w:rPr>
          <w:rFonts w:hint="default" w:ascii="Arial" w:hAnsi="Arial" w:eastAsia="SimSun" w:cs="Arial"/>
          <w:i w:val="0"/>
          <w:iCs w:val="0"/>
          <w:caps w:val="0"/>
          <w:color w:val="000000"/>
          <w:spacing w:val="0"/>
          <w:kern w:val="0"/>
          <w:sz w:val="18"/>
          <w:szCs w:val="18"/>
          <w:shd w:val="clear" w:fill="FFFFFF"/>
          <w:lang w:val="en-US" w:eastAsia="zh-CN" w:bidi="ar"/>
        </w:rPr>
        <w:t>RELACIÓN LABORAL. 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lo anterior, "LAS PARTES" se liberan recíprocamente de cualquier responsabilidad laboral, administrativa, fiscal, judicial, sindical, de seguridad social y/o de cualquier otra naturaleza que llegara a suscitarse, en lo que respecta a su respectivo personal.</w:t>
      </w:r>
    </w:p>
    <w:p w14:paraId="2A9F8450">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SEGUNDA. </w:t>
      </w:r>
      <w:r>
        <w:rPr>
          <w:rFonts w:hint="default" w:ascii="Arial" w:hAnsi="Arial" w:eastAsia="SimSun" w:cs="Arial"/>
          <w:i w:val="0"/>
          <w:iCs w:val="0"/>
          <w:caps w:val="0"/>
          <w:color w:val="000000"/>
          <w:spacing w:val="0"/>
          <w:kern w:val="0"/>
          <w:sz w:val="18"/>
          <w:szCs w:val="18"/>
          <w:shd w:val="clear" w:fill="FFFFFF"/>
          <w:lang w:val="en-US" w:eastAsia="zh-CN" w:bidi="ar"/>
        </w:rPr>
        <w:t>SANCIONES POR EL INCUMPLIMIENTO. Cuando "LA SECRETARÍA" detecte incumplimiento en el desarrollo de los Proyectos presentados o inconsistencias en el ejercicio de los recursos, procederá conforme al numeral Trigésimo séptimo de los Lineamientos, y en su caso se dará por terminado el presente Convenio conforme a lo señalado en el capítulo IX de los Lineamientos.</w:t>
      </w:r>
    </w:p>
    <w:p w14:paraId="371C69E2">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Bajo el supuesto anterior, "LA SECRETARÍA" ordenará a "EL GOBIERNO DEL ESTADO" la restitución total de los recursos y sus rendimientos financieros a la Tesorería de la Federación, conforme a lo dispuesto en el capítulo X de los Lineamientos, la LFPRH, el RLFPRH y las demás disposiciones aplicables en la materia, lo anterior sin perjuicio de que la UERSJL de "LA SECRETARÍA" haga del conocimiento del incumplimiento o inconsistencias en el ejercicio de los recursos a los órganos fiscalizadores para los efectos legales conducentes.</w:t>
      </w:r>
    </w:p>
    <w:p w14:paraId="2144F3CB">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TERCERA. </w:t>
      </w:r>
      <w:r>
        <w:rPr>
          <w:rFonts w:hint="default" w:ascii="Arial" w:hAnsi="Arial" w:eastAsia="SimSun" w:cs="Arial"/>
          <w:i w:val="0"/>
          <w:iCs w:val="0"/>
          <w:caps w:val="0"/>
          <w:color w:val="000000"/>
          <w:spacing w:val="0"/>
          <w:kern w:val="0"/>
          <w:sz w:val="18"/>
          <w:szCs w:val="18"/>
          <w:shd w:val="clear" w:fill="FFFFFF"/>
          <w:lang w:val="en-US" w:eastAsia="zh-CN" w:bidi="ar"/>
        </w:rPr>
        <w:t>FISCALIZACIÓN. El control, vigilancia y evaluación de los recursos federales a que se refiere la CLÁUSULA SEGUNDA del presente instrumento corresponderá a "LA SECRETARÍA", a la Secretaría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la Función Pública, realice la Secretaría de Contraloría o equivalente de "EL GOBIERNO DEL ESTADO".</w:t>
      </w:r>
    </w:p>
    <w:p w14:paraId="0CD814A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14:paraId="13A2A783">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CUARTA. </w:t>
      </w:r>
      <w:r>
        <w:rPr>
          <w:rFonts w:hint="default" w:ascii="Arial" w:hAnsi="Arial" w:eastAsia="SimSun" w:cs="Arial"/>
          <w:i w:val="0"/>
          <w:iCs w:val="0"/>
          <w:caps w:val="0"/>
          <w:color w:val="000000"/>
          <w:spacing w:val="0"/>
          <w:kern w:val="0"/>
          <w:sz w:val="18"/>
          <w:szCs w:val="18"/>
          <w:shd w:val="clear" w:fill="FFFFFF"/>
          <w:lang w:val="en-US" w:eastAsia="zh-CN" w:bidi="ar"/>
        </w:rPr>
        <w:t>CASO FORTUITO O FUERZA MAYOR. Queda expresamente pactado que "LAS PARTES" no tendrán responsabilidad por los daños y perjuicios que pudieran causarse, como consecuencia de caso fortuito o fuerza mayor, por lo que una vez que desaparezcan las causas que suscitaron la interrupción en la ejecución del Proyecto, se reanudarán las tareas pactadas.</w:t>
      </w:r>
    </w:p>
    <w:p w14:paraId="10952B2C">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QUINTA. </w:t>
      </w:r>
      <w:r>
        <w:rPr>
          <w:rFonts w:hint="default" w:ascii="Arial" w:hAnsi="Arial" w:eastAsia="SimSun" w:cs="Arial"/>
          <w:i w:val="0"/>
          <w:iCs w:val="0"/>
          <w:caps w:val="0"/>
          <w:color w:val="000000"/>
          <w:spacing w:val="0"/>
          <w:kern w:val="0"/>
          <w:sz w:val="18"/>
          <w:szCs w:val="18"/>
          <w:shd w:val="clear" w:fill="FFFFFF"/>
          <w:lang w:val="en-US" w:eastAsia="zh-CN" w:bidi="ar"/>
        </w:rPr>
        <w:t>MODIFICACIONES O ADICIONES. Dentro de los primeros dos meses posteriores a la publicación del Convenio de Coordinación, y hasta en una ocasión "EL GOBIERNO DEL ESTADO" podrá solicitar a la UERSJL de "LA SECRETARÍA", se someta a consideración del Comité de Evaluación, la modificación del presente instrumento conforme a lo dispuesto en el numeral Vigésimo sexto de los Lineamientos.</w:t>
      </w:r>
    </w:p>
    <w:p w14:paraId="7E0295BD">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cambios a los Convenios de Coordinación que "EL GOBIERNO DEL ESTADO" pretenda realizar solo podrán llevarse a cabo bajo los siguientes supuestos:</w:t>
      </w:r>
    </w:p>
    <w:p w14:paraId="2C68EECE">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La adición o eliminación de algún rubro en los Proyectos; y</w:t>
      </w:r>
    </w:p>
    <w:p w14:paraId="202473C8">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La modificación de los montos destinados a cada rubro de los diferentes Proyectos.</w:t>
      </w:r>
    </w:p>
    <w:p w14:paraId="6A8EB5A2">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deberán contemplar los objetivos establecidos en la Solicitud de acceso al subsidio.</w:t>
      </w:r>
    </w:p>
    <w:p w14:paraId="00729495">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Los Convenios Modificatorios deberán presentarse al Comité para su evaluación y, de ser el caso, para la aprobación de los cambios correspondientes.</w:t>
      </w:r>
    </w:p>
    <w:p w14:paraId="1A036C74">
      <w:pPr>
        <w:keepNext w:val="0"/>
        <w:keepLines w:val="0"/>
        <w:widowControl/>
        <w:suppressLineNumbers w:val="0"/>
        <w:shd w:val="clear" w:fill="FFFFFF"/>
        <w:spacing w:after="9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El Convenio modificatorio se publicará en el DOF en los términos del Lineamiento Vigésimo cuarto de los Lineamientos.</w:t>
      </w:r>
    </w:p>
    <w:p w14:paraId="36913DDB">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SEXTA. </w:t>
      </w:r>
      <w:r>
        <w:rPr>
          <w:rFonts w:hint="default" w:ascii="Arial" w:hAnsi="Arial" w:eastAsia="SimSun" w:cs="Arial"/>
          <w:i w:val="0"/>
          <w:iCs w:val="0"/>
          <w:caps w:val="0"/>
          <w:color w:val="000000"/>
          <w:spacing w:val="0"/>
          <w:kern w:val="0"/>
          <w:sz w:val="18"/>
          <w:szCs w:val="18"/>
          <w:shd w:val="clear" w:fill="FFFFFF"/>
          <w:lang w:val="en-US" w:eastAsia="zh-CN" w:bidi="ar"/>
        </w:rPr>
        <w:t>TERMINACIÓN ANTICIPADA. El presente Convenio de Coordinación podrá darse por terminado anticipadamente, cuando se presente alguno de los siguientes supuestos:</w:t>
      </w:r>
    </w:p>
    <w:p w14:paraId="6B55873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a) </w:t>
      </w:r>
      <w:r>
        <w:rPr>
          <w:rFonts w:hint="default" w:ascii="Arial" w:hAnsi="Arial" w:eastAsia="SimSun" w:cs="Arial"/>
          <w:i w:val="0"/>
          <w:iCs w:val="0"/>
          <w:caps w:val="0"/>
          <w:color w:val="000000"/>
          <w:spacing w:val="0"/>
          <w:kern w:val="0"/>
          <w:sz w:val="18"/>
          <w:szCs w:val="18"/>
          <w:shd w:val="clear" w:fill="FFFFFF"/>
          <w:lang w:val="en-US" w:eastAsia="zh-CN" w:bidi="ar"/>
        </w:rPr>
        <w:t>Por estar satisfecho el objeto para el que fue celebrado, siempre que no existan obligaciones pendientes de cumplir por "LAS PARTES" y, en su caso, se haya realizado el reintegro de los recursos y rendimientos financieros que procedan.</w:t>
      </w:r>
    </w:p>
    <w:p w14:paraId="19644F9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b) </w:t>
      </w:r>
      <w:r>
        <w:rPr>
          <w:rFonts w:hint="default" w:ascii="Arial" w:hAnsi="Arial" w:eastAsia="SimSun" w:cs="Arial"/>
          <w:i w:val="0"/>
          <w:iCs w:val="0"/>
          <w:caps w:val="0"/>
          <w:color w:val="000000"/>
          <w:spacing w:val="0"/>
          <w:kern w:val="0"/>
          <w:sz w:val="18"/>
          <w:szCs w:val="18"/>
          <w:shd w:val="clear" w:fill="FFFFFF"/>
          <w:lang w:val="en-US" w:eastAsia="zh-CN" w:bidi="ar"/>
        </w:rPr>
        <w:t>En caso de que no se subsanen las inconsistencias que haya detectado "LA SECRETARÍA" a través de la UERSJL en los reportes trimestrales que presente "EL GOBIERNO DEL ESTADO".</w:t>
      </w:r>
    </w:p>
    <w:p w14:paraId="066CC0E0">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Para tales efectos se levantará una minuta en que se hagan constar las circunstancias específicas que: a) Se presenten y establezcan los términos en que se dará por concluida su ejecución; b) Se identifiquen los responsables del resguardo y conservación de la documentación justificativa y comprobatoria que se haya generado hasta ese momento; y c) Se señale lo procedente respecto al reintegro de los recursos y rendimientos financieros que, en su caso, procedan.</w:t>
      </w:r>
    </w:p>
    <w:p w14:paraId="0AD4F0E7">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SÉPTIMA. </w:t>
      </w:r>
      <w:r>
        <w:rPr>
          <w:rFonts w:hint="default" w:ascii="Arial" w:hAnsi="Arial" w:eastAsia="SimSun" w:cs="Arial"/>
          <w:i w:val="0"/>
          <w:iCs w:val="0"/>
          <w:caps w:val="0"/>
          <w:color w:val="000000"/>
          <w:spacing w:val="0"/>
          <w:kern w:val="0"/>
          <w:sz w:val="18"/>
          <w:szCs w:val="18"/>
          <w:shd w:val="clear" w:fill="FFFFFF"/>
          <w:lang w:val="en-US" w:eastAsia="zh-CN" w:bidi="ar"/>
        </w:rPr>
        <w:t>VIGENCIA. El presente Convenio entrará en vigor a partir del día de su firma y permanecerá vigente hasta el 31 de diciembre de 2024.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14:paraId="3C9AC8FD">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OCTAVA. </w:t>
      </w:r>
      <w:r>
        <w:rPr>
          <w:rFonts w:hint="default" w:ascii="Arial" w:hAnsi="Arial" w:eastAsia="SimSun" w:cs="Arial"/>
          <w:i w:val="0"/>
          <w:iCs w:val="0"/>
          <w:caps w:val="0"/>
          <w:color w:val="000000"/>
          <w:spacing w:val="0"/>
          <w:kern w:val="0"/>
          <w:sz w:val="18"/>
          <w:szCs w:val="18"/>
          <w:shd w:val="clear" w:fill="FFFFFF"/>
          <w:lang w:val="en-US" w:eastAsia="zh-CN" w:bidi="ar"/>
        </w:rPr>
        <w:t>SOLUCIÓN DE CONTROVERSIAS. "LAS PARTES" están de acuerdo en que el presente instrumento es producto de la buena fe, debido a lo cual los conflictos que llegasen a presentarse por cuanto,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14:paraId="1EB50755">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DÉCIMA NOVENA. </w:t>
      </w:r>
      <w:r>
        <w:rPr>
          <w:rFonts w:hint="default" w:ascii="Arial" w:hAnsi="Arial" w:eastAsia="SimSun" w:cs="Arial"/>
          <w:i w:val="0"/>
          <w:iCs w:val="0"/>
          <w:caps w:val="0"/>
          <w:color w:val="000000"/>
          <w:spacing w:val="0"/>
          <w:kern w:val="0"/>
          <w:sz w:val="18"/>
          <w:szCs w:val="18"/>
          <w:shd w:val="clear" w:fill="FFFFFF"/>
          <w:lang w:val="en-US" w:eastAsia="zh-CN" w:bidi="ar"/>
        </w:rPr>
        <w:t>TRANSPARENCIA. "LAS PARTES" se comprometen a cumplir con las disposiciones que establece la Ley General de Transparencia y Acceso a la Información Pública, la Ley Federal de Transparencia y Acceso a la Información Pública y su Reglamento.</w:t>
      </w:r>
    </w:p>
    <w:p w14:paraId="7397235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14:paraId="3E1B0D92">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w:t>
      </w:r>
    </w:p>
    <w:p w14:paraId="6EC8307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deben abstenerse de llevar acabo cualquier tipo de tratamiento sobre los mismos.</w:t>
      </w:r>
    </w:p>
    <w:p w14:paraId="366ED1BA">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000000"/>
          <w:spacing w:val="0"/>
          <w:kern w:val="0"/>
          <w:sz w:val="18"/>
          <w:szCs w:val="18"/>
          <w:shd w:val="clear" w:fill="FFFFFF"/>
          <w:lang w:val="en-US" w:eastAsia="zh-CN" w:bidi="ar"/>
        </w:rPr>
        <w:t>VIGÉSIMA. </w:t>
      </w:r>
      <w:r>
        <w:rPr>
          <w:rFonts w:hint="default" w:ascii="Arial" w:hAnsi="Arial" w:eastAsia="SimSun" w:cs="Arial"/>
          <w:i w:val="0"/>
          <w:iCs w:val="0"/>
          <w:caps w:val="0"/>
          <w:color w:val="000000"/>
          <w:spacing w:val="0"/>
          <w:kern w:val="0"/>
          <w:sz w:val="18"/>
          <w:szCs w:val="18"/>
          <w:shd w:val="clear" w:fill="FFFFFF"/>
          <w:lang w:val="en-US" w:eastAsia="zh-CN" w:bidi="ar"/>
        </w:rPr>
        <w:t>NOTIFICACIONES. "LAS PARTES" acuerdan que cualquier comunicación o notificación que se deba efectuar con motivo del presente instrumento será realizada en los domicilios señalados en el capítulo de DECLARACIONES. A su vez "LA SECRETARÍA" podrá notificar a "EL GOBIERNO DEL ESTADO" por correo electrónico y por medio de la Plataforma habilitada. Cualquier cambio de domicilio que "LAS PARTES" efectúen en lo sucesivo, lo deberán notificar por escrito y en forma indubitable a la otra Parte, por lo menos con 10 días hábiles de anticipación.</w:t>
      </w:r>
    </w:p>
    <w:p w14:paraId="64589C44">
      <w:pPr>
        <w:keepNext w:val="0"/>
        <w:keepLines w:val="0"/>
        <w:widowControl/>
        <w:suppressLineNumbers w:val="0"/>
        <w:shd w:val="clear" w:fill="FFFFFF"/>
        <w:spacing w:after="8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000000"/>
          <w:spacing w:val="0"/>
          <w:kern w:val="0"/>
          <w:sz w:val="18"/>
          <w:szCs w:val="18"/>
          <w:shd w:val="clear" w:fill="FFFFFF"/>
          <w:lang w:val="en-US" w:eastAsia="zh-CN" w:bidi="ar"/>
        </w:rPr>
        <w:t>Leído y ratificado el presente instrumento jurídico y enteradas "LAS PARTES" de su contenido, alcance y fuerza legal, lo suscriben en 6 ejemplares en la Ciudad de México, a los 31 días del mes de mayo de dos mil veinticuatro.- </w:t>
      </w:r>
      <w:r>
        <w:rPr>
          <w:rFonts w:hint="default" w:ascii="Arial" w:hAnsi="Arial" w:eastAsia="SimSun" w:cs="Arial"/>
          <w:i w:val="0"/>
          <w:iCs w:val="0"/>
          <w:caps w:val="0"/>
          <w:color w:val="2F2F2F"/>
          <w:spacing w:val="0"/>
          <w:kern w:val="0"/>
          <w:sz w:val="18"/>
          <w:szCs w:val="18"/>
          <w:shd w:val="clear" w:fill="FFFFFF"/>
          <w:lang w:val="en-US" w:eastAsia="zh-CN" w:bidi="ar"/>
        </w:rPr>
        <w:t>Por la Secretaría: Titular de la Unidad de Enlace para la Reforma al Sistema de Justicia Laboral, </w:t>
      </w:r>
      <w:r>
        <w:rPr>
          <w:rFonts w:hint="default" w:ascii="Arial" w:hAnsi="Arial" w:eastAsia="SimSun" w:cs="Arial"/>
          <w:b/>
          <w:bCs/>
          <w:i w:val="0"/>
          <w:iCs w:val="0"/>
          <w:caps w:val="0"/>
          <w:color w:val="2F2F2F"/>
          <w:spacing w:val="0"/>
          <w:kern w:val="0"/>
          <w:sz w:val="18"/>
          <w:szCs w:val="18"/>
          <w:shd w:val="clear" w:fill="FFFFFF"/>
          <w:lang w:val="en-US" w:eastAsia="zh-CN" w:bidi="ar"/>
        </w:rPr>
        <w:t>Tey Wendolyne Retana Alarcón</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Unidad de Administración y Finanzas, </w:t>
      </w:r>
      <w:r>
        <w:rPr>
          <w:rFonts w:hint="default" w:ascii="Arial" w:hAnsi="Arial" w:eastAsia="SimSun" w:cs="Arial"/>
          <w:b/>
          <w:bCs/>
          <w:i w:val="0"/>
          <w:iCs w:val="0"/>
          <w:caps w:val="0"/>
          <w:color w:val="2F2F2F"/>
          <w:spacing w:val="0"/>
          <w:kern w:val="0"/>
          <w:sz w:val="18"/>
          <w:szCs w:val="18"/>
          <w:shd w:val="clear" w:fill="FFFFFF"/>
          <w:lang w:val="en-US" w:eastAsia="zh-CN" w:bidi="ar"/>
        </w:rPr>
        <w:t>Hanzel</w:t>
      </w:r>
    </w:p>
    <w:p w14:paraId="2AE97674">
      <w:pPr>
        <w:keepNext w:val="0"/>
        <w:keepLines w:val="0"/>
        <w:widowControl/>
        <w:suppressLineNumbers w:val="0"/>
        <w:shd w:val="clear" w:fill="FFFFFF"/>
        <w:spacing w:after="80"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Homero Alvizar Bañuelos</w:t>
      </w:r>
      <w:r>
        <w:rPr>
          <w:rFonts w:hint="default" w:ascii="Arial" w:hAnsi="Arial" w:eastAsia="SimSun" w:cs="Arial"/>
          <w:i w:val="0"/>
          <w:iCs w:val="0"/>
          <w:caps w:val="0"/>
          <w:color w:val="2F2F2F"/>
          <w:spacing w:val="0"/>
          <w:kern w:val="0"/>
          <w:sz w:val="18"/>
          <w:szCs w:val="18"/>
          <w:shd w:val="clear" w:fill="FFFFFF"/>
          <w:lang w:val="en-US" w:eastAsia="zh-CN" w:bidi="ar"/>
        </w:rPr>
        <w:t>.- Rúbrica.- Gobierno del Estado de San Luis Potosí: Director General del Centro de Conciliación Laboral en el Estado de San Luis Potosí, </w:t>
      </w:r>
      <w:r>
        <w:rPr>
          <w:rFonts w:hint="default" w:ascii="Arial" w:hAnsi="Arial" w:eastAsia="SimSun" w:cs="Arial"/>
          <w:b/>
          <w:bCs/>
          <w:i w:val="0"/>
          <w:iCs w:val="0"/>
          <w:caps w:val="0"/>
          <w:color w:val="2F2F2F"/>
          <w:spacing w:val="0"/>
          <w:kern w:val="0"/>
          <w:sz w:val="18"/>
          <w:szCs w:val="18"/>
          <w:shd w:val="clear" w:fill="FFFFFF"/>
          <w:lang w:val="en-US" w:eastAsia="zh-CN" w:bidi="ar"/>
        </w:rPr>
        <w:t>Miguel Cardoza Mora</w:t>
      </w:r>
      <w:r>
        <w:rPr>
          <w:rFonts w:hint="default" w:ascii="Arial" w:hAnsi="Arial" w:eastAsia="SimSun" w:cs="Arial"/>
          <w:i w:val="0"/>
          <w:iCs w:val="0"/>
          <w:caps w:val="0"/>
          <w:color w:val="2F2F2F"/>
          <w:spacing w:val="0"/>
          <w:kern w:val="0"/>
          <w:sz w:val="18"/>
          <w:szCs w:val="18"/>
          <w:shd w:val="clear" w:fill="FFFFFF"/>
          <w:lang w:val="en-US" w:eastAsia="zh-CN" w:bidi="ar"/>
        </w:rPr>
        <w:t>.- Rúbrica.- Titular de la Secretaría de Finanzas, </w:t>
      </w:r>
      <w:r>
        <w:rPr>
          <w:rFonts w:hint="default" w:ascii="Arial" w:hAnsi="Arial" w:eastAsia="SimSun" w:cs="Arial"/>
          <w:b/>
          <w:bCs/>
          <w:i w:val="0"/>
          <w:iCs w:val="0"/>
          <w:caps w:val="0"/>
          <w:color w:val="2F2F2F"/>
          <w:spacing w:val="0"/>
          <w:kern w:val="0"/>
          <w:sz w:val="18"/>
          <w:szCs w:val="18"/>
          <w:shd w:val="clear" w:fill="FFFFFF"/>
          <w:lang w:val="en-US" w:eastAsia="zh-CN" w:bidi="ar"/>
        </w:rPr>
        <w:t>Omar Valadez Macías</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671635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14:paraId="047C53D9"/>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62500D"/>
    <w:rsid w:val="3A625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2024-06-26T14:45:00Z</dcterms:created>
  <dc:creator>Nancy.escutia</dc:creator>
  <cp:lastModifiedBy>Nancy Guadalupe Escutia Báez</cp:lastModifiedBy>
  <dcterms:modified xsi:type="dcterms:W3CDTF">2024-06-26T14:46:36Z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2058-12.2.0.17119</vt:lpwstr>
  </property>
  <property fmtid="{D5CDD505-2E9C-101B-9397-08002B2CF9AE}" pid="3" name="ICV">
    <vt:lpwstr>203D08CDAC8844E2ACB24BD308DF9B10_11</vt:lpwstr>
  </property>
</Properties>
</file>