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por el cual se da a conocer la estrategia de comercialización del servicio de Gestión Electrónica de Patentes, durante El Buen Fin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58 fracciones I y III y 59 fracciones I, V, XII y XIV de la Ley Federal de las Entidades Paraestatales y 26 de su Reglamento; 9o. fracción I del Decreto por el que se crea el Instituto Mexicano de la Propiedad Industrial; 1o., 3o. fracción II, 4o. y 6o. BIS del Reglamento del Instituto Mexicano de la Propiedad Industrial, y 1o., 4o., 5o. fracción II, y 10 de su Estatuto Orgánico,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campaña "El Buen Fin" surge como una iniciativa del Gobierno de la República, por medio de la Secretaría de Economía junto con otras autoridades mexicanas y empresarios, como una herramienta de colaboración público privada, para reactivar la economía nacional, impulsar el mercado interno y fomentar el comercio electrónico;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durante el ejercicio 2020, se prevé la participación de 60,000 empresas de distintos sectores las cuales brindarán descuentos y promociones a sus clientes, del 9 al 20 de noviembre;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impulsar una acción de contenido social y solidarizarse con las creadoras y creadores que han iniciado una gestión ante la Dirección Divisional de Patentes, en el contexto de "El Buen Fin" y como estrategia de comercialización de los servicios electrónicos del Instituto, la Junta de Gobierno de este Instituto aprobó mediante acuerdo </w:t>
      </w:r>
      <w:r w:rsidDel="00000000" w:rsidR="00000000" w:rsidRPr="00000000">
        <w:rPr>
          <w:rFonts w:ascii="Verdana" w:cs="Verdana" w:eastAsia="Verdana" w:hAnsi="Verdana"/>
          <w:b w:val="1"/>
          <w:color w:val="2f2f2f"/>
          <w:sz w:val="20"/>
          <w:szCs w:val="20"/>
          <w:rtl w:val="0"/>
        </w:rPr>
        <w:t xml:space="preserve">20/2020/3ª</w:t>
      </w:r>
      <w:r w:rsidDel="00000000" w:rsidR="00000000" w:rsidRPr="00000000">
        <w:rPr>
          <w:rFonts w:ascii="Verdana" w:cs="Verdana" w:eastAsia="Verdana" w:hAnsi="Verdana"/>
          <w:color w:val="2f2f2f"/>
          <w:sz w:val="20"/>
          <w:szCs w:val="20"/>
          <w:rtl w:val="0"/>
        </w:rPr>
        <w:t xml:space="preserve">, el precio diferencial de la tarifa prevista en el artículo 29 del Acuerdo por el que se dan a conocer las Tarifas por los servicios que presta el Instituto Mexicano de la Propiedad Industrial vigente, para las solicitudes presentadas para acceder a la Gestión Electrónica de Patentes;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Secretaria de Hacienda y Crédito Público, mediante oficio 349-B-1-031 de fecha 23 de octubre de 2020, tomó conocimiento de la aplicación de las tarifas diferenciadas por lo que, a efecto de dar a conocer al público en general lo anterior, se da a conocer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 POR EL CUAL SE DA A CONOCER LA ESTRATEGIA DE COMERCIALIZACIÓN DEL SERVICIO</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GESTIÓN ELECTRÓNICA DE PATENTES, DURANTE "EL BUEN FIN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 </w:t>
      </w:r>
      <w:r w:rsidDel="00000000" w:rsidR="00000000" w:rsidRPr="00000000">
        <w:rPr>
          <w:rFonts w:ascii="Verdana" w:cs="Verdana" w:eastAsia="Verdana" w:hAnsi="Verdana"/>
          <w:color w:val="2f2f2f"/>
          <w:sz w:val="20"/>
          <w:szCs w:val="20"/>
          <w:rtl w:val="0"/>
        </w:rPr>
        <w:t xml:space="preserve">Las promociones para acceder a la Gestión Electrónica de Patentes presentadas mediante el Portal de Acceso a Servicios Electrónicos, del 9 al 20 de noviembre de 2020, pagarán el equivalente al diez por ciento de la tarifa prevista en el artículo 29 del Acuerdo por el que se dan a conocer las Tarifas por los servicios que presta el Instituto Mexicano de la Propiedad Industrial vigente, siempre y cuando éstas sean firmadas por el usuario y recibidas por el Instituto en el mismo periodo.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octubre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suscrito </w:t>
      </w:r>
      <w:r w:rsidDel="00000000" w:rsidR="00000000" w:rsidRPr="00000000">
        <w:rPr>
          <w:rFonts w:ascii="Verdana" w:cs="Verdana" w:eastAsia="Verdana" w:hAnsi="Verdana"/>
          <w:b w:val="1"/>
          <w:color w:val="2f2f2f"/>
          <w:sz w:val="20"/>
          <w:szCs w:val="20"/>
          <w:rtl w:val="0"/>
        </w:rPr>
        <w:t xml:space="preserve">Alfredo Carlos Rendón Algara</w:t>
      </w:r>
      <w:r w:rsidDel="00000000" w:rsidR="00000000" w:rsidRPr="00000000">
        <w:rPr>
          <w:rFonts w:ascii="Verdana" w:cs="Verdana" w:eastAsia="Verdana" w:hAnsi="Verdana"/>
          <w:color w:val="2f2f2f"/>
          <w:sz w:val="20"/>
          <w:szCs w:val="20"/>
          <w:rtl w:val="0"/>
        </w:rPr>
        <w:t xml:space="preserve">,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Del="00000000" w:rsidR="00000000" w:rsidRPr="00000000">
        <w:rPr>
          <w:rFonts w:ascii="Verdana" w:cs="Verdana" w:eastAsia="Verdana" w:hAnsi="Verdana"/>
          <w:b w:val="1"/>
          <w:color w:val="2f2f2f"/>
          <w:sz w:val="20"/>
          <w:szCs w:val="20"/>
          <w:rtl w:val="0"/>
        </w:rPr>
        <w:t xml:space="preserve">CERTIFICA</w:t>
      </w:r>
      <w:r w:rsidDel="00000000" w:rsidR="00000000" w:rsidRPr="00000000">
        <w:rPr>
          <w:rFonts w:ascii="Verdana" w:cs="Verdana" w:eastAsia="Verdana" w:hAnsi="Verdana"/>
          <w:color w:val="2f2f2f"/>
          <w:sz w:val="20"/>
          <w:szCs w:val="20"/>
          <w:rtl w:val="0"/>
        </w:rPr>
        <w:t xml:space="preserve">: Que en la tercera sesión ordinaria de dicho Cuerpo Colegiado, celebrada en la Ciudad de México el día primero de octubre de dos mil veinte, se adoptó el siguiente acuerdo: </w:t>
      </w:r>
      <w:r w:rsidDel="00000000" w:rsidR="00000000" w:rsidRPr="00000000">
        <w:rPr>
          <w:rFonts w:ascii="Verdana" w:cs="Verdana" w:eastAsia="Verdana" w:hAnsi="Verdana"/>
          <w:b w:val="1"/>
          <w:color w:val="2f2f2f"/>
          <w:sz w:val="20"/>
          <w:szCs w:val="20"/>
          <w:rtl w:val="0"/>
        </w:rPr>
        <w:t xml:space="preserve">20/2020/3ª.</w:t>
      </w:r>
      <w:r w:rsidDel="00000000" w:rsidR="00000000" w:rsidRPr="00000000">
        <w:rPr>
          <w:rFonts w:ascii="Verdana" w:cs="Verdana" w:eastAsia="Verdana" w:hAnsi="Verdana"/>
          <w:color w:val="2f2f2f"/>
          <w:sz w:val="20"/>
          <w:szCs w:val="20"/>
          <w:rtl w:val="0"/>
        </w:rPr>
        <w:t xml:space="preserve"> Con fundamento en los artículos 58 fracciones I y III de la Ley Federal de Entidades Paraestatales y 26 de su Reglamento, como estrategia de comercialización, se aprueba el precio diferencial de la tarifa prevista en el artículo 29 del Acuerdo por el que se dan a conocer las Tarifas por los servicios que presta el Instituto Mexicano de la Propiedad Industrial vigente, correspondiente al 10 por ciento de su importe, del 9 al 20 de noviembre del año en curso, para todo solicitante que presente una petición para acceder a la Gestión Electrónica de Patentes y se autoriza al Director General a realizar las gestiones necesarias ante las instancias correspondientes, hasta su publicación en el Diario Oficial de la Federación.- Se extiende la presente certificación en la Ciudad de México, a los treinta días del mes de octubre de dos mil veinte, para los efectos legales a que haya lugar.- Rúbrica.</w:t>
      </w:r>
    </w:p>
    <w:p w:rsidR="00000000" w:rsidDel="00000000" w:rsidP="00000000" w:rsidRDefault="00000000" w:rsidRPr="00000000" w14:paraId="00000010">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