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A3" w:rsidRPr="006234A3" w:rsidRDefault="006234A3" w:rsidP="006234A3">
      <w:pPr>
        <w:jc w:val="center"/>
        <w:rPr>
          <w:rFonts w:ascii="Verdana" w:hAnsi="Verdana"/>
          <w:b/>
          <w:bCs/>
          <w:color w:val="0070C0"/>
          <w:sz w:val="24"/>
        </w:rPr>
      </w:pPr>
      <w:r w:rsidRPr="006234A3">
        <w:rPr>
          <w:rFonts w:ascii="Verdana" w:hAnsi="Verdana"/>
          <w:b/>
          <w:bCs/>
          <w:color w:val="0070C0"/>
          <w:sz w:val="24"/>
        </w:rPr>
        <w:t>Acuerdo por el que se da a conocer la Decisión No. 2/2019 de la Comisión Administradora del Tratado de Libre Comercio entre los Estados Unidos Mexicanos y la República Oriental del Uruguay, adoptada el 3 de septiembre de 2019.</w:t>
      </w:r>
    </w:p>
    <w:p w:rsidR="00832B17" w:rsidRPr="00832B17" w:rsidRDefault="00CC75EF" w:rsidP="00CC75EF">
      <w:pPr>
        <w:jc w:val="center"/>
        <w:rPr>
          <w:rFonts w:ascii="Verdana" w:hAnsi="Verdana"/>
          <w:b/>
          <w:bCs/>
          <w:color w:val="0070C0"/>
          <w:sz w:val="24"/>
        </w:rPr>
      </w:pPr>
      <w:r w:rsidRPr="00CC75EF">
        <w:rPr>
          <w:rFonts w:ascii="Verdana" w:hAnsi="Verdana"/>
          <w:b/>
          <w:bCs/>
          <w:color w:val="0070C0"/>
          <w:sz w:val="24"/>
        </w:rPr>
        <w:t xml:space="preserve"> </w:t>
      </w:r>
      <w:r w:rsidR="00832B17">
        <w:rPr>
          <w:rFonts w:ascii="Verdana" w:hAnsi="Verdana"/>
          <w:b/>
          <w:bCs/>
          <w:color w:val="0070C0"/>
          <w:sz w:val="24"/>
        </w:rPr>
        <w:t>(DOF del 31 de octubre de 2019)</w:t>
      </w:r>
    </w:p>
    <w:p w:rsidR="006234A3" w:rsidRPr="006234A3" w:rsidRDefault="006234A3" w:rsidP="006234A3">
      <w:pPr>
        <w:rPr>
          <w:rFonts w:ascii="Verdana" w:hAnsi="Verdana"/>
          <w:b/>
          <w:bCs/>
          <w:sz w:val="20"/>
        </w:rPr>
      </w:pPr>
      <w:r w:rsidRPr="006234A3">
        <w:rPr>
          <w:rFonts w:ascii="Verdana" w:hAnsi="Verdana"/>
          <w:b/>
          <w:bCs/>
          <w:sz w:val="20"/>
        </w:rPr>
        <w:t>Al margen un sello con el Escudo Nacional, que dice: Estados Unidos Mexicanos.- SE.- Secretaría de Economía.</w:t>
      </w:r>
    </w:p>
    <w:p w:rsidR="006234A3" w:rsidRPr="006234A3" w:rsidRDefault="006234A3" w:rsidP="006234A3">
      <w:pPr>
        <w:rPr>
          <w:rFonts w:ascii="Verdana" w:hAnsi="Verdana"/>
          <w:sz w:val="20"/>
        </w:rPr>
      </w:pPr>
      <w:r w:rsidRPr="006234A3">
        <w:rPr>
          <w:rFonts w:ascii="Verdana" w:hAnsi="Verdana"/>
          <w:sz w:val="20"/>
        </w:rPr>
        <w:t>Con fundamento en los artículos 34 fracción XXXIII de la Ley Orgánica de la Administración Pública Federal; 5o. fracción X de la Ley de Comercio Exterior; 5 fracción XVII del Reglamento Interior de la Secretaría de Economía, y</w:t>
      </w:r>
    </w:p>
    <w:p w:rsidR="006234A3" w:rsidRPr="006234A3" w:rsidRDefault="006234A3" w:rsidP="006234A3">
      <w:pPr>
        <w:rPr>
          <w:rFonts w:ascii="Verdana" w:hAnsi="Verdana"/>
          <w:b/>
          <w:bCs/>
          <w:sz w:val="20"/>
        </w:rPr>
      </w:pPr>
      <w:r w:rsidRPr="006234A3">
        <w:rPr>
          <w:rFonts w:ascii="Verdana" w:hAnsi="Verdana"/>
          <w:b/>
          <w:bCs/>
          <w:sz w:val="20"/>
        </w:rPr>
        <w:t>CONSIDERANDO</w:t>
      </w:r>
    </w:p>
    <w:p w:rsidR="006234A3" w:rsidRPr="006234A3" w:rsidRDefault="006234A3" w:rsidP="006234A3">
      <w:pPr>
        <w:rPr>
          <w:rFonts w:ascii="Verdana" w:hAnsi="Verdana"/>
          <w:sz w:val="20"/>
        </w:rPr>
      </w:pPr>
      <w:r w:rsidRPr="006234A3">
        <w:rPr>
          <w:rFonts w:ascii="Verdana" w:hAnsi="Verdana"/>
          <w:sz w:val="20"/>
        </w:rPr>
        <w:t>Que el 15 de noviembre de 2003, fue suscrito, en la ciudad de Santa Cruz de la Sierra, Bolivia, el Tratado de Libre Comercio entre los Estados Unidos Mexicanos y la República Oriental del Uruguay (Tratado), mismo que fue aprobado por la Cámara de Senadores del Honorable Congreso de la Unión el 28 de abril de 2004, de acuerdo al Decreto publicado en el Diario Oficial de la Federación el 26 de mayo del 2004.</w:t>
      </w:r>
    </w:p>
    <w:p w:rsidR="006234A3" w:rsidRPr="006234A3" w:rsidRDefault="006234A3" w:rsidP="006234A3">
      <w:pPr>
        <w:rPr>
          <w:rFonts w:ascii="Verdana" w:hAnsi="Verdana"/>
          <w:sz w:val="20"/>
        </w:rPr>
      </w:pPr>
      <w:r w:rsidRPr="006234A3">
        <w:rPr>
          <w:rFonts w:ascii="Verdana" w:hAnsi="Verdana"/>
          <w:sz w:val="20"/>
        </w:rPr>
        <w:t>Que el 18 de enero de 2013, se publicó en el Diario Oficial de la Federación el Decreto por el que se aprueba el Protocolo Modificatorio al Tratado de Libre Comercio entre los Estados Unidos Mexicanos y la República Oriental del Uruguay, firmado en la Ciudad de Santa Cruz de la Sierra, Bolivia, el quince de noviembre de dos mil tres, suscrito simultáneamente en la Ciudad de México y en Montevideo el primero de octubre de dos mil doce.</w:t>
      </w:r>
    </w:p>
    <w:p w:rsidR="006234A3" w:rsidRPr="006234A3" w:rsidRDefault="006234A3" w:rsidP="006234A3">
      <w:pPr>
        <w:rPr>
          <w:rFonts w:ascii="Verdana" w:hAnsi="Verdana"/>
          <w:sz w:val="20"/>
        </w:rPr>
      </w:pPr>
      <w:r w:rsidRPr="006234A3">
        <w:rPr>
          <w:rFonts w:ascii="Verdana" w:hAnsi="Verdana"/>
          <w:sz w:val="20"/>
        </w:rPr>
        <w:t>Que el párrafo 1 del Artículo 5-02 del Tratado establece que el certificado de origen podrá ser modificado por acuerdo de las Partes.</w:t>
      </w:r>
    </w:p>
    <w:p w:rsidR="006234A3" w:rsidRPr="006234A3" w:rsidRDefault="006234A3" w:rsidP="006234A3">
      <w:pPr>
        <w:rPr>
          <w:rFonts w:ascii="Verdana" w:hAnsi="Verdana"/>
          <w:sz w:val="20"/>
        </w:rPr>
      </w:pPr>
      <w:r w:rsidRPr="006234A3">
        <w:rPr>
          <w:rFonts w:ascii="Verdana" w:hAnsi="Verdana"/>
          <w:sz w:val="20"/>
        </w:rPr>
        <w:t>Que de conformidad con el Artículo 17-01, numerales 1 y 4 del Tratado, las Partes establecieron la Comisión Administradora, la cual tomará todas sus decisiones por unanimidad.</w:t>
      </w:r>
    </w:p>
    <w:p w:rsidR="006234A3" w:rsidRPr="006234A3" w:rsidRDefault="006234A3" w:rsidP="006234A3">
      <w:pPr>
        <w:rPr>
          <w:rFonts w:ascii="Verdana" w:hAnsi="Verdana"/>
          <w:sz w:val="20"/>
        </w:rPr>
      </w:pPr>
      <w:r w:rsidRPr="006234A3">
        <w:rPr>
          <w:rFonts w:ascii="Verdana" w:hAnsi="Verdana"/>
          <w:sz w:val="20"/>
        </w:rPr>
        <w:t>Que conforme a lo referido en el Artículo 17-01, numeral 3, inciso c) del Tratado, la Comisión Administradora, previo acuerdo entre las Partes, adoptó la Decisión No. 2/2019 relativa a la modificación del llenado del Campo No. 12 del formato del certificado de origen.</w:t>
      </w:r>
    </w:p>
    <w:p w:rsidR="006234A3" w:rsidRPr="006234A3" w:rsidRDefault="006234A3" w:rsidP="006234A3">
      <w:pPr>
        <w:rPr>
          <w:rFonts w:ascii="Verdana" w:hAnsi="Verdana"/>
          <w:sz w:val="20"/>
        </w:rPr>
      </w:pPr>
      <w:r w:rsidRPr="006234A3">
        <w:rPr>
          <w:rFonts w:ascii="Verdana" w:hAnsi="Verdana"/>
          <w:sz w:val="20"/>
        </w:rPr>
        <w:t>Que resulta necesario dar a conocer la Decisión No. 2/2019 a los operadores de comercio exterior, se expide el siguiente:</w:t>
      </w:r>
    </w:p>
    <w:p w:rsidR="006234A3" w:rsidRPr="006234A3" w:rsidRDefault="006234A3" w:rsidP="006234A3">
      <w:pPr>
        <w:rPr>
          <w:rFonts w:ascii="Verdana" w:hAnsi="Verdana"/>
          <w:b/>
          <w:bCs/>
          <w:sz w:val="20"/>
        </w:rPr>
      </w:pPr>
      <w:r w:rsidRPr="006234A3">
        <w:rPr>
          <w:rFonts w:ascii="Verdana" w:hAnsi="Verdana"/>
          <w:b/>
          <w:bCs/>
          <w:sz w:val="20"/>
        </w:rPr>
        <w:t>Acuerdo</w:t>
      </w:r>
    </w:p>
    <w:p w:rsidR="006234A3" w:rsidRPr="006234A3" w:rsidRDefault="006234A3" w:rsidP="006234A3">
      <w:pPr>
        <w:rPr>
          <w:rFonts w:ascii="Verdana" w:hAnsi="Verdana"/>
          <w:sz w:val="20"/>
        </w:rPr>
      </w:pPr>
      <w:r w:rsidRPr="006234A3">
        <w:rPr>
          <w:rFonts w:ascii="Verdana" w:hAnsi="Verdana"/>
          <w:b/>
          <w:bCs/>
          <w:sz w:val="20"/>
        </w:rPr>
        <w:t>Único.-</w:t>
      </w:r>
      <w:r w:rsidRPr="006234A3">
        <w:rPr>
          <w:rFonts w:ascii="Verdana" w:hAnsi="Verdana"/>
          <w:sz w:val="20"/>
        </w:rPr>
        <w:t> Se da a conocer la Decisión No. 2/2019 de la Comisión Administradora del Tratado de Libre Comercio entre los Estados Unidos Mexicanos y la República Oriental del Uruguay, adoptada el 3 de septiembre de 2019:</w:t>
      </w:r>
    </w:p>
    <w:p w:rsidR="006234A3" w:rsidRPr="006234A3" w:rsidRDefault="006234A3" w:rsidP="006234A3">
      <w:pPr>
        <w:rPr>
          <w:rFonts w:ascii="Verdana" w:hAnsi="Verdana"/>
          <w:sz w:val="20"/>
        </w:rPr>
      </w:pPr>
      <w:r w:rsidRPr="006234A3">
        <w:rPr>
          <w:rFonts w:ascii="Verdana" w:hAnsi="Verdana"/>
          <w:sz w:val="20"/>
        </w:rPr>
        <w:lastRenderedPageBreak/>
        <w:t>"</w:t>
      </w:r>
      <w:r w:rsidRPr="006234A3">
        <w:rPr>
          <w:rFonts w:ascii="Verdana" w:hAnsi="Verdana"/>
          <w:b/>
          <w:bCs/>
          <w:sz w:val="20"/>
        </w:rPr>
        <w:t>DECISIÓN No. 2 / 2019</w:t>
      </w:r>
    </w:p>
    <w:p w:rsidR="006234A3" w:rsidRPr="006234A3" w:rsidRDefault="006234A3" w:rsidP="006234A3">
      <w:pPr>
        <w:rPr>
          <w:rFonts w:ascii="Verdana" w:hAnsi="Verdana"/>
          <w:sz w:val="20"/>
        </w:rPr>
      </w:pPr>
      <w:r w:rsidRPr="006234A3">
        <w:rPr>
          <w:rFonts w:ascii="Verdana" w:hAnsi="Verdana"/>
          <w:b/>
          <w:bCs/>
          <w:sz w:val="20"/>
        </w:rPr>
        <w:t>Modificación del llenado del Campo No. 12, del formato del certificado de origen, acordado en el</w:t>
      </w:r>
      <w:r w:rsidRPr="006234A3">
        <w:rPr>
          <w:rFonts w:ascii="Verdana" w:hAnsi="Verdana"/>
          <w:sz w:val="20"/>
        </w:rPr>
        <w:br/>
      </w:r>
      <w:r w:rsidRPr="006234A3">
        <w:rPr>
          <w:rFonts w:ascii="Verdana" w:hAnsi="Verdana"/>
          <w:b/>
          <w:bCs/>
          <w:sz w:val="20"/>
        </w:rPr>
        <w:t>Artículo 5-02 (Declaración y certificación de origen), del Tratado de Libre Comercio entre los Estados</w:t>
      </w:r>
      <w:r w:rsidRPr="006234A3">
        <w:rPr>
          <w:rFonts w:ascii="Verdana" w:hAnsi="Verdana"/>
          <w:sz w:val="20"/>
        </w:rPr>
        <w:br/>
      </w:r>
      <w:r w:rsidRPr="006234A3">
        <w:rPr>
          <w:rFonts w:ascii="Verdana" w:hAnsi="Verdana"/>
          <w:b/>
          <w:bCs/>
          <w:sz w:val="20"/>
        </w:rPr>
        <w:t>Unidos Mexicanos y la República Oriental del Uruguay</w:t>
      </w:r>
    </w:p>
    <w:p w:rsidR="006234A3" w:rsidRPr="006234A3" w:rsidRDefault="006234A3" w:rsidP="006234A3">
      <w:pPr>
        <w:rPr>
          <w:rFonts w:ascii="Verdana" w:hAnsi="Verdana"/>
          <w:sz w:val="20"/>
        </w:rPr>
      </w:pPr>
      <w:r w:rsidRPr="006234A3">
        <w:rPr>
          <w:rFonts w:ascii="Verdana" w:hAnsi="Verdana"/>
          <w:b/>
          <w:bCs/>
          <w:sz w:val="20"/>
        </w:rPr>
        <w:t>CONSIDERANDO:</w:t>
      </w:r>
    </w:p>
    <w:p w:rsidR="006234A3" w:rsidRPr="006234A3" w:rsidRDefault="006234A3" w:rsidP="006234A3">
      <w:pPr>
        <w:rPr>
          <w:rFonts w:ascii="Verdana" w:hAnsi="Verdana"/>
          <w:sz w:val="20"/>
        </w:rPr>
      </w:pPr>
      <w:r w:rsidRPr="006234A3">
        <w:rPr>
          <w:rFonts w:ascii="Verdana" w:hAnsi="Verdana"/>
          <w:sz w:val="20"/>
        </w:rPr>
        <w:t>Que la Comisión Administradora del Tratado de Libre Comercio entre los Estados Unidos Mexicanos y la República Oriental del Uruguay (Tratado), de conformidad con lo dispuesto en los Artículos 4-18 (1) y el 17-01 (3) (c) del Tratado,</w:t>
      </w:r>
    </w:p>
    <w:p w:rsidR="006234A3" w:rsidRPr="006234A3" w:rsidRDefault="006234A3" w:rsidP="006234A3">
      <w:pPr>
        <w:rPr>
          <w:rFonts w:ascii="Verdana" w:hAnsi="Verdana"/>
          <w:sz w:val="20"/>
        </w:rPr>
      </w:pPr>
      <w:r w:rsidRPr="006234A3">
        <w:rPr>
          <w:rFonts w:ascii="Verdana" w:hAnsi="Verdana"/>
          <w:sz w:val="20"/>
        </w:rPr>
        <w:t>Que resulta necesario dar a conocer a los operadores de comercio exterior de ambas Partes, la nueva manera con la que contará la autoridad competente para validar de forma más expedita los certificados de origen, con el fin de facilitar el intercambio comercial de nuestros países,</w:t>
      </w:r>
    </w:p>
    <w:p w:rsidR="006234A3" w:rsidRPr="006234A3" w:rsidRDefault="006234A3" w:rsidP="006234A3">
      <w:pPr>
        <w:rPr>
          <w:rFonts w:ascii="Verdana" w:hAnsi="Verdana"/>
          <w:sz w:val="20"/>
        </w:rPr>
      </w:pPr>
      <w:r w:rsidRPr="006234A3">
        <w:rPr>
          <w:rFonts w:ascii="Verdana" w:hAnsi="Verdana"/>
          <w:b/>
          <w:bCs/>
          <w:sz w:val="20"/>
        </w:rPr>
        <w:t>DECIDE</w:t>
      </w:r>
      <w:r w:rsidRPr="006234A3">
        <w:rPr>
          <w:rFonts w:ascii="Verdana" w:hAnsi="Verdana"/>
          <w:sz w:val="20"/>
        </w:rPr>
        <w:t>:</w:t>
      </w:r>
    </w:p>
    <w:p w:rsidR="006234A3" w:rsidRPr="006234A3" w:rsidRDefault="006234A3" w:rsidP="006234A3">
      <w:pPr>
        <w:rPr>
          <w:rFonts w:ascii="Verdana" w:hAnsi="Verdana"/>
          <w:sz w:val="20"/>
        </w:rPr>
      </w:pPr>
      <w:r w:rsidRPr="006234A3">
        <w:rPr>
          <w:rFonts w:ascii="Verdana" w:hAnsi="Verdana"/>
          <w:b/>
          <w:bCs/>
          <w:sz w:val="20"/>
        </w:rPr>
        <w:t>1.</w:t>
      </w:r>
      <w:r w:rsidRPr="006234A3">
        <w:rPr>
          <w:rFonts w:ascii="Verdana" w:hAnsi="Verdana"/>
          <w:sz w:val="20"/>
        </w:rPr>
        <w:t>     Aprobar la interpretación del Comité de Reglas de Origen y Procedimientos Aduaneros de conformidad con el Artículo 4-18 (1), (d), (iii) y el Artículo 5-02 del Tratado, respecto del llenado del Campo No. 12 del formato del certificado de origen, como se establece en el Anexo a esta Decisión.</w:t>
      </w:r>
    </w:p>
    <w:p w:rsidR="006234A3" w:rsidRPr="006234A3" w:rsidRDefault="006234A3" w:rsidP="006234A3">
      <w:pPr>
        <w:rPr>
          <w:rFonts w:ascii="Verdana" w:hAnsi="Verdana"/>
          <w:sz w:val="20"/>
        </w:rPr>
      </w:pPr>
      <w:r w:rsidRPr="006234A3">
        <w:rPr>
          <w:rFonts w:ascii="Verdana" w:hAnsi="Verdana"/>
          <w:b/>
          <w:bCs/>
          <w:sz w:val="20"/>
        </w:rPr>
        <w:t>2.</w:t>
      </w:r>
      <w:r w:rsidRPr="006234A3">
        <w:rPr>
          <w:rFonts w:ascii="Verdana" w:hAnsi="Verdana"/>
          <w:sz w:val="20"/>
        </w:rPr>
        <w:t>     Modificar el instructivo de llenado del certificado de origen adjunto a esta Decisión.</w:t>
      </w:r>
    </w:p>
    <w:p w:rsidR="006234A3" w:rsidRPr="006234A3" w:rsidRDefault="006234A3" w:rsidP="006234A3">
      <w:pPr>
        <w:rPr>
          <w:rFonts w:ascii="Verdana" w:hAnsi="Verdana"/>
          <w:sz w:val="20"/>
        </w:rPr>
      </w:pPr>
      <w:r w:rsidRPr="006234A3">
        <w:rPr>
          <w:rFonts w:ascii="Verdana" w:hAnsi="Verdana"/>
          <w:b/>
          <w:bCs/>
          <w:sz w:val="20"/>
        </w:rPr>
        <w:t>3.</w:t>
      </w:r>
      <w:r w:rsidRPr="006234A3">
        <w:rPr>
          <w:rFonts w:ascii="Verdana" w:hAnsi="Verdana"/>
          <w:sz w:val="20"/>
        </w:rPr>
        <w:t>     Los certificados de origen válidos que se hayan emitido con anterioridad a la fecha de entrada en vigor de esta Decisión, seguirán siendo válidos durante el plazo de su vigencia.</w:t>
      </w:r>
    </w:p>
    <w:p w:rsidR="006234A3" w:rsidRPr="006234A3" w:rsidRDefault="006234A3" w:rsidP="006234A3">
      <w:pPr>
        <w:rPr>
          <w:rFonts w:ascii="Verdana" w:hAnsi="Verdana"/>
          <w:sz w:val="20"/>
        </w:rPr>
      </w:pPr>
      <w:r w:rsidRPr="006234A3">
        <w:rPr>
          <w:rFonts w:ascii="Verdana" w:hAnsi="Verdana"/>
          <w:sz w:val="20"/>
        </w:rPr>
        <w:t> </w:t>
      </w:r>
    </w:p>
    <w:p w:rsidR="006234A3" w:rsidRPr="006234A3" w:rsidRDefault="006234A3" w:rsidP="006234A3">
      <w:pPr>
        <w:rPr>
          <w:rFonts w:ascii="Verdana" w:hAnsi="Verdana"/>
          <w:sz w:val="20"/>
        </w:rPr>
      </w:pPr>
      <w:r w:rsidRPr="006234A3">
        <w:rPr>
          <w:rFonts w:ascii="Verdana" w:hAnsi="Verdana"/>
          <w:b/>
          <w:bCs/>
          <w:sz w:val="20"/>
        </w:rPr>
        <w:t>4.</w:t>
      </w:r>
      <w:r w:rsidRPr="006234A3">
        <w:rPr>
          <w:rFonts w:ascii="Verdana" w:hAnsi="Verdana"/>
          <w:sz w:val="20"/>
        </w:rPr>
        <w:t>     La presente Decisión entrará en vigor a los 60 días siguientes a la fecha de su firma.</w:t>
      </w:r>
    </w:p>
    <w:p w:rsidR="006234A3" w:rsidRPr="006234A3" w:rsidRDefault="006234A3" w:rsidP="006234A3">
      <w:pPr>
        <w:rPr>
          <w:rFonts w:ascii="Verdana" w:hAnsi="Verdana"/>
          <w:sz w:val="20"/>
        </w:rPr>
      </w:pPr>
      <w:r w:rsidRPr="006234A3">
        <w:rPr>
          <w:rFonts w:ascii="Verdana" w:hAnsi="Verdana"/>
          <w:b/>
          <w:bCs/>
          <w:sz w:val="20"/>
        </w:rPr>
        <w:t>ANEXO</w:t>
      </w:r>
    </w:p>
    <w:p w:rsidR="006234A3" w:rsidRPr="006234A3" w:rsidRDefault="006234A3" w:rsidP="006234A3">
      <w:pPr>
        <w:rPr>
          <w:rFonts w:ascii="Verdana" w:hAnsi="Verdana"/>
          <w:sz w:val="20"/>
        </w:rPr>
      </w:pPr>
      <w:r w:rsidRPr="006234A3">
        <w:rPr>
          <w:rFonts w:ascii="Verdana" w:hAnsi="Verdana"/>
          <w:b/>
          <w:bCs/>
          <w:sz w:val="20"/>
        </w:rPr>
        <w:t>Modificación del llenado del Campo No. 12, del formato del certificado de origen, acordado en el</w:t>
      </w:r>
      <w:r w:rsidRPr="006234A3">
        <w:rPr>
          <w:rFonts w:ascii="Verdana" w:hAnsi="Verdana"/>
          <w:sz w:val="20"/>
        </w:rPr>
        <w:br/>
      </w:r>
      <w:r w:rsidRPr="006234A3">
        <w:rPr>
          <w:rFonts w:ascii="Verdana" w:hAnsi="Verdana"/>
          <w:b/>
          <w:bCs/>
          <w:sz w:val="20"/>
        </w:rPr>
        <w:t>Artículo 5-02 (Declaración y certificación de origen), del Tratado de Libre Comercio entre los Estados</w:t>
      </w:r>
      <w:r w:rsidRPr="006234A3">
        <w:rPr>
          <w:rFonts w:ascii="Verdana" w:hAnsi="Verdana"/>
          <w:sz w:val="20"/>
        </w:rPr>
        <w:br/>
      </w:r>
      <w:r w:rsidRPr="006234A3">
        <w:rPr>
          <w:rFonts w:ascii="Verdana" w:hAnsi="Verdana"/>
          <w:b/>
          <w:bCs/>
          <w:sz w:val="20"/>
        </w:rPr>
        <w:t>Unidos Mexicanos y la República Oriental del Uruguay</w:t>
      </w:r>
    </w:p>
    <w:p w:rsidR="006234A3" w:rsidRPr="006234A3" w:rsidRDefault="006234A3" w:rsidP="006234A3">
      <w:pPr>
        <w:rPr>
          <w:rFonts w:ascii="Verdana" w:hAnsi="Verdana"/>
          <w:sz w:val="20"/>
        </w:rPr>
      </w:pPr>
      <w:r w:rsidRPr="006234A3">
        <w:rPr>
          <w:rFonts w:ascii="Verdana" w:hAnsi="Verdana"/>
          <w:sz w:val="20"/>
        </w:rPr>
        <w:t>Para los efectos del instructivo del llenado del certificado de origen, eliminar lo señalado en el Campo No. 12 y reemplazarlo por lo siguiente:</w:t>
      </w:r>
    </w:p>
    <w:p w:rsidR="006234A3" w:rsidRPr="006234A3" w:rsidRDefault="006234A3" w:rsidP="006234A3">
      <w:pPr>
        <w:rPr>
          <w:rFonts w:ascii="Verdana" w:hAnsi="Verdana"/>
          <w:sz w:val="20"/>
        </w:rPr>
      </w:pPr>
      <w:r w:rsidRPr="006234A3">
        <w:rPr>
          <w:rFonts w:ascii="Verdana" w:hAnsi="Verdana"/>
          <w:sz w:val="20"/>
        </w:rPr>
        <w:lastRenderedPageBreak/>
        <w:t>Campo No. 12:    Este campo deberá ser llenado por la autoridad competente o la entidad habilitada de la Parte exportadora, debiendo constar la ciudad y el país de la Parte exportadora, la fecha de emisión del certificado de origen, nombre, la firma y el sello del funcionario autorizado. La firma podrá ser autógrafa o un facsímil de la misma; en relación al sello podrá ser en tinta o en imagen. La autoridad competente o la entidad habilitada, los datos del funcionario firmante, firma y sello, deberán coincidir con los registros de la ALADI."</w:t>
      </w:r>
    </w:p>
    <w:p w:rsidR="006234A3" w:rsidRPr="006234A3" w:rsidRDefault="006234A3" w:rsidP="006234A3">
      <w:pPr>
        <w:rPr>
          <w:rFonts w:ascii="Verdana" w:hAnsi="Verdana"/>
          <w:b/>
          <w:bCs/>
          <w:sz w:val="20"/>
        </w:rPr>
      </w:pPr>
      <w:r w:rsidRPr="006234A3">
        <w:rPr>
          <w:rFonts w:ascii="Verdana" w:hAnsi="Verdana"/>
          <w:b/>
          <w:bCs/>
          <w:sz w:val="20"/>
        </w:rPr>
        <w:t>TRANSITORIOS</w:t>
      </w:r>
    </w:p>
    <w:p w:rsidR="006234A3" w:rsidRPr="006234A3" w:rsidRDefault="006234A3" w:rsidP="006234A3">
      <w:pPr>
        <w:rPr>
          <w:rFonts w:ascii="Verdana" w:hAnsi="Verdana"/>
          <w:sz w:val="20"/>
        </w:rPr>
      </w:pPr>
      <w:r w:rsidRPr="006234A3">
        <w:rPr>
          <w:rFonts w:ascii="Verdana" w:hAnsi="Verdana"/>
          <w:b/>
          <w:bCs/>
          <w:sz w:val="20"/>
        </w:rPr>
        <w:t>ÚNICO.- </w:t>
      </w:r>
      <w:r w:rsidRPr="006234A3">
        <w:rPr>
          <w:rFonts w:ascii="Verdana" w:hAnsi="Verdana"/>
          <w:sz w:val="20"/>
        </w:rPr>
        <w:t>El presente Acuerdo entrará en vigor el día 2 de noviembre de 2019.</w:t>
      </w:r>
    </w:p>
    <w:p w:rsidR="006234A3" w:rsidRPr="006234A3" w:rsidRDefault="006234A3" w:rsidP="006234A3">
      <w:pPr>
        <w:rPr>
          <w:rFonts w:ascii="Verdana" w:hAnsi="Verdana"/>
          <w:sz w:val="20"/>
        </w:rPr>
      </w:pPr>
      <w:r w:rsidRPr="006234A3">
        <w:rPr>
          <w:rFonts w:ascii="Verdana" w:hAnsi="Verdana"/>
          <w:sz w:val="20"/>
        </w:rPr>
        <w:t>Ciudad de México, a 21 de octubre de 2019.- La Secretaria de Economía, </w:t>
      </w:r>
      <w:r w:rsidRPr="006234A3">
        <w:rPr>
          <w:rFonts w:ascii="Verdana" w:hAnsi="Verdana"/>
          <w:b/>
          <w:bCs/>
          <w:sz w:val="20"/>
        </w:rPr>
        <w:t>Graciela Márquez Colín</w:t>
      </w:r>
      <w:r w:rsidRPr="006234A3">
        <w:rPr>
          <w:rFonts w:ascii="Verdana" w:hAnsi="Verdana"/>
          <w:sz w:val="20"/>
        </w:rPr>
        <w:t>.- Rúbrica.</w:t>
      </w:r>
    </w:p>
    <w:p w:rsidR="006234A3" w:rsidRPr="006234A3" w:rsidRDefault="006234A3" w:rsidP="006234A3">
      <w:pPr>
        <w:rPr>
          <w:rFonts w:ascii="Verdana" w:hAnsi="Verdana"/>
          <w:sz w:val="20"/>
        </w:rPr>
      </w:pPr>
      <w:r w:rsidRPr="006234A3">
        <w:rPr>
          <w:rFonts w:ascii="Verdana" w:hAnsi="Verdana"/>
          <w:sz w:val="20"/>
        </w:rPr>
        <w:t> </w:t>
      </w:r>
    </w:p>
    <w:p w:rsidR="00BF3AEB" w:rsidRPr="00832B17" w:rsidRDefault="006234A3">
      <w:pPr>
        <w:rPr>
          <w:rFonts w:ascii="Verdana" w:hAnsi="Verdana"/>
          <w:sz w:val="20"/>
        </w:rPr>
      </w:pPr>
      <w:bookmarkStart w:id="0" w:name="_GoBack"/>
      <w:bookmarkEnd w:id="0"/>
    </w:p>
    <w:sectPr w:rsidR="00BF3AEB" w:rsidRPr="00832B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17"/>
    <w:rsid w:val="002228FA"/>
    <w:rsid w:val="006234A3"/>
    <w:rsid w:val="00832B17"/>
    <w:rsid w:val="00C06CE1"/>
    <w:rsid w:val="00CC7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6074">
      <w:bodyDiv w:val="1"/>
      <w:marLeft w:val="0"/>
      <w:marRight w:val="0"/>
      <w:marTop w:val="0"/>
      <w:marBottom w:val="0"/>
      <w:divBdr>
        <w:top w:val="none" w:sz="0" w:space="0" w:color="auto"/>
        <w:left w:val="none" w:sz="0" w:space="0" w:color="auto"/>
        <w:bottom w:val="none" w:sz="0" w:space="0" w:color="auto"/>
        <w:right w:val="none" w:sz="0" w:space="0" w:color="auto"/>
      </w:divBdr>
      <w:divsChild>
        <w:div w:id="761292458">
          <w:marLeft w:val="0"/>
          <w:marRight w:val="0"/>
          <w:marTop w:val="0"/>
          <w:marBottom w:val="101"/>
          <w:divBdr>
            <w:top w:val="none" w:sz="0" w:space="0" w:color="auto"/>
            <w:left w:val="none" w:sz="0" w:space="0" w:color="auto"/>
            <w:bottom w:val="none" w:sz="0" w:space="0" w:color="auto"/>
            <w:right w:val="none" w:sz="0" w:space="0" w:color="auto"/>
          </w:divBdr>
        </w:div>
        <w:div w:id="667753076">
          <w:marLeft w:val="0"/>
          <w:marRight w:val="0"/>
          <w:marTop w:val="101"/>
          <w:marBottom w:val="101"/>
          <w:divBdr>
            <w:top w:val="none" w:sz="0" w:space="0" w:color="auto"/>
            <w:left w:val="none" w:sz="0" w:space="0" w:color="auto"/>
            <w:bottom w:val="none" w:sz="0" w:space="0" w:color="auto"/>
            <w:right w:val="none" w:sz="0" w:space="0" w:color="auto"/>
          </w:divBdr>
        </w:div>
        <w:div w:id="1887452947">
          <w:marLeft w:val="0"/>
          <w:marRight w:val="0"/>
          <w:marTop w:val="0"/>
          <w:marBottom w:val="101"/>
          <w:divBdr>
            <w:top w:val="none" w:sz="0" w:space="0" w:color="auto"/>
            <w:left w:val="none" w:sz="0" w:space="0" w:color="auto"/>
            <w:bottom w:val="none" w:sz="0" w:space="0" w:color="auto"/>
            <w:right w:val="none" w:sz="0" w:space="0" w:color="auto"/>
          </w:divBdr>
        </w:div>
        <w:div w:id="1154104408">
          <w:marLeft w:val="0"/>
          <w:marRight w:val="0"/>
          <w:marTop w:val="0"/>
          <w:marBottom w:val="101"/>
          <w:divBdr>
            <w:top w:val="none" w:sz="0" w:space="0" w:color="auto"/>
            <w:left w:val="none" w:sz="0" w:space="0" w:color="auto"/>
            <w:bottom w:val="none" w:sz="0" w:space="0" w:color="auto"/>
            <w:right w:val="none" w:sz="0" w:space="0" w:color="auto"/>
          </w:divBdr>
        </w:div>
        <w:div w:id="190262780">
          <w:marLeft w:val="0"/>
          <w:marRight w:val="0"/>
          <w:marTop w:val="0"/>
          <w:marBottom w:val="101"/>
          <w:divBdr>
            <w:top w:val="none" w:sz="0" w:space="0" w:color="auto"/>
            <w:left w:val="none" w:sz="0" w:space="0" w:color="auto"/>
            <w:bottom w:val="none" w:sz="0" w:space="0" w:color="auto"/>
            <w:right w:val="none" w:sz="0" w:space="0" w:color="auto"/>
          </w:divBdr>
        </w:div>
        <w:div w:id="690884389">
          <w:marLeft w:val="0"/>
          <w:marRight w:val="0"/>
          <w:marTop w:val="0"/>
          <w:marBottom w:val="101"/>
          <w:divBdr>
            <w:top w:val="none" w:sz="0" w:space="0" w:color="auto"/>
            <w:left w:val="none" w:sz="0" w:space="0" w:color="auto"/>
            <w:bottom w:val="none" w:sz="0" w:space="0" w:color="auto"/>
            <w:right w:val="none" w:sz="0" w:space="0" w:color="auto"/>
          </w:divBdr>
        </w:div>
        <w:div w:id="334191989">
          <w:marLeft w:val="0"/>
          <w:marRight w:val="0"/>
          <w:marTop w:val="0"/>
          <w:marBottom w:val="101"/>
          <w:divBdr>
            <w:top w:val="none" w:sz="0" w:space="0" w:color="auto"/>
            <w:left w:val="none" w:sz="0" w:space="0" w:color="auto"/>
            <w:bottom w:val="none" w:sz="0" w:space="0" w:color="auto"/>
            <w:right w:val="none" w:sz="0" w:space="0" w:color="auto"/>
          </w:divBdr>
        </w:div>
        <w:div w:id="1973636417">
          <w:marLeft w:val="0"/>
          <w:marRight w:val="0"/>
          <w:marTop w:val="0"/>
          <w:marBottom w:val="101"/>
          <w:divBdr>
            <w:top w:val="none" w:sz="0" w:space="0" w:color="auto"/>
            <w:left w:val="none" w:sz="0" w:space="0" w:color="auto"/>
            <w:bottom w:val="none" w:sz="0" w:space="0" w:color="auto"/>
            <w:right w:val="none" w:sz="0" w:space="0" w:color="auto"/>
          </w:divBdr>
        </w:div>
        <w:div w:id="1122264191">
          <w:marLeft w:val="0"/>
          <w:marRight w:val="0"/>
          <w:marTop w:val="101"/>
          <w:marBottom w:val="101"/>
          <w:divBdr>
            <w:top w:val="none" w:sz="0" w:space="0" w:color="auto"/>
            <w:left w:val="none" w:sz="0" w:space="0" w:color="auto"/>
            <w:bottom w:val="none" w:sz="0" w:space="0" w:color="auto"/>
            <w:right w:val="none" w:sz="0" w:space="0" w:color="auto"/>
          </w:divBdr>
        </w:div>
        <w:div w:id="2115175596">
          <w:marLeft w:val="0"/>
          <w:marRight w:val="0"/>
          <w:marTop w:val="0"/>
          <w:marBottom w:val="101"/>
          <w:divBdr>
            <w:top w:val="none" w:sz="0" w:space="0" w:color="auto"/>
            <w:left w:val="none" w:sz="0" w:space="0" w:color="auto"/>
            <w:bottom w:val="none" w:sz="0" w:space="0" w:color="auto"/>
            <w:right w:val="none" w:sz="0" w:space="0" w:color="auto"/>
          </w:divBdr>
        </w:div>
        <w:div w:id="1159232013">
          <w:marLeft w:val="0"/>
          <w:marRight w:val="0"/>
          <w:marTop w:val="0"/>
          <w:marBottom w:val="101"/>
          <w:divBdr>
            <w:top w:val="none" w:sz="0" w:space="0" w:color="auto"/>
            <w:left w:val="none" w:sz="0" w:space="0" w:color="auto"/>
            <w:bottom w:val="none" w:sz="0" w:space="0" w:color="auto"/>
            <w:right w:val="none" w:sz="0" w:space="0" w:color="auto"/>
          </w:divBdr>
        </w:div>
        <w:div w:id="57821605">
          <w:marLeft w:val="0"/>
          <w:marRight w:val="0"/>
          <w:marTop w:val="0"/>
          <w:marBottom w:val="101"/>
          <w:divBdr>
            <w:top w:val="none" w:sz="0" w:space="0" w:color="auto"/>
            <w:left w:val="none" w:sz="0" w:space="0" w:color="auto"/>
            <w:bottom w:val="none" w:sz="0" w:space="0" w:color="auto"/>
            <w:right w:val="none" w:sz="0" w:space="0" w:color="auto"/>
          </w:divBdr>
        </w:div>
        <w:div w:id="1816020350">
          <w:marLeft w:val="0"/>
          <w:marRight w:val="0"/>
          <w:marTop w:val="0"/>
          <w:marBottom w:val="101"/>
          <w:divBdr>
            <w:top w:val="none" w:sz="0" w:space="0" w:color="auto"/>
            <w:left w:val="none" w:sz="0" w:space="0" w:color="auto"/>
            <w:bottom w:val="none" w:sz="0" w:space="0" w:color="auto"/>
            <w:right w:val="none" w:sz="0" w:space="0" w:color="auto"/>
          </w:divBdr>
        </w:div>
        <w:div w:id="245892688">
          <w:marLeft w:val="0"/>
          <w:marRight w:val="0"/>
          <w:marTop w:val="0"/>
          <w:marBottom w:val="101"/>
          <w:divBdr>
            <w:top w:val="none" w:sz="0" w:space="0" w:color="auto"/>
            <w:left w:val="none" w:sz="0" w:space="0" w:color="auto"/>
            <w:bottom w:val="none" w:sz="0" w:space="0" w:color="auto"/>
            <w:right w:val="none" w:sz="0" w:space="0" w:color="auto"/>
          </w:divBdr>
        </w:div>
        <w:div w:id="961232572">
          <w:marLeft w:val="0"/>
          <w:marRight w:val="0"/>
          <w:marTop w:val="0"/>
          <w:marBottom w:val="101"/>
          <w:divBdr>
            <w:top w:val="none" w:sz="0" w:space="0" w:color="auto"/>
            <w:left w:val="none" w:sz="0" w:space="0" w:color="auto"/>
            <w:bottom w:val="none" w:sz="0" w:space="0" w:color="auto"/>
            <w:right w:val="none" w:sz="0" w:space="0" w:color="auto"/>
          </w:divBdr>
        </w:div>
        <w:div w:id="1526216581">
          <w:marLeft w:val="0"/>
          <w:marRight w:val="0"/>
          <w:marTop w:val="0"/>
          <w:marBottom w:val="101"/>
          <w:divBdr>
            <w:top w:val="none" w:sz="0" w:space="0" w:color="auto"/>
            <w:left w:val="none" w:sz="0" w:space="0" w:color="auto"/>
            <w:bottom w:val="none" w:sz="0" w:space="0" w:color="auto"/>
            <w:right w:val="none" w:sz="0" w:space="0" w:color="auto"/>
          </w:divBdr>
        </w:div>
        <w:div w:id="183250817">
          <w:marLeft w:val="720"/>
          <w:marRight w:val="0"/>
          <w:marTop w:val="0"/>
          <w:marBottom w:val="101"/>
          <w:divBdr>
            <w:top w:val="none" w:sz="0" w:space="0" w:color="auto"/>
            <w:left w:val="none" w:sz="0" w:space="0" w:color="auto"/>
            <w:bottom w:val="none" w:sz="0" w:space="0" w:color="auto"/>
            <w:right w:val="none" w:sz="0" w:space="0" w:color="auto"/>
          </w:divBdr>
        </w:div>
        <w:div w:id="184372026">
          <w:marLeft w:val="720"/>
          <w:marRight w:val="0"/>
          <w:marTop w:val="0"/>
          <w:marBottom w:val="101"/>
          <w:divBdr>
            <w:top w:val="none" w:sz="0" w:space="0" w:color="auto"/>
            <w:left w:val="none" w:sz="0" w:space="0" w:color="auto"/>
            <w:bottom w:val="none" w:sz="0" w:space="0" w:color="auto"/>
            <w:right w:val="none" w:sz="0" w:space="0" w:color="auto"/>
          </w:divBdr>
        </w:div>
        <w:div w:id="89357598">
          <w:marLeft w:val="720"/>
          <w:marRight w:val="0"/>
          <w:marTop w:val="0"/>
          <w:marBottom w:val="101"/>
          <w:divBdr>
            <w:top w:val="none" w:sz="0" w:space="0" w:color="auto"/>
            <w:left w:val="none" w:sz="0" w:space="0" w:color="auto"/>
            <w:bottom w:val="none" w:sz="0" w:space="0" w:color="auto"/>
            <w:right w:val="none" w:sz="0" w:space="0" w:color="auto"/>
          </w:divBdr>
        </w:div>
        <w:div w:id="537937146">
          <w:marLeft w:val="720"/>
          <w:marRight w:val="0"/>
          <w:marTop w:val="0"/>
          <w:marBottom w:val="101"/>
          <w:divBdr>
            <w:top w:val="none" w:sz="0" w:space="0" w:color="auto"/>
            <w:left w:val="none" w:sz="0" w:space="0" w:color="auto"/>
            <w:bottom w:val="none" w:sz="0" w:space="0" w:color="auto"/>
            <w:right w:val="none" w:sz="0" w:space="0" w:color="auto"/>
          </w:divBdr>
        </w:div>
        <w:div w:id="1265725650">
          <w:marLeft w:val="720"/>
          <w:marRight w:val="0"/>
          <w:marTop w:val="0"/>
          <w:marBottom w:val="101"/>
          <w:divBdr>
            <w:top w:val="none" w:sz="0" w:space="0" w:color="auto"/>
            <w:left w:val="none" w:sz="0" w:space="0" w:color="auto"/>
            <w:bottom w:val="none" w:sz="0" w:space="0" w:color="auto"/>
            <w:right w:val="none" w:sz="0" w:space="0" w:color="auto"/>
          </w:divBdr>
        </w:div>
        <w:div w:id="1568370721">
          <w:marLeft w:val="0"/>
          <w:marRight w:val="0"/>
          <w:marTop w:val="0"/>
          <w:marBottom w:val="101"/>
          <w:divBdr>
            <w:top w:val="none" w:sz="0" w:space="0" w:color="auto"/>
            <w:left w:val="none" w:sz="0" w:space="0" w:color="auto"/>
            <w:bottom w:val="none" w:sz="0" w:space="0" w:color="auto"/>
            <w:right w:val="none" w:sz="0" w:space="0" w:color="auto"/>
          </w:divBdr>
        </w:div>
        <w:div w:id="1541894791">
          <w:marLeft w:val="0"/>
          <w:marRight w:val="0"/>
          <w:marTop w:val="0"/>
          <w:marBottom w:val="101"/>
          <w:divBdr>
            <w:top w:val="none" w:sz="0" w:space="0" w:color="auto"/>
            <w:left w:val="none" w:sz="0" w:space="0" w:color="auto"/>
            <w:bottom w:val="none" w:sz="0" w:space="0" w:color="auto"/>
            <w:right w:val="none" w:sz="0" w:space="0" w:color="auto"/>
          </w:divBdr>
        </w:div>
        <w:div w:id="1226333876">
          <w:marLeft w:val="0"/>
          <w:marRight w:val="0"/>
          <w:marTop w:val="0"/>
          <w:marBottom w:val="101"/>
          <w:divBdr>
            <w:top w:val="none" w:sz="0" w:space="0" w:color="auto"/>
            <w:left w:val="none" w:sz="0" w:space="0" w:color="auto"/>
            <w:bottom w:val="none" w:sz="0" w:space="0" w:color="auto"/>
            <w:right w:val="none" w:sz="0" w:space="0" w:color="auto"/>
          </w:divBdr>
        </w:div>
        <w:div w:id="1198349751">
          <w:marLeft w:val="2016"/>
          <w:marRight w:val="0"/>
          <w:marTop w:val="0"/>
          <w:marBottom w:val="101"/>
          <w:divBdr>
            <w:top w:val="none" w:sz="0" w:space="0" w:color="auto"/>
            <w:left w:val="none" w:sz="0" w:space="0" w:color="auto"/>
            <w:bottom w:val="none" w:sz="0" w:space="0" w:color="auto"/>
            <w:right w:val="none" w:sz="0" w:space="0" w:color="auto"/>
          </w:divBdr>
        </w:div>
        <w:div w:id="1670713446">
          <w:marLeft w:val="0"/>
          <w:marRight w:val="0"/>
          <w:marTop w:val="101"/>
          <w:marBottom w:val="101"/>
          <w:divBdr>
            <w:top w:val="none" w:sz="0" w:space="0" w:color="auto"/>
            <w:left w:val="none" w:sz="0" w:space="0" w:color="auto"/>
            <w:bottom w:val="none" w:sz="0" w:space="0" w:color="auto"/>
            <w:right w:val="none" w:sz="0" w:space="0" w:color="auto"/>
          </w:divBdr>
        </w:div>
        <w:div w:id="494030725">
          <w:marLeft w:val="0"/>
          <w:marRight w:val="0"/>
          <w:marTop w:val="0"/>
          <w:marBottom w:val="101"/>
          <w:divBdr>
            <w:top w:val="none" w:sz="0" w:space="0" w:color="auto"/>
            <w:left w:val="none" w:sz="0" w:space="0" w:color="auto"/>
            <w:bottom w:val="none" w:sz="0" w:space="0" w:color="auto"/>
            <w:right w:val="none" w:sz="0" w:space="0" w:color="auto"/>
          </w:divBdr>
        </w:div>
        <w:div w:id="1170028329">
          <w:marLeft w:val="0"/>
          <w:marRight w:val="0"/>
          <w:marTop w:val="0"/>
          <w:marBottom w:val="101"/>
          <w:divBdr>
            <w:top w:val="none" w:sz="0" w:space="0" w:color="auto"/>
            <w:left w:val="none" w:sz="0" w:space="0" w:color="auto"/>
            <w:bottom w:val="none" w:sz="0" w:space="0" w:color="auto"/>
            <w:right w:val="none" w:sz="0" w:space="0" w:color="auto"/>
          </w:divBdr>
        </w:div>
        <w:div w:id="1172599836">
          <w:marLeft w:val="0"/>
          <w:marRight w:val="0"/>
          <w:marTop w:val="0"/>
          <w:marBottom w:val="101"/>
          <w:divBdr>
            <w:top w:val="none" w:sz="0" w:space="0" w:color="auto"/>
            <w:left w:val="none" w:sz="0" w:space="0" w:color="auto"/>
            <w:bottom w:val="none" w:sz="0" w:space="0" w:color="auto"/>
            <w:right w:val="none" w:sz="0" w:space="0" w:color="auto"/>
          </w:divBdr>
        </w:div>
      </w:divsChild>
    </w:div>
    <w:div w:id="193467783">
      <w:bodyDiv w:val="1"/>
      <w:marLeft w:val="0"/>
      <w:marRight w:val="0"/>
      <w:marTop w:val="0"/>
      <w:marBottom w:val="0"/>
      <w:divBdr>
        <w:top w:val="none" w:sz="0" w:space="0" w:color="auto"/>
        <w:left w:val="none" w:sz="0" w:space="0" w:color="auto"/>
        <w:bottom w:val="none" w:sz="0" w:space="0" w:color="auto"/>
        <w:right w:val="none" w:sz="0" w:space="0" w:color="auto"/>
      </w:divBdr>
    </w:div>
    <w:div w:id="318388509">
      <w:bodyDiv w:val="1"/>
      <w:marLeft w:val="0"/>
      <w:marRight w:val="0"/>
      <w:marTop w:val="0"/>
      <w:marBottom w:val="0"/>
      <w:divBdr>
        <w:top w:val="none" w:sz="0" w:space="0" w:color="auto"/>
        <w:left w:val="none" w:sz="0" w:space="0" w:color="auto"/>
        <w:bottom w:val="none" w:sz="0" w:space="0" w:color="auto"/>
        <w:right w:val="none" w:sz="0" w:space="0" w:color="auto"/>
      </w:divBdr>
    </w:div>
    <w:div w:id="559438437">
      <w:bodyDiv w:val="1"/>
      <w:marLeft w:val="0"/>
      <w:marRight w:val="0"/>
      <w:marTop w:val="0"/>
      <w:marBottom w:val="0"/>
      <w:divBdr>
        <w:top w:val="none" w:sz="0" w:space="0" w:color="auto"/>
        <w:left w:val="none" w:sz="0" w:space="0" w:color="auto"/>
        <w:bottom w:val="none" w:sz="0" w:space="0" w:color="auto"/>
        <w:right w:val="none" w:sz="0" w:space="0" w:color="auto"/>
      </w:divBdr>
      <w:divsChild>
        <w:div w:id="259069870">
          <w:marLeft w:val="0"/>
          <w:marRight w:val="0"/>
          <w:marTop w:val="101"/>
          <w:marBottom w:val="101"/>
          <w:divBdr>
            <w:top w:val="none" w:sz="0" w:space="0" w:color="auto"/>
            <w:left w:val="none" w:sz="0" w:space="0" w:color="auto"/>
            <w:bottom w:val="none" w:sz="0" w:space="0" w:color="auto"/>
            <w:right w:val="none" w:sz="0" w:space="0" w:color="auto"/>
          </w:divBdr>
        </w:div>
        <w:div w:id="2136024348">
          <w:marLeft w:val="0"/>
          <w:marRight w:val="0"/>
          <w:marTop w:val="0"/>
          <w:marBottom w:val="101"/>
          <w:divBdr>
            <w:top w:val="none" w:sz="0" w:space="0" w:color="auto"/>
            <w:left w:val="none" w:sz="0" w:space="0" w:color="auto"/>
            <w:bottom w:val="none" w:sz="0" w:space="0" w:color="auto"/>
            <w:right w:val="none" w:sz="0" w:space="0" w:color="auto"/>
          </w:divBdr>
        </w:div>
        <w:div w:id="692611278">
          <w:marLeft w:val="0"/>
          <w:marRight w:val="0"/>
          <w:marTop w:val="0"/>
          <w:marBottom w:val="101"/>
          <w:divBdr>
            <w:top w:val="none" w:sz="0" w:space="0" w:color="auto"/>
            <w:left w:val="none" w:sz="0" w:space="0" w:color="auto"/>
            <w:bottom w:val="none" w:sz="0" w:space="0" w:color="auto"/>
            <w:right w:val="none" w:sz="0" w:space="0" w:color="auto"/>
          </w:divBdr>
        </w:div>
        <w:div w:id="1296565431">
          <w:marLeft w:val="0"/>
          <w:marRight w:val="0"/>
          <w:marTop w:val="101"/>
          <w:marBottom w:val="101"/>
          <w:divBdr>
            <w:top w:val="none" w:sz="0" w:space="0" w:color="auto"/>
            <w:left w:val="none" w:sz="0" w:space="0" w:color="auto"/>
            <w:bottom w:val="none" w:sz="0" w:space="0" w:color="auto"/>
            <w:right w:val="none" w:sz="0" w:space="0" w:color="auto"/>
          </w:divBdr>
        </w:div>
        <w:div w:id="2009402701">
          <w:marLeft w:val="0"/>
          <w:marRight w:val="0"/>
          <w:marTop w:val="0"/>
          <w:marBottom w:val="101"/>
          <w:divBdr>
            <w:top w:val="none" w:sz="0" w:space="0" w:color="auto"/>
            <w:left w:val="none" w:sz="0" w:space="0" w:color="auto"/>
            <w:bottom w:val="none" w:sz="0" w:space="0" w:color="auto"/>
            <w:right w:val="none" w:sz="0" w:space="0" w:color="auto"/>
          </w:divBdr>
        </w:div>
        <w:div w:id="1584559251">
          <w:marLeft w:val="0"/>
          <w:marRight w:val="0"/>
          <w:marTop w:val="0"/>
          <w:marBottom w:val="101"/>
          <w:divBdr>
            <w:top w:val="none" w:sz="0" w:space="0" w:color="auto"/>
            <w:left w:val="none" w:sz="0" w:space="0" w:color="auto"/>
            <w:bottom w:val="none" w:sz="0" w:space="0" w:color="auto"/>
            <w:right w:val="none" w:sz="0" w:space="0" w:color="auto"/>
          </w:divBdr>
        </w:div>
        <w:div w:id="1729382986">
          <w:marLeft w:val="0"/>
          <w:marRight w:val="0"/>
          <w:marTop w:val="0"/>
          <w:marBottom w:val="101"/>
          <w:divBdr>
            <w:top w:val="none" w:sz="0" w:space="0" w:color="auto"/>
            <w:left w:val="none" w:sz="0" w:space="0" w:color="auto"/>
            <w:bottom w:val="none" w:sz="0" w:space="0" w:color="auto"/>
            <w:right w:val="none" w:sz="0" w:space="0" w:color="auto"/>
          </w:divBdr>
        </w:div>
        <w:div w:id="171723312">
          <w:marLeft w:val="0"/>
          <w:marRight w:val="0"/>
          <w:marTop w:val="0"/>
          <w:marBottom w:val="101"/>
          <w:divBdr>
            <w:top w:val="none" w:sz="0" w:space="0" w:color="auto"/>
            <w:left w:val="none" w:sz="0" w:space="0" w:color="auto"/>
            <w:bottom w:val="none" w:sz="0" w:space="0" w:color="auto"/>
            <w:right w:val="none" w:sz="0" w:space="0" w:color="auto"/>
          </w:divBdr>
        </w:div>
        <w:div w:id="1065684345">
          <w:marLeft w:val="0"/>
          <w:marRight w:val="0"/>
          <w:marTop w:val="0"/>
          <w:marBottom w:val="101"/>
          <w:divBdr>
            <w:top w:val="none" w:sz="0" w:space="0" w:color="auto"/>
            <w:left w:val="none" w:sz="0" w:space="0" w:color="auto"/>
            <w:bottom w:val="none" w:sz="0" w:space="0" w:color="auto"/>
            <w:right w:val="none" w:sz="0" w:space="0" w:color="auto"/>
          </w:divBdr>
        </w:div>
        <w:div w:id="1599369446">
          <w:marLeft w:val="0"/>
          <w:marRight w:val="0"/>
          <w:marTop w:val="0"/>
          <w:marBottom w:val="101"/>
          <w:divBdr>
            <w:top w:val="none" w:sz="0" w:space="0" w:color="auto"/>
            <w:left w:val="none" w:sz="0" w:space="0" w:color="auto"/>
            <w:bottom w:val="none" w:sz="0" w:space="0" w:color="auto"/>
            <w:right w:val="none" w:sz="0" w:space="0" w:color="auto"/>
          </w:divBdr>
        </w:div>
        <w:div w:id="1376276088">
          <w:marLeft w:val="0"/>
          <w:marRight w:val="0"/>
          <w:marTop w:val="0"/>
          <w:marBottom w:val="101"/>
          <w:divBdr>
            <w:top w:val="none" w:sz="0" w:space="0" w:color="auto"/>
            <w:left w:val="none" w:sz="0" w:space="0" w:color="auto"/>
            <w:bottom w:val="none" w:sz="0" w:space="0" w:color="auto"/>
            <w:right w:val="none" w:sz="0" w:space="0" w:color="auto"/>
          </w:divBdr>
        </w:div>
        <w:div w:id="2035306835">
          <w:marLeft w:val="0"/>
          <w:marRight w:val="0"/>
          <w:marTop w:val="0"/>
          <w:marBottom w:val="101"/>
          <w:divBdr>
            <w:top w:val="none" w:sz="0" w:space="0" w:color="auto"/>
            <w:left w:val="none" w:sz="0" w:space="0" w:color="auto"/>
            <w:bottom w:val="none" w:sz="0" w:space="0" w:color="auto"/>
            <w:right w:val="none" w:sz="0" w:space="0" w:color="auto"/>
          </w:divBdr>
        </w:div>
        <w:div w:id="1866169495">
          <w:marLeft w:val="0"/>
          <w:marRight w:val="0"/>
          <w:marTop w:val="0"/>
          <w:marBottom w:val="101"/>
          <w:divBdr>
            <w:top w:val="none" w:sz="0" w:space="0" w:color="auto"/>
            <w:left w:val="none" w:sz="0" w:space="0" w:color="auto"/>
            <w:bottom w:val="none" w:sz="0" w:space="0" w:color="auto"/>
            <w:right w:val="none" w:sz="0" w:space="0" w:color="auto"/>
          </w:divBdr>
        </w:div>
        <w:div w:id="1203054488">
          <w:marLeft w:val="0"/>
          <w:marRight w:val="0"/>
          <w:marTop w:val="0"/>
          <w:marBottom w:val="101"/>
          <w:divBdr>
            <w:top w:val="none" w:sz="0" w:space="0" w:color="auto"/>
            <w:left w:val="none" w:sz="0" w:space="0" w:color="auto"/>
            <w:bottom w:val="none" w:sz="0" w:space="0" w:color="auto"/>
            <w:right w:val="none" w:sz="0" w:space="0" w:color="auto"/>
          </w:divBdr>
        </w:div>
        <w:div w:id="299002000">
          <w:marLeft w:val="0"/>
          <w:marRight w:val="0"/>
          <w:marTop w:val="0"/>
          <w:marBottom w:val="101"/>
          <w:divBdr>
            <w:top w:val="none" w:sz="0" w:space="0" w:color="auto"/>
            <w:left w:val="none" w:sz="0" w:space="0" w:color="auto"/>
            <w:bottom w:val="none" w:sz="0" w:space="0" w:color="auto"/>
            <w:right w:val="none" w:sz="0" w:space="0" w:color="auto"/>
          </w:divBdr>
        </w:div>
        <w:div w:id="45570731">
          <w:marLeft w:val="0"/>
          <w:marRight w:val="0"/>
          <w:marTop w:val="0"/>
          <w:marBottom w:val="101"/>
          <w:divBdr>
            <w:top w:val="none" w:sz="0" w:space="0" w:color="auto"/>
            <w:left w:val="none" w:sz="0" w:space="0" w:color="auto"/>
            <w:bottom w:val="none" w:sz="0" w:space="0" w:color="auto"/>
            <w:right w:val="none" w:sz="0" w:space="0" w:color="auto"/>
          </w:divBdr>
        </w:div>
        <w:div w:id="93329354">
          <w:marLeft w:val="0"/>
          <w:marRight w:val="0"/>
          <w:marTop w:val="0"/>
          <w:marBottom w:val="101"/>
          <w:divBdr>
            <w:top w:val="none" w:sz="0" w:space="0" w:color="auto"/>
            <w:left w:val="none" w:sz="0" w:space="0" w:color="auto"/>
            <w:bottom w:val="none" w:sz="0" w:space="0" w:color="auto"/>
            <w:right w:val="none" w:sz="0" w:space="0" w:color="auto"/>
          </w:divBdr>
        </w:div>
        <w:div w:id="697241471">
          <w:marLeft w:val="0"/>
          <w:marRight w:val="0"/>
          <w:marTop w:val="0"/>
          <w:marBottom w:val="101"/>
          <w:divBdr>
            <w:top w:val="none" w:sz="0" w:space="0" w:color="auto"/>
            <w:left w:val="none" w:sz="0" w:space="0" w:color="auto"/>
            <w:bottom w:val="none" w:sz="0" w:space="0" w:color="auto"/>
            <w:right w:val="none" w:sz="0" w:space="0" w:color="auto"/>
          </w:divBdr>
        </w:div>
        <w:div w:id="1963269349">
          <w:marLeft w:val="0"/>
          <w:marRight w:val="0"/>
          <w:marTop w:val="101"/>
          <w:marBottom w:val="101"/>
          <w:divBdr>
            <w:top w:val="none" w:sz="0" w:space="0" w:color="auto"/>
            <w:left w:val="none" w:sz="0" w:space="0" w:color="auto"/>
            <w:bottom w:val="none" w:sz="0" w:space="0" w:color="auto"/>
            <w:right w:val="none" w:sz="0" w:space="0" w:color="auto"/>
          </w:divBdr>
        </w:div>
        <w:div w:id="238440245">
          <w:marLeft w:val="0"/>
          <w:marRight w:val="0"/>
          <w:marTop w:val="0"/>
          <w:marBottom w:val="101"/>
          <w:divBdr>
            <w:top w:val="none" w:sz="0" w:space="0" w:color="auto"/>
            <w:left w:val="none" w:sz="0" w:space="0" w:color="auto"/>
            <w:bottom w:val="none" w:sz="0" w:space="0" w:color="auto"/>
            <w:right w:val="none" w:sz="0" w:space="0" w:color="auto"/>
          </w:divBdr>
        </w:div>
        <w:div w:id="1013536034">
          <w:marLeft w:val="0"/>
          <w:marRight w:val="0"/>
          <w:marTop w:val="0"/>
          <w:marBottom w:val="101"/>
          <w:divBdr>
            <w:top w:val="none" w:sz="0" w:space="0" w:color="auto"/>
            <w:left w:val="none" w:sz="0" w:space="0" w:color="auto"/>
            <w:bottom w:val="none" w:sz="0" w:space="0" w:color="auto"/>
            <w:right w:val="none" w:sz="0" w:space="0" w:color="auto"/>
          </w:divBdr>
        </w:div>
        <w:div w:id="553810366">
          <w:marLeft w:val="0"/>
          <w:marRight w:val="0"/>
          <w:marTop w:val="0"/>
          <w:marBottom w:val="101"/>
          <w:divBdr>
            <w:top w:val="none" w:sz="0" w:space="0" w:color="auto"/>
            <w:left w:val="none" w:sz="0" w:space="0" w:color="auto"/>
            <w:bottom w:val="none" w:sz="0" w:space="0" w:color="auto"/>
            <w:right w:val="none" w:sz="0" w:space="0" w:color="auto"/>
          </w:divBdr>
        </w:div>
      </w:divsChild>
    </w:div>
    <w:div w:id="743726260">
      <w:bodyDiv w:val="1"/>
      <w:marLeft w:val="0"/>
      <w:marRight w:val="0"/>
      <w:marTop w:val="0"/>
      <w:marBottom w:val="0"/>
      <w:divBdr>
        <w:top w:val="none" w:sz="0" w:space="0" w:color="auto"/>
        <w:left w:val="none" w:sz="0" w:space="0" w:color="auto"/>
        <w:bottom w:val="none" w:sz="0" w:space="0" w:color="auto"/>
        <w:right w:val="none" w:sz="0" w:space="0" w:color="auto"/>
      </w:divBdr>
    </w:div>
    <w:div w:id="1858303539">
      <w:bodyDiv w:val="1"/>
      <w:marLeft w:val="0"/>
      <w:marRight w:val="0"/>
      <w:marTop w:val="0"/>
      <w:marBottom w:val="0"/>
      <w:divBdr>
        <w:top w:val="none" w:sz="0" w:space="0" w:color="auto"/>
        <w:left w:val="none" w:sz="0" w:space="0" w:color="auto"/>
        <w:bottom w:val="none" w:sz="0" w:space="0" w:color="auto"/>
        <w:right w:val="none" w:sz="0" w:space="0" w:color="auto"/>
      </w:divBdr>
    </w:div>
    <w:div w:id="2061173083">
      <w:bodyDiv w:val="1"/>
      <w:marLeft w:val="0"/>
      <w:marRight w:val="0"/>
      <w:marTop w:val="0"/>
      <w:marBottom w:val="0"/>
      <w:divBdr>
        <w:top w:val="none" w:sz="0" w:space="0" w:color="auto"/>
        <w:left w:val="none" w:sz="0" w:space="0" w:color="auto"/>
        <w:bottom w:val="none" w:sz="0" w:space="0" w:color="auto"/>
        <w:right w:val="none" w:sz="0" w:space="0" w:color="auto"/>
      </w:divBdr>
      <w:divsChild>
        <w:div w:id="750589740">
          <w:marLeft w:val="0"/>
          <w:marRight w:val="0"/>
          <w:marTop w:val="0"/>
          <w:marBottom w:val="66"/>
          <w:divBdr>
            <w:top w:val="none" w:sz="0" w:space="0" w:color="auto"/>
            <w:left w:val="none" w:sz="0" w:space="0" w:color="auto"/>
            <w:bottom w:val="none" w:sz="0" w:space="0" w:color="auto"/>
            <w:right w:val="none" w:sz="0" w:space="0" w:color="auto"/>
          </w:divBdr>
        </w:div>
        <w:div w:id="2030179188">
          <w:marLeft w:val="0"/>
          <w:marRight w:val="0"/>
          <w:marTop w:val="101"/>
          <w:marBottom w:val="66"/>
          <w:divBdr>
            <w:top w:val="none" w:sz="0" w:space="0" w:color="auto"/>
            <w:left w:val="none" w:sz="0" w:space="0" w:color="auto"/>
            <w:bottom w:val="none" w:sz="0" w:space="0" w:color="auto"/>
            <w:right w:val="none" w:sz="0" w:space="0" w:color="auto"/>
          </w:divBdr>
        </w:div>
        <w:div w:id="1559123281">
          <w:marLeft w:val="0"/>
          <w:marRight w:val="0"/>
          <w:marTop w:val="0"/>
          <w:marBottom w:val="66"/>
          <w:divBdr>
            <w:top w:val="none" w:sz="0" w:space="0" w:color="auto"/>
            <w:left w:val="none" w:sz="0" w:space="0" w:color="auto"/>
            <w:bottom w:val="none" w:sz="0" w:space="0" w:color="auto"/>
            <w:right w:val="none" w:sz="0" w:space="0" w:color="auto"/>
          </w:divBdr>
        </w:div>
        <w:div w:id="449125199">
          <w:marLeft w:val="0"/>
          <w:marRight w:val="0"/>
          <w:marTop w:val="0"/>
          <w:marBottom w:val="66"/>
          <w:divBdr>
            <w:top w:val="none" w:sz="0" w:space="0" w:color="auto"/>
            <w:left w:val="none" w:sz="0" w:space="0" w:color="auto"/>
            <w:bottom w:val="none" w:sz="0" w:space="0" w:color="auto"/>
            <w:right w:val="none" w:sz="0" w:space="0" w:color="auto"/>
          </w:divBdr>
        </w:div>
        <w:div w:id="1116021445">
          <w:marLeft w:val="0"/>
          <w:marRight w:val="0"/>
          <w:marTop w:val="0"/>
          <w:marBottom w:val="66"/>
          <w:divBdr>
            <w:top w:val="none" w:sz="0" w:space="0" w:color="auto"/>
            <w:left w:val="none" w:sz="0" w:space="0" w:color="auto"/>
            <w:bottom w:val="none" w:sz="0" w:space="0" w:color="auto"/>
            <w:right w:val="none" w:sz="0" w:space="0" w:color="auto"/>
          </w:divBdr>
        </w:div>
        <w:div w:id="2104838478">
          <w:marLeft w:val="0"/>
          <w:marRight w:val="0"/>
          <w:marTop w:val="0"/>
          <w:marBottom w:val="66"/>
          <w:divBdr>
            <w:top w:val="none" w:sz="0" w:space="0" w:color="auto"/>
            <w:left w:val="none" w:sz="0" w:space="0" w:color="auto"/>
            <w:bottom w:val="none" w:sz="0" w:space="0" w:color="auto"/>
            <w:right w:val="none" w:sz="0" w:space="0" w:color="auto"/>
          </w:divBdr>
        </w:div>
        <w:div w:id="1079057532">
          <w:marLeft w:val="0"/>
          <w:marRight w:val="0"/>
          <w:marTop w:val="0"/>
          <w:marBottom w:val="66"/>
          <w:divBdr>
            <w:top w:val="none" w:sz="0" w:space="0" w:color="auto"/>
            <w:left w:val="none" w:sz="0" w:space="0" w:color="auto"/>
            <w:bottom w:val="none" w:sz="0" w:space="0" w:color="auto"/>
            <w:right w:val="none" w:sz="0" w:space="0" w:color="auto"/>
          </w:divBdr>
        </w:div>
        <w:div w:id="1549951477">
          <w:marLeft w:val="0"/>
          <w:marRight w:val="0"/>
          <w:marTop w:val="0"/>
          <w:marBottom w:val="66"/>
          <w:divBdr>
            <w:top w:val="none" w:sz="0" w:space="0" w:color="auto"/>
            <w:left w:val="none" w:sz="0" w:space="0" w:color="auto"/>
            <w:bottom w:val="none" w:sz="0" w:space="0" w:color="auto"/>
            <w:right w:val="none" w:sz="0" w:space="0" w:color="auto"/>
          </w:divBdr>
        </w:div>
        <w:div w:id="520824313">
          <w:marLeft w:val="0"/>
          <w:marRight w:val="0"/>
          <w:marTop w:val="101"/>
          <w:marBottom w:val="66"/>
          <w:divBdr>
            <w:top w:val="none" w:sz="0" w:space="0" w:color="auto"/>
            <w:left w:val="none" w:sz="0" w:space="0" w:color="auto"/>
            <w:bottom w:val="none" w:sz="0" w:space="0" w:color="auto"/>
            <w:right w:val="none" w:sz="0" w:space="0" w:color="auto"/>
          </w:divBdr>
        </w:div>
        <w:div w:id="1608389948">
          <w:marLeft w:val="0"/>
          <w:marRight w:val="0"/>
          <w:marTop w:val="0"/>
          <w:marBottom w:val="66"/>
          <w:divBdr>
            <w:top w:val="none" w:sz="0" w:space="0" w:color="auto"/>
            <w:left w:val="none" w:sz="0" w:space="0" w:color="auto"/>
            <w:bottom w:val="none" w:sz="0" w:space="0" w:color="auto"/>
            <w:right w:val="none" w:sz="0" w:space="0" w:color="auto"/>
          </w:divBdr>
        </w:div>
        <w:div w:id="477112096">
          <w:marLeft w:val="0"/>
          <w:marRight w:val="0"/>
          <w:marTop w:val="0"/>
          <w:marBottom w:val="66"/>
          <w:divBdr>
            <w:top w:val="none" w:sz="0" w:space="0" w:color="auto"/>
            <w:left w:val="none" w:sz="0" w:space="0" w:color="auto"/>
            <w:bottom w:val="none" w:sz="0" w:space="0" w:color="auto"/>
            <w:right w:val="none" w:sz="0" w:space="0" w:color="auto"/>
          </w:divBdr>
        </w:div>
        <w:div w:id="25910536">
          <w:marLeft w:val="0"/>
          <w:marRight w:val="0"/>
          <w:marTop w:val="0"/>
          <w:marBottom w:val="66"/>
          <w:divBdr>
            <w:top w:val="none" w:sz="0" w:space="0" w:color="auto"/>
            <w:left w:val="none" w:sz="0" w:space="0" w:color="auto"/>
            <w:bottom w:val="none" w:sz="0" w:space="0" w:color="auto"/>
            <w:right w:val="none" w:sz="0" w:space="0" w:color="auto"/>
          </w:divBdr>
        </w:div>
        <w:div w:id="373501856">
          <w:marLeft w:val="0"/>
          <w:marRight w:val="0"/>
          <w:marTop w:val="0"/>
          <w:marBottom w:val="66"/>
          <w:divBdr>
            <w:top w:val="none" w:sz="0" w:space="0" w:color="auto"/>
            <w:left w:val="none" w:sz="0" w:space="0" w:color="auto"/>
            <w:bottom w:val="none" w:sz="0" w:space="0" w:color="auto"/>
            <w:right w:val="none" w:sz="0" w:space="0" w:color="auto"/>
          </w:divBdr>
        </w:div>
        <w:div w:id="567425491">
          <w:marLeft w:val="0"/>
          <w:marRight w:val="0"/>
          <w:marTop w:val="0"/>
          <w:marBottom w:val="74"/>
          <w:divBdr>
            <w:top w:val="none" w:sz="0" w:space="0" w:color="auto"/>
            <w:left w:val="none" w:sz="0" w:space="0" w:color="auto"/>
            <w:bottom w:val="none" w:sz="0" w:space="0" w:color="auto"/>
            <w:right w:val="none" w:sz="0" w:space="0" w:color="auto"/>
          </w:divBdr>
        </w:div>
        <w:div w:id="1577858401">
          <w:marLeft w:val="0"/>
          <w:marRight w:val="0"/>
          <w:marTop w:val="0"/>
          <w:marBottom w:val="74"/>
          <w:divBdr>
            <w:top w:val="none" w:sz="0" w:space="0" w:color="auto"/>
            <w:left w:val="none" w:sz="0" w:space="0" w:color="auto"/>
            <w:bottom w:val="none" w:sz="0" w:space="0" w:color="auto"/>
            <w:right w:val="none" w:sz="0" w:space="0" w:color="auto"/>
          </w:divBdr>
        </w:div>
        <w:div w:id="1592273997">
          <w:marLeft w:val="0"/>
          <w:marRight w:val="0"/>
          <w:marTop w:val="0"/>
          <w:marBottom w:val="74"/>
          <w:divBdr>
            <w:top w:val="none" w:sz="0" w:space="0" w:color="auto"/>
            <w:left w:val="none" w:sz="0" w:space="0" w:color="auto"/>
            <w:bottom w:val="none" w:sz="0" w:space="0" w:color="auto"/>
            <w:right w:val="none" w:sz="0" w:space="0" w:color="auto"/>
          </w:divBdr>
        </w:div>
        <w:div w:id="721948375">
          <w:marLeft w:val="720"/>
          <w:marRight w:val="0"/>
          <w:marTop w:val="0"/>
          <w:marBottom w:val="74"/>
          <w:divBdr>
            <w:top w:val="none" w:sz="0" w:space="0" w:color="auto"/>
            <w:left w:val="none" w:sz="0" w:space="0" w:color="auto"/>
            <w:bottom w:val="none" w:sz="0" w:space="0" w:color="auto"/>
            <w:right w:val="none" w:sz="0" w:space="0" w:color="auto"/>
          </w:divBdr>
        </w:div>
        <w:div w:id="1740636474">
          <w:marLeft w:val="720"/>
          <w:marRight w:val="0"/>
          <w:marTop w:val="0"/>
          <w:marBottom w:val="66"/>
          <w:divBdr>
            <w:top w:val="none" w:sz="0" w:space="0" w:color="auto"/>
            <w:left w:val="none" w:sz="0" w:space="0" w:color="auto"/>
            <w:bottom w:val="none" w:sz="0" w:space="0" w:color="auto"/>
            <w:right w:val="none" w:sz="0" w:space="0" w:color="auto"/>
          </w:divBdr>
        </w:div>
        <w:div w:id="170294033">
          <w:marLeft w:val="0"/>
          <w:marRight w:val="0"/>
          <w:marTop w:val="0"/>
          <w:marBottom w:val="66"/>
          <w:divBdr>
            <w:top w:val="none" w:sz="0" w:space="0" w:color="auto"/>
            <w:left w:val="none" w:sz="0" w:space="0" w:color="auto"/>
            <w:bottom w:val="none" w:sz="0" w:space="0" w:color="auto"/>
            <w:right w:val="none" w:sz="0" w:space="0" w:color="auto"/>
          </w:divBdr>
        </w:div>
        <w:div w:id="1997027270">
          <w:marLeft w:val="0"/>
          <w:marRight w:val="0"/>
          <w:marTop w:val="101"/>
          <w:marBottom w:val="66"/>
          <w:divBdr>
            <w:top w:val="none" w:sz="0" w:space="0" w:color="auto"/>
            <w:left w:val="none" w:sz="0" w:space="0" w:color="auto"/>
            <w:bottom w:val="none" w:sz="0" w:space="0" w:color="auto"/>
            <w:right w:val="none" w:sz="0" w:space="0" w:color="auto"/>
          </w:divBdr>
        </w:div>
        <w:div w:id="1129786248">
          <w:marLeft w:val="0"/>
          <w:marRight w:val="0"/>
          <w:marTop w:val="0"/>
          <w:marBottom w:val="66"/>
          <w:divBdr>
            <w:top w:val="none" w:sz="0" w:space="0" w:color="auto"/>
            <w:left w:val="none" w:sz="0" w:space="0" w:color="auto"/>
            <w:bottom w:val="none" w:sz="0" w:space="0" w:color="auto"/>
            <w:right w:val="none" w:sz="0" w:space="0" w:color="auto"/>
          </w:divBdr>
        </w:div>
        <w:div w:id="500894697">
          <w:marLeft w:val="0"/>
          <w:marRight w:val="0"/>
          <w:marTop w:val="0"/>
          <w:marBottom w:val="66"/>
          <w:divBdr>
            <w:top w:val="none" w:sz="0" w:space="0" w:color="auto"/>
            <w:left w:val="none" w:sz="0" w:space="0" w:color="auto"/>
            <w:bottom w:val="none" w:sz="0" w:space="0" w:color="auto"/>
            <w:right w:val="none" w:sz="0" w:space="0" w:color="auto"/>
          </w:divBdr>
        </w:div>
        <w:div w:id="2128623406">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2019-10-31T14:40:00Z</dcterms:created>
  <dcterms:modified xsi:type="dcterms:W3CDTF">2019-10-31T14:40:00Z</dcterms:modified>
</cp:coreProperties>
</file>