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9A" w:rsidRPr="004450A0" w:rsidRDefault="009A449A" w:rsidP="009A449A">
      <w:pPr>
        <w:jc w:val="center"/>
        <w:rPr>
          <w:rFonts w:ascii="Verdana" w:eastAsia="Verdana" w:hAnsi="Verdana" w:cs="Verdana"/>
          <w:b/>
          <w:bCs/>
          <w:color w:val="0000FF"/>
          <w:sz w:val="24"/>
          <w:szCs w:val="24"/>
        </w:rPr>
      </w:pPr>
      <w:r w:rsidRPr="009A449A">
        <w:rPr>
          <w:rFonts w:ascii="Verdana" w:eastAsia="Verdana" w:hAnsi="Verdana" w:cs="Verdana"/>
          <w:b/>
          <w:bCs/>
          <w:color w:val="0000FF"/>
          <w:sz w:val="24"/>
          <w:szCs w:val="24"/>
        </w:rPr>
        <w:t>AVISO mediante el cual se da a conocer la liga electrónica que redirige a los Lineamientos que regulan el ejercicio de las atribuciones sustantivas de la Procuraduría de la Defensa del Contribuyente.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Pr>
          <w:rFonts w:ascii="Verdana" w:eastAsia="Verdana" w:hAnsi="Verdana" w:cs="Verdana"/>
          <w:b/>
          <w:color w:val="0000FF"/>
          <w:sz w:val="24"/>
          <w:szCs w:val="24"/>
        </w:rPr>
        <w:t xml:space="preserve">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4C16" w:rsidRDefault="009A449A" w:rsidP="009A449A">
      <w:pPr>
        <w:jc w:val="both"/>
        <w:rPr>
          <w:rFonts w:ascii="Arial" w:eastAsia="Times New Roman" w:hAnsi="Arial" w:cs="Arial"/>
          <w:b/>
          <w:bCs/>
          <w:color w:val="2F2F2F"/>
          <w:sz w:val="20"/>
          <w:szCs w:val="16"/>
          <w:lang w:eastAsia="es-MX"/>
        </w:rPr>
      </w:pPr>
      <w:r w:rsidRPr="009A449A">
        <w:rPr>
          <w:rFonts w:ascii="Arial" w:eastAsia="Times New Roman" w:hAnsi="Arial" w:cs="Arial"/>
          <w:b/>
          <w:bCs/>
          <w:color w:val="2F2F2F"/>
          <w:sz w:val="20"/>
          <w:szCs w:val="16"/>
          <w:lang w:eastAsia="es-MX"/>
        </w:rPr>
        <w:t>Al margen un sello con el Escudo Nacional, que dice: Estados Unidos Mexicanos.- GOBIERNO DE MÉXICO.- Procuraduría de la Defensa del Contribuyente.</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5, fracciones I, II, III, VIII, IX, X, XI, XII, XIV y XVI, 6, fracción I y 8, fracciones I, VII, XI y XII de la Ley Orgánica de la Procuraduría de la Defensa del Contribuyente; 4 de la Ley Federal de Procedimiento Administrativo; 1, 3, 5, Apartado A, fracción I, 7, 15, fracciones XVIII y XXXI del Estatuto Orgánico de la Procuraduría de la Defensa del Contribuyente, he tenido a bien emitir el siguiente:</w:t>
      </w:r>
    </w:p>
    <w:p w:rsidR="009A449A" w:rsidRPr="009A449A" w:rsidRDefault="009A449A" w:rsidP="009A44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449A">
        <w:rPr>
          <w:rFonts w:ascii="Times" w:eastAsia="Times New Roman" w:hAnsi="Times" w:cs="Times"/>
          <w:b/>
          <w:bCs/>
          <w:color w:val="2F2F2F"/>
          <w:sz w:val="18"/>
          <w:szCs w:val="18"/>
          <w:lang w:eastAsia="es-MX"/>
        </w:rPr>
        <w:t>AVISO MEDIANTE EL CUAL </w:t>
      </w:r>
      <w:r w:rsidRPr="009A449A">
        <w:rPr>
          <w:rFonts w:ascii="Times" w:eastAsia="Times New Roman" w:hAnsi="Times" w:cs="Times"/>
          <w:b/>
          <w:bCs/>
          <w:color w:val="000000"/>
          <w:sz w:val="18"/>
          <w:szCs w:val="18"/>
          <w:shd w:val="clear" w:color="auto" w:fill="FFFFFF"/>
          <w:lang w:eastAsia="es-MX"/>
        </w:rPr>
        <w:t>SE DA A CONOCER LA LIGA ELECTRÓNICA QUE REDIRIGE A LOS</w:t>
      </w:r>
      <w:r w:rsidRPr="009A449A">
        <w:rPr>
          <w:rFonts w:ascii="Times New Roman" w:eastAsia="Times New Roman" w:hAnsi="Times New Roman" w:cs="Times New Roman"/>
          <w:b/>
          <w:bCs/>
          <w:color w:val="2F2F2F"/>
          <w:sz w:val="18"/>
          <w:szCs w:val="18"/>
          <w:lang w:eastAsia="es-MX"/>
        </w:rPr>
        <w:br/>
      </w:r>
      <w:r w:rsidRPr="009A449A">
        <w:rPr>
          <w:rFonts w:ascii="Times" w:eastAsia="Times New Roman" w:hAnsi="Times" w:cs="Times"/>
          <w:b/>
          <w:bCs/>
          <w:color w:val="2F2F2F"/>
          <w:sz w:val="18"/>
          <w:szCs w:val="18"/>
          <w:lang w:eastAsia="es-MX"/>
        </w:rPr>
        <w:t>LINEAMIENTOS QUE REGULAN EL EJERCICIO DE LAS ATRIBUCIONES SUSTANTIVAS DE LA</w:t>
      </w:r>
      <w:r w:rsidRPr="009A449A">
        <w:rPr>
          <w:rFonts w:ascii="Times New Roman" w:eastAsia="Times New Roman" w:hAnsi="Times New Roman" w:cs="Times New Roman"/>
          <w:b/>
          <w:bCs/>
          <w:color w:val="2F2F2F"/>
          <w:sz w:val="18"/>
          <w:szCs w:val="18"/>
          <w:lang w:eastAsia="es-MX"/>
        </w:rPr>
        <w:br/>
      </w:r>
      <w:r w:rsidRPr="009A449A">
        <w:rPr>
          <w:rFonts w:ascii="Times" w:eastAsia="Times New Roman" w:hAnsi="Times" w:cs="Times"/>
          <w:b/>
          <w:bCs/>
          <w:color w:val="2F2F2F"/>
          <w:sz w:val="18"/>
          <w:szCs w:val="18"/>
          <w:lang w:eastAsia="es-MX"/>
        </w:rPr>
        <w:t>PROCURADURÍA DE LA DEFENSA DEL CONTRIBUYENTE</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PRIMERO.</w:t>
      </w:r>
      <w:r w:rsidRPr="009A449A">
        <w:rPr>
          <w:rFonts w:ascii="Arial" w:eastAsia="Times New Roman" w:hAnsi="Arial" w:cs="Arial"/>
          <w:color w:val="000000"/>
          <w:sz w:val="18"/>
          <w:szCs w:val="18"/>
          <w:lang w:eastAsia="es-MX"/>
        </w:rPr>
        <w:t> Se da a conocer a las autoridades, servidores públicos y público en general, para todos los efectos legales y administrativos a que haya lugar, </w:t>
      </w:r>
      <w:r w:rsidRPr="009A449A">
        <w:rPr>
          <w:rFonts w:ascii="Arial" w:eastAsia="Times New Roman" w:hAnsi="Arial" w:cs="Arial"/>
          <w:color w:val="2F2F2F"/>
          <w:sz w:val="18"/>
          <w:szCs w:val="18"/>
          <w:lang w:eastAsia="es-MX"/>
        </w:rPr>
        <w:t>el hipervínculo electrónico </w:t>
      </w:r>
      <w:r w:rsidRPr="009A449A">
        <w:rPr>
          <w:rFonts w:ascii="Arial" w:eastAsia="Times New Roman" w:hAnsi="Arial" w:cs="Arial"/>
          <w:color w:val="000000"/>
          <w:sz w:val="18"/>
          <w:szCs w:val="18"/>
          <w:lang w:eastAsia="es-MX"/>
        </w:rPr>
        <w:t>para la consulta de los Lineamientos que regulan el ejercicio de las atribuciones sustantivas de la Procuraduría de la Defensa del Contribuyente, los cuales tienen por objeto interpretar y regular el ejercicio de las atribuciones sustantivas otorgadas en la Ley Orgánica a la Procuraduría de la Defensa del Contribuyente, para lograr el desarrollo y mejor desempeño de sus actividades, a fin de garantizar y hacer efectivo y oportuno el derecho de las Personas Contribuyentes a recibir justicia en materia fiscal en el orden federal, como otorgar seguridad y certeza jurídica a las partes del proceso en el inicio, la tramitación y conclusión de las atribuciones sustantivas competencia material de la Procuraduría, mismos que podrán consultarse en las ligas electrónicas referidas en el presente aviso:</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Denominación</w:t>
      </w:r>
      <w:r w:rsidRPr="009A449A">
        <w:rPr>
          <w:rFonts w:ascii="Arial" w:eastAsia="Times New Roman" w:hAnsi="Arial" w:cs="Arial"/>
          <w:b/>
          <w:bCs/>
          <w:color w:val="000000"/>
          <w:sz w:val="18"/>
          <w:szCs w:val="18"/>
          <w:lang w:eastAsia="es-MX"/>
        </w:rPr>
        <w:t>:</w:t>
      </w:r>
      <w:r w:rsidRPr="009A449A">
        <w:rPr>
          <w:rFonts w:ascii="Arial" w:eastAsia="Times New Roman" w:hAnsi="Arial" w:cs="Arial"/>
          <w:color w:val="000000"/>
          <w:sz w:val="18"/>
          <w:szCs w:val="18"/>
          <w:lang w:eastAsia="es-MX"/>
        </w:rPr>
        <w:t> Lineamientos que regulan el ejercicio de las atribuciones sustantivas de la Procuraduría de la Defensa del Contribuyente.</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Emisor:</w:t>
      </w:r>
      <w:r w:rsidRPr="009A449A">
        <w:rPr>
          <w:rFonts w:ascii="Arial" w:eastAsia="Times New Roman" w:hAnsi="Arial" w:cs="Arial"/>
          <w:color w:val="000000"/>
          <w:sz w:val="18"/>
          <w:szCs w:val="18"/>
          <w:lang w:eastAsia="es-MX"/>
        </w:rPr>
        <w:t> Procuraduría de la Defensa del Contribuyente.</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Fecha de emisión:</w:t>
      </w:r>
      <w:r w:rsidRPr="009A449A">
        <w:rPr>
          <w:rFonts w:ascii="Arial" w:eastAsia="Times New Roman" w:hAnsi="Arial" w:cs="Arial"/>
          <w:b/>
          <w:bCs/>
          <w:color w:val="000000"/>
          <w:sz w:val="18"/>
          <w:szCs w:val="18"/>
          <w:lang w:eastAsia="es-MX"/>
        </w:rPr>
        <w:t> </w:t>
      </w:r>
      <w:r w:rsidRPr="009A449A">
        <w:rPr>
          <w:rFonts w:ascii="Arial" w:eastAsia="Times New Roman" w:hAnsi="Arial" w:cs="Arial"/>
          <w:color w:val="000000"/>
          <w:sz w:val="18"/>
          <w:szCs w:val="18"/>
          <w:lang w:eastAsia="es-MX"/>
        </w:rPr>
        <w:t>08 de enero de 2024.</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Medio de consulta:</w:t>
      </w:r>
      <w:r w:rsidRPr="009A449A">
        <w:rPr>
          <w:rFonts w:ascii="Arial" w:eastAsia="Times New Roman" w:hAnsi="Arial" w:cs="Arial"/>
          <w:color w:val="000000"/>
          <w:sz w:val="18"/>
          <w:szCs w:val="18"/>
          <w:lang w:eastAsia="es-MX"/>
        </w:rPr>
        <w:t> El documento se encuentra publicado para su difusión en las siguientes ligas:</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color w:val="2F2F2F"/>
          <w:sz w:val="18"/>
          <w:szCs w:val="18"/>
          <w:lang w:eastAsia="es-MX"/>
        </w:rPr>
        <w:t>https://www.prodecon.gob.mx\Documentos\Comunicados\LINEAMIENTOS_PRODECON_24.pdf</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color w:val="2F2F2F"/>
          <w:sz w:val="18"/>
          <w:szCs w:val="18"/>
          <w:lang w:eastAsia="es-MX"/>
        </w:rPr>
        <w:t>www.dof.gob.mx/2024/PRODECON/LINEAMIENTOS_PRODECON_24.pdf</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b/>
          <w:bCs/>
          <w:color w:val="2F2F2F"/>
          <w:sz w:val="18"/>
          <w:szCs w:val="18"/>
          <w:lang w:eastAsia="es-MX"/>
        </w:rPr>
        <w:t>SEGUNDO. </w:t>
      </w:r>
      <w:r w:rsidRPr="009A449A">
        <w:rPr>
          <w:rFonts w:ascii="Arial" w:eastAsia="Times New Roman" w:hAnsi="Arial" w:cs="Arial"/>
          <w:color w:val="2F2F2F"/>
          <w:sz w:val="18"/>
          <w:szCs w:val="18"/>
          <w:lang w:eastAsia="es-MX"/>
        </w:rPr>
        <w:t>Publíquese el presente Aviso en el Diario Oficial de la Federación.</w:t>
      </w:r>
    </w:p>
    <w:p w:rsidR="009A449A" w:rsidRPr="009A449A" w:rsidRDefault="009A449A" w:rsidP="009A449A">
      <w:pPr>
        <w:shd w:val="clear" w:color="auto" w:fill="FFFFFF"/>
        <w:spacing w:after="101" w:line="240" w:lineRule="auto"/>
        <w:ind w:firstLine="288"/>
        <w:jc w:val="both"/>
        <w:rPr>
          <w:rFonts w:ascii="Arial" w:eastAsia="Times New Roman" w:hAnsi="Arial" w:cs="Arial"/>
          <w:color w:val="2F2F2F"/>
          <w:sz w:val="18"/>
          <w:szCs w:val="18"/>
          <w:lang w:eastAsia="es-MX"/>
        </w:rPr>
      </w:pPr>
      <w:r w:rsidRPr="009A449A">
        <w:rPr>
          <w:rFonts w:ascii="Arial" w:eastAsia="Times New Roman" w:hAnsi="Arial" w:cs="Arial"/>
          <w:color w:val="2F2F2F"/>
          <w:sz w:val="18"/>
          <w:szCs w:val="18"/>
          <w:lang w:eastAsia="es-MX"/>
        </w:rPr>
        <w:t>Ciudad de México, a 22 de febrero de 2024.- Procurador de la Defensa del Contribuyente, Mtro.</w:t>
      </w:r>
      <w:r w:rsidRPr="009A449A">
        <w:rPr>
          <w:rFonts w:ascii="Arial" w:eastAsia="Times New Roman" w:hAnsi="Arial" w:cs="Arial"/>
          <w:b/>
          <w:bCs/>
          <w:color w:val="2F2F2F"/>
          <w:sz w:val="18"/>
          <w:szCs w:val="18"/>
          <w:lang w:eastAsia="es-MX"/>
        </w:rPr>
        <w:t> Armando Ocampo Zambrano</w:t>
      </w:r>
      <w:r w:rsidRPr="009A449A">
        <w:rPr>
          <w:rFonts w:ascii="Arial" w:eastAsia="Times New Roman" w:hAnsi="Arial" w:cs="Arial"/>
          <w:color w:val="2F2F2F"/>
          <w:sz w:val="18"/>
          <w:szCs w:val="18"/>
          <w:lang w:eastAsia="es-MX"/>
        </w:rPr>
        <w:t>.- Rúbrica.</w:t>
      </w:r>
    </w:p>
    <w:p w:rsidR="009A449A" w:rsidRDefault="009A449A" w:rsidP="009A449A">
      <w:pPr>
        <w:jc w:val="both"/>
      </w:pPr>
    </w:p>
    <w:sectPr w:rsidR="009A44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9A"/>
    <w:rsid w:val="008A4C16"/>
    <w:rsid w:val="009A4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A4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A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71268">
      <w:bodyDiv w:val="1"/>
      <w:marLeft w:val="0"/>
      <w:marRight w:val="0"/>
      <w:marTop w:val="0"/>
      <w:marBottom w:val="0"/>
      <w:divBdr>
        <w:top w:val="none" w:sz="0" w:space="0" w:color="auto"/>
        <w:left w:val="none" w:sz="0" w:space="0" w:color="auto"/>
        <w:bottom w:val="none" w:sz="0" w:space="0" w:color="auto"/>
        <w:right w:val="none" w:sz="0" w:space="0" w:color="auto"/>
      </w:divBdr>
      <w:divsChild>
        <w:div w:id="1151481813">
          <w:marLeft w:val="0"/>
          <w:marRight w:val="0"/>
          <w:marTop w:val="0"/>
          <w:marBottom w:val="101"/>
          <w:divBdr>
            <w:top w:val="none" w:sz="0" w:space="0" w:color="auto"/>
            <w:left w:val="none" w:sz="0" w:space="0" w:color="auto"/>
            <w:bottom w:val="none" w:sz="0" w:space="0" w:color="auto"/>
            <w:right w:val="none" w:sz="0" w:space="0" w:color="auto"/>
          </w:divBdr>
        </w:div>
        <w:div w:id="64108828">
          <w:marLeft w:val="0"/>
          <w:marRight w:val="0"/>
          <w:marTop w:val="101"/>
          <w:marBottom w:val="101"/>
          <w:divBdr>
            <w:top w:val="none" w:sz="0" w:space="0" w:color="auto"/>
            <w:left w:val="none" w:sz="0" w:space="0" w:color="auto"/>
            <w:bottom w:val="none" w:sz="0" w:space="0" w:color="auto"/>
            <w:right w:val="none" w:sz="0" w:space="0" w:color="auto"/>
          </w:divBdr>
        </w:div>
        <w:div w:id="1952518172">
          <w:marLeft w:val="0"/>
          <w:marRight w:val="0"/>
          <w:marTop w:val="0"/>
          <w:marBottom w:val="101"/>
          <w:divBdr>
            <w:top w:val="none" w:sz="0" w:space="0" w:color="auto"/>
            <w:left w:val="none" w:sz="0" w:space="0" w:color="auto"/>
            <w:bottom w:val="none" w:sz="0" w:space="0" w:color="auto"/>
            <w:right w:val="none" w:sz="0" w:space="0" w:color="auto"/>
          </w:divBdr>
        </w:div>
        <w:div w:id="528224087">
          <w:marLeft w:val="0"/>
          <w:marRight w:val="0"/>
          <w:marTop w:val="0"/>
          <w:marBottom w:val="101"/>
          <w:divBdr>
            <w:top w:val="none" w:sz="0" w:space="0" w:color="auto"/>
            <w:left w:val="none" w:sz="0" w:space="0" w:color="auto"/>
            <w:bottom w:val="none" w:sz="0" w:space="0" w:color="auto"/>
            <w:right w:val="none" w:sz="0" w:space="0" w:color="auto"/>
          </w:divBdr>
        </w:div>
        <w:div w:id="69278400">
          <w:marLeft w:val="0"/>
          <w:marRight w:val="0"/>
          <w:marTop w:val="0"/>
          <w:marBottom w:val="101"/>
          <w:divBdr>
            <w:top w:val="none" w:sz="0" w:space="0" w:color="auto"/>
            <w:left w:val="none" w:sz="0" w:space="0" w:color="auto"/>
            <w:bottom w:val="none" w:sz="0" w:space="0" w:color="auto"/>
            <w:right w:val="none" w:sz="0" w:space="0" w:color="auto"/>
          </w:divBdr>
        </w:div>
        <w:div w:id="1361276796">
          <w:marLeft w:val="0"/>
          <w:marRight w:val="0"/>
          <w:marTop w:val="0"/>
          <w:marBottom w:val="101"/>
          <w:divBdr>
            <w:top w:val="none" w:sz="0" w:space="0" w:color="auto"/>
            <w:left w:val="none" w:sz="0" w:space="0" w:color="auto"/>
            <w:bottom w:val="none" w:sz="0" w:space="0" w:color="auto"/>
            <w:right w:val="none" w:sz="0" w:space="0" w:color="auto"/>
          </w:divBdr>
        </w:div>
        <w:div w:id="87311630">
          <w:marLeft w:val="0"/>
          <w:marRight w:val="0"/>
          <w:marTop w:val="0"/>
          <w:marBottom w:val="101"/>
          <w:divBdr>
            <w:top w:val="none" w:sz="0" w:space="0" w:color="auto"/>
            <w:left w:val="none" w:sz="0" w:space="0" w:color="auto"/>
            <w:bottom w:val="none" w:sz="0" w:space="0" w:color="auto"/>
            <w:right w:val="none" w:sz="0" w:space="0" w:color="auto"/>
          </w:divBdr>
        </w:div>
        <w:div w:id="1428039173">
          <w:marLeft w:val="0"/>
          <w:marRight w:val="0"/>
          <w:marTop w:val="0"/>
          <w:marBottom w:val="101"/>
          <w:divBdr>
            <w:top w:val="none" w:sz="0" w:space="0" w:color="auto"/>
            <w:left w:val="none" w:sz="0" w:space="0" w:color="auto"/>
            <w:bottom w:val="none" w:sz="0" w:space="0" w:color="auto"/>
            <w:right w:val="none" w:sz="0" w:space="0" w:color="auto"/>
          </w:divBdr>
        </w:div>
        <w:div w:id="365953123">
          <w:marLeft w:val="0"/>
          <w:marRight w:val="0"/>
          <w:marTop w:val="0"/>
          <w:marBottom w:val="101"/>
          <w:divBdr>
            <w:top w:val="none" w:sz="0" w:space="0" w:color="auto"/>
            <w:left w:val="none" w:sz="0" w:space="0" w:color="auto"/>
            <w:bottom w:val="none" w:sz="0" w:space="0" w:color="auto"/>
            <w:right w:val="none" w:sz="0" w:space="0" w:color="auto"/>
          </w:divBdr>
        </w:div>
        <w:div w:id="1592617017">
          <w:marLeft w:val="0"/>
          <w:marRight w:val="0"/>
          <w:marTop w:val="0"/>
          <w:marBottom w:val="101"/>
          <w:divBdr>
            <w:top w:val="none" w:sz="0" w:space="0" w:color="auto"/>
            <w:left w:val="none" w:sz="0" w:space="0" w:color="auto"/>
            <w:bottom w:val="none" w:sz="0" w:space="0" w:color="auto"/>
            <w:right w:val="none" w:sz="0" w:space="0" w:color="auto"/>
          </w:divBdr>
        </w:div>
        <w:div w:id="119583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2024-02-28T15:07:00Z</dcterms:created>
  <dcterms:modified xsi:type="dcterms:W3CDTF">2024-02-28T15:08:00Z</dcterms:modified>
</cp:coreProperties>
</file>