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93" w:rsidRDefault="00754D93" w:rsidP="00754D93">
      <w:pPr>
        <w:jc w:val="center"/>
        <w:rPr>
          <w:rFonts w:ascii="Verdana" w:eastAsia="Verdana" w:hAnsi="Verdana" w:cs="Verdana"/>
          <w:b/>
          <w:color w:val="0000FF"/>
          <w:sz w:val="24"/>
          <w:szCs w:val="24"/>
        </w:rPr>
      </w:pPr>
      <w:bookmarkStart w:id="0" w:name="_GoBack"/>
      <w:r w:rsidRPr="00754D93">
        <w:rPr>
          <w:rFonts w:ascii="Verdana" w:eastAsia="Verdana" w:hAnsi="Verdana" w:cs="Verdana"/>
          <w:b/>
          <w:color w:val="0000FF"/>
          <w:sz w:val="24"/>
          <w:szCs w:val="24"/>
        </w:rPr>
        <w:t>ACUERDO E/JGA/57/2021 por el que se da a conocer la autorización para la capacitación y operación del Sistema de Justicia en Línea Versión 2, en diversas Salas Regionales del Tribunal Federal de Justicia Administrativa.</w:t>
      </w:r>
    </w:p>
    <w:bookmarkEnd w:id="0"/>
    <w:p w:rsidR="00754D93" w:rsidRDefault="00754D93" w:rsidP="00754D93">
      <w:pPr>
        <w:jc w:val="center"/>
        <w:rPr>
          <w:rFonts w:ascii="Verdana" w:eastAsia="Verdana" w:hAnsi="Verdana" w:cs="Verdana"/>
          <w:b/>
          <w:color w:val="0000FF"/>
          <w:sz w:val="24"/>
          <w:szCs w:val="24"/>
        </w:rPr>
      </w:pPr>
      <w:r>
        <w:rPr>
          <w:rFonts w:ascii="Verdana" w:eastAsia="Verdana" w:hAnsi="Verdana" w:cs="Verdana"/>
          <w:b/>
          <w:color w:val="0000FF"/>
          <w:sz w:val="24"/>
          <w:szCs w:val="24"/>
        </w:rPr>
        <w:br/>
        <w:t>(DOF del 08 de septiembre de 2021)</w:t>
      </w:r>
    </w:p>
    <w:p w:rsidR="00754D93" w:rsidRDefault="00754D93" w:rsidP="00754D93">
      <w:pPr>
        <w:jc w:val="both"/>
        <w:rPr>
          <w:b/>
          <w:sz w:val="18"/>
        </w:rPr>
      </w:pPr>
    </w:p>
    <w:p w:rsidR="00B32171" w:rsidRDefault="00754D93" w:rsidP="00754D93">
      <w:pPr>
        <w:jc w:val="both"/>
        <w:rPr>
          <w:b/>
          <w:color w:val="262626" w:themeColor="text1" w:themeTint="D9"/>
          <w:sz w:val="18"/>
        </w:rPr>
      </w:pPr>
      <w:r w:rsidRPr="00754D93">
        <w:rPr>
          <w:b/>
          <w:color w:val="262626" w:themeColor="text1" w:themeTint="D9"/>
          <w:sz w:val="18"/>
        </w:rPr>
        <w:t>Al margen un sello con el Escudo Nacional, que dice: Estados Unidos Mexicanos.- Tribunal Federal de Justicia Administrativa.- Junta de Gobierno y Administración.</w:t>
      </w:r>
    </w:p>
    <w:p w:rsidR="00754D93" w:rsidRPr="00754D93" w:rsidRDefault="00754D93" w:rsidP="00754D9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54D93">
        <w:rPr>
          <w:rFonts w:ascii="Times" w:eastAsia="Times New Roman" w:hAnsi="Times" w:cs="Times New Roman"/>
          <w:b/>
          <w:bCs/>
          <w:color w:val="2F2F2F"/>
          <w:sz w:val="18"/>
          <w:szCs w:val="18"/>
          <w:lang w:val="es-MX"/>
        </w:rPr>
        <w:t>ACUERDO E/JGA/57/2021</w:t>
      </w:r>
    </w:p>
    <w:p w:rsidR="00754D93" w:rsidRPr="00754D93" w:rsidRDefault="00754D93" w:rsidP="00754D93">
      <w:pPr>
        <w:shd w:val="clear" w:color="auto" w:fill="FFFFFF"/>
        <w:spacing w:line="240" w:lineRule="auto"/>
        <w:ind w:firstLine="288"/>
        <w:jc w:val="both"/>
        <w:rPr>
          <w:rFonts w:eastAsia="Times New Roman"/>
          <w:color w:val="2F2F2F"/>
          <w:sz w:val="16"/>
          <w:szCs w:val="16"/>
          <w:lang w:val="es-MX"/>
        </w:rPr>
      </w:pPr>
      <w:r w:rsidRPr="00754D93">
        <w:rPr>
          <w:rFonts w:eastAsia="Times New Roman"/>
          <w:color w:val="2F2F2F"/>
          <w:sz w:val="16"/>
          <w:szCs w:val="16"/>
          <w:lang w:val="es-MX"/>
        </w:rPr>
        <w:t>AUTORIZACIÓN PARA LA CAPACITACIÓN Y OPERACIÓN DEL SISTEMA DE JUSTICIA EN LÍNEA VERSIÓN 2, EN DIVERSAS SALAS REGIONALES DEL TRIBUNAL FEDERAL DE JUSTICIA ADMINISTRATIVA</w:t>
      </w:r>
    </w:p>
    <w:p w:rsidR="00754D93" w:rsidRPr="00754D93" w:rsidRDefault="00754D93" w:rsidP="00754D9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54D93">
        <w:rPr>
          <w:rFonts w:ascii="Times" w:eastAsia="Times New Roman" w:hAnsi="Times" w:cs="Times New Roman"/>
          <w:b/>
          <w:bCs/>
          <w:color w:val="2F2F2F"/>
          <w:sz w:val="18"/>
          <w:szCs w:val="18"/>
          <w:lang w:val="es-MX"/>
        </w:rPr>
        <w:t>CONSIDERANDO</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Primero. </w:t>
      </w:r>
      <w:r w:rsidRPr="00754D93">
        <w:rPr>
          <w:rFonts w:eastAsia="Times New Roman"/>
          <w:color w:val="2F2F2F"/>
          <w:sz w:val="18"/>
          <w:szCs w:val="18"/>
          <w:lang w:val="es-MX"/>
        </w:rPr>
        <w:t>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Segundo. </w:t>
      </w:r>
      <w:r w:rsidRPr="00754D93">
        <w:rPr>
          <w:rFonts w:eastAsia="Times New Roman"/>
          <w:color w:val="2F2F2F"/>
          <w:sz w:val="18"/>
          <w:szCs w:val="18"/>
          <w:lang w:val="es-MX"/>
        </w:rPr>
        <w:t>Que el artículo 29, primer párrafo del Reglamento Interior del Tribunal establece que los acuerdos que apruebe y emita la Junta son instrumentos normativos de carácter obligatorio y de observancia general en el Tribunal;</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Tercero.</w:t>
      </w:r>
      <w:r w:rsidRPr="00754D93">
        <w:rPr>
          <w:rFonts w:eastAsia="Times New Roman"/>
          <w:color w:val="2F2F2F"/>
          <w:sz w:val="18"/>
          <w:szCs w:val="18"/>
          <w:lang w:val="es-MX"/>
        </w:rPr>
        <w:t>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Cuarto. </w:t>
      </w:r>
      <w:r w:rsidRPr="00754D93">
        <w:rPr>
          <w:rFonts w:eastAsia="Times New Roman"/>
          <w:color w:val="2F2F2F"/>
          <w:sz w:val="18"/>
          <w:szCs w:val="18"/>
          <w:lang w:val="es-MX"/>
        </w:rPr>
        <w:t>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Quinto.</w:t>
      </w:r>
      <w:r w:rsidRPr="00754D93">
        <w:rPr>
          <w:rFonts w:eastAsia="Times New Roman"/>
          <w:color w:val="2F2F2F"/>
          <w:sz w:val="18"/>
          <w:szCs w:val="18"/>
          <w:lang w:val="es-MX"/>
        </w:rPr>
        <w:t>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Sexto.</w:t>
      </w:r>
      <w:r w:rsidRPr="00754D93">
        <w:rPr>
          <w:rFonts w:eastAsia="Times New Roman"/>
          <w:color w:val="2F2F2F"/>
          <w:sz w:val="18"/>
          <w:szCs w:val="18"/>
          <w:lang w:val="es-MX"/>
        </w:rPr>
        <w:t> Que mediante Acuerdos E/JGA/42/2020, E/JGA/54/2020, E/JGA/60/2020, E/JGA/5/2021, E/JGA/9/2021, E/JGA/14/2021, E/JGA/30/2021, E/JGA/41/2021, E/JGA/48/2021 y E/JGA/54/2021 la Junta de Gobierno y Administración autorizó la operación del Sistema de Justicia en Línea Versión 2, en diversas Salas Regionales y Especializadas de este Órgano Jurisdiccional;</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Séptimo.</w:t>
      </w:r>
      <w:r w:rsidRPr="00754D93">
        <w:rPr>
          <w:rFonts w:eastAsia="Times New Roman"/>
          <w:color w:val="2F2F2F"/>
          <w:sz w:val="18"/>
          <w:szCs w:val="18"/>
          <w:lang w:val="es-MX"/>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07 de septiembre de 2021, inicie la capacitación del Sistema de Justicia en Línea Versión 2, en la Primera y Segunda Sala Regional del Noroeste III, con sede en </w:t>
      </w:r>
      <w:r w:rsidRPr="00754D93">
        <w:rPr>
          <w:rFonts w:eastAsia="Times New Roman"/>
          <w:color w:val="2F2F2F"/>
          <w:sz w:val="18"/>
          <w:szCs w:val="18"/>
          <w:lang w:val="es-MX"/>
        </w:rPr>
        <w:lastRenderedPageBreak/>
        <w:t xml:space="preserve">la Ciudad de Culiacán, Estado de Sinaloa, que comprende los Estados de Baja California Sur y Sinaloa, en la Sala Regional de Tlaxcala, con sede en el Municipio de </w:t>
      </w:r>
      <w:proofErr w:type="spellStart"/>
      <w:r w:rsidRPr="00754D93">
        <w:rPr>
          <w:rFonts w:eastAsia="Times New Roman"/>
          <w:color w:val="2F2F2F"/>
          <w:sz w:val="18"/>
          <w:szCs w:val="18"/>
          <w:lang w:val="es-MX"/>
        </w:rPr>
        <w:t>Apetatitlán</w:t>
      </w:r>
      <w:proofErr w:type="spellEnd"/>
      <w:r w:rsidRPr="00754D93">
        <w:rPr>
          <w:rFonts w:eastAsia="Times New Roman"/>
          <w:color w:val="2F2F2F"/>
          <w:sz w:val="18"/>
          <w:szCs w:val="18"/>
          <w:lang w:val="es-MX"/>
        </w:rPr>
        <w:t xml:space="preserve"> de Antonio Carvajal, Estado de Tlaxcala, que comprende el Estado de Tlaxcala, en la Sala Regional de Tabasco, con sede en la Ciudad de Villahermosa, Estado de Tabasco, que comprenden el Estado de Tabasco, así como en la Sala Regional del Sureste, con sede en la Ciudad de Oaxaca, Estado de Oaxaca, que comprende el Estado de Oaxaca, así como la implementación y puesta en operación del </w:t>
      </w:r>
      <w:r w:rsidRPr="00754D93">
        <w:rPr>
          <w:rFonts w:eastAsia="Times New Roman"/>
          <w:b/>
          <w:bCs/>
          <w:color w:val="2F2F2F"/>
          <w:sz w:val="18"/>
          <w:szCs w:val="18"/>
          <w:lang w:val="es-MX"/>
        </w:rPr>
        <w:t>SISTEMA DE JUSTICIA EN LÍNEA VERSIÓN 2</w:t>
      </w:r>
      <w:r w:rsidRPr="00754D93">
        <w:rPr>
          <w:rFonts w:eastAsia="Times New Roman"/>
          <w:color w:val="2F2F2F"/>
          <w:sz w:val="18"/>
          <w:szCs w:val="18"/>
          <w:lang w:val="es-MX"/>
        </w:rPr>
        <w:t>, a partir del día 04 de octubre de 2021 en las mismas Salas;</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color w:val="2F2F2F"/>
          <w:sz w:val="18"/>
          <w:szCs w:val="18"/>
          <w:lang w:val="es-MX"/>
        </w:rPr>
        <w:t>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754D93" w:rsidRPr="00754D93" w:rsidRDefault="00754D93" w:rsidP="00754D9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54D93">
        <w:rPr>
          <w:rFonts w:ascii="Times" w:eastAsia="Times New Roman" w:hAnsi="Times" w:cs="Times New Roman"/>
          <w:b/>
          <w:bCs/>
          <w:color w:val="2F2F2F"/>
          <w:sz w:val="18"/>
          <w:szCs w:val="18"/>
          <w:lang w:val="es-MX"/>
        </w:rPr>
        <w:t>ACUERDO</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PRIMERO.</w:t>
      </w:r>
      <w:r w:rsidRPr="00754D93">
        <w:rPr>
          <w:rFonts w:eastAsia="Times New Roman"/>
          <w:color w:val="2F2F2F"/>
          <w:sz w:val="18"/>
          <w:szCs w:val="18"/>
          <w:lang w:val="es-MX"/>
        </w:rPr>
        <w:t> La Junta de Gobierno y Administración en uso de sus atribuciones legales y reglamentarias, autoriza a la Dirección General de Sistemas de Información, iniciar el día 07 de septiembre de 2021, la capacitación del </w:t>
      </w:r>
      <w:r w:rsidRPr="00754D93">
        <w:rPr>
          <w:rFonts w:eastAsia="Times New Roman"/>
          <w:b/>
          <w:bCs/>
          <w:color w:val="2F2F2F"/>
          <w:sz w:val="18"/>
          <w:szCs w:val="18"/>
          <w:lang w:val="es-MX"/>
        </w:rPr>
        <w:t>SISTEMA DE JUSTICIA EN LÍNEA VERSIÓN 2</w:t>
      </w:r>
      <w:r w:rsidRPr="00754D93">
        <w:rPr>
          <w:rFonts w:eastAsia="Times New Roman"/>
          <w:color w:val="2F2F2F"/>
          <w:sz w:val="18"/>
          <w:szCs w:val="18"/>
          <w:lang w:val="es-MX"/>
        </w:rPr>
        <w:t xml:space="preserve">, así como su puesta en operación a partir del día 04 de octubre de 2021, en la Primera y Segunda Sala Regional del Noroeste III, con sede en la Ciudad de Culiacán, Estado de Sinaloa, que comprende los Estados de Baja California Sur y Sinaloa, en la Sala Regional de Tlaxcala, con sede en el Municipio de </w:t>
      </w:r>
      <w:proofErr w:type="spellStart"/>
      <w:r w:rsidRPr="00754D93">
        <w:rPr>
          <w:rFonts w:eastAsia="Times New Roman"/>
          <w:color w:val="2F2F2F"/>
          <w:sz w:val="18"/>
          <w:szCs w:val="18"/>
          <w:lang w:val="es-MX"/>
        </w:rPr>
        <w:t>Apetatitlán</w:t>
      </w:r>
      <w:proofErr w:type="spellEnd"/>
      <w:r w:rsidRPr="00754D93">
        <w:rPr>
          <w:rFonts w:eastAsia="Times New Roman"/>
          <w:color w:val="2F2F2F"/>
          <w:sz w:val="18"/>
          <w:szCs w:val="18"/>
          <w:lang w:val="es-MX"/>
        </w:rPr>
        <w:t xml:space="preserve"> de Antonio Carvajal, Estado de Tlaxcala, que comprende el Estado de Tlaxcala, en la Sala Regional de Tabasco, con sede en la Ciudad de Villahermosa, Estado de Tabasco, que comprenden el Estado de Tabasco, así como en la Sala Regional del Sureste, con sede en la Ciudad de Oaxaca, Estado de Oaxaca, que comprende el Estado de Oaxaca;</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SEGUNDO.</w:t>
      </w:r>
      <w:r w:rsidRPr="00754D93">
        <w:rPr>
          <w:rFonts w:eastAsia="Times New Roman"/>
          <w:color w:val="2F2F2F"/>
          <w:sz w:val="18"/>
          <w:szCs w:val="18"/>
          <w:lang w:val="es-MX"/>
        </w:rPr>
        <w:t> Las Salas Regionales señaladas en el punto anterior atenderán las demandas que se promuevan en la modalidad tradicional o en línea, en el ámbito de su competencia material y territorial, a partir de la fecha señalada en el párrafo que antecede;</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TERCERO. </w:t>
      </w:r>
      <w:r w:rsidRPr="00754D93">
        <w:rPr>
          <w:rFonts w:eastAsia="Times New Roman"/>
          <w:color w:val="2F2F2F"/>
          <w:sz w:val="18"/>
          <w:szCs w:val="18"/>
          <w:lang w:val="es-MX"/>
        </w:rPr>
        <w:t>La Sala Especializada en Juicios en Línea, con sede en la Ciudad de México, seguirá operando en los términos actualmente establecidos en el artículo 50 fracción II del</w:t>
      </w:r>
      <w:r w:rsidRPr="00754D93">
        <w:rPr>
          <w:rFonts w:eastAsia="Times New Roman"/>
          <w:b/>
          <w:bCs/>
          <w:color w:val="2F2F2F"/>
          <w:sz w:val="18"/>
          <w:szCs w:val="18"/>
          <w:lang w:val="es-MX"/>
        </w:rPr>
        <w:t> </w:t>
      </w:r>
      <w:r w:rsidRPr="00754D93">
        <w:rPr>
          <w:rFonts w:eastAsia="Times New Roman"/>
          <w:color w:val="2F2F2F"/>
          <w:sz w:val="18"/>
          <w:szCs w:val="18"/>
          <w:lang w:val="es-MX"/>
        </w:rPr>
        <w:t>Reglamento Interior del Tribunal, con excepción de las demarcaciones territoriales y competencia material de las Salas Regionales y Especializadas ya autorizadas.</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CUARTO.</w:t>
      </w:r>
      <w:r w:rsidRPr="00754D93">
        <w:rPr>
          <w:rFonts w:eastAsia="Times New Roman"/>
          <w:color w:val="2F2F2F"/>
          <w:sz w:val="18"/>
          <w:szCs w:val="18"/>
          <w:lang w:val="es-MX"/>
        </w:rPr>
        <w:t>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754D93" w:rsidRPr="00754D93" w:rsidRDefault="00754D93" w:rsidP="00754D93">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54D93">
        <w:rPr>
          <w:rFonts w:ascii="Times" w:eastAsia="Times New Roman" w:hAnsi="Times" w:cs="Times New Roman"/>
          <w:b/>
          <w:bCs/>
          <w:color w:val="2F2F2F"/>
          <w:sz w:val="18"/>
          <w:szCs w:val="18"/>
          <w:lang w:val="es-MX"/>
        </w:rPr>
        <w:t>TRANSITORIOS</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Primero.</w:t>
      </w:r>
      <w:r w:rsidRPr="00754D93">
        <w:rPr>
          <w:rFonts w:eastAsia="Times New Roman"/>
          <w:color w:val="2F2F2F"/>
          <w:sz w:val="18"/>
          <w:szCs w:val="18"/>
          <w:lang w:val="es-MX"/>
        </w:rPr>
        <w:t> El presente Acuerdo entrará en vigor a partir de la autorización de la Junta de Gobierno y Administración.</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Segundo.</w:t>
      </w:r>
      <w:r w:rsidRPr="00754D93">
        <w:rPr>
          <w:rFonts w:eastAsia="Times New Roman"/>
          <w:color w:val="2F2F2F"/>
          <w:sz w:val="18"/>
          <w:szCs w:val="18"/>
          <w:lang w:val="es-MX"/>
        </w:rPr>
        <w:t> Publíquese el presente Acuerdo en el Diario Oficial de la Federación y en la página web del Tribunal.</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b/>
          <w:bCs/>
          <w:color w:val="2F2F2F"/>
          <w:sz w:val="18"/>
          <w:szCs w:val="18"/>
          <w:lang w:val="es-MX"/>
        </w:rPr>
        <w:t>Tercero</w:t>
      </w:r>
      <w:r w:rsidRPr="00754D93">
        <w:rPr>
          <w:rFonts w:eastAsia="Times New Roman"/>
          <w:color w:val="2F2F2F"/>
          <w:sz w:val="18"/>
          <w:szCs w:val="18"/>
          <w:lang w:val="es-MX"/>
        </w:rPr>
        <w:t>. La Sala Especializada en Juicios Línea, conforme a lo establecido en el artículo 50, fracción II, del Reglamento Interior de Tribunal, tramitará y resolverá los juicios hasta su total conclusión, incluso la instancia de aclaración de sentencia, queja y el cumplimiento de ejecutorias del Poder Judicial de la Federación, de los asuntos radicados a la fecha de la entrada en operación de las Salas señaladas en el Acuerdo PRIMERO del presente documento.</w:t>
      </w:r>
    </w:p>
    <w:p w:rsidR="00754D93" w:rsidRPr="00754D93" w:rsidRDefault="00754D93" w:rsidP="00754D93">
      <w:pPr>
        <w:shd w:val="clear" w:color="auto" w:fill="FFFFFF"/>
        <w:spacing w:line="240" w:lineRule="auto"/>
        <w:ind w:firstLine="288"/>
        <w:jc w:val="both"/>
        <w:rPr>
          <w:rFonts w:eastAsia="Times New Roman"/>
          <w:color w:val="2F2F2F"/>
          <w:sz w:val="18"/>
          <w:szCs w:val="18"/>
          <w:lang w:val="es-MX"/>
        </w:rPr>
      </w:pPr>
      <w:r w:rsidRPr="00754D93">
        <w:rPr>
          <w:rFonts w:eastAsia="Times New Roman"/>
          <w:color w:val="2F2F2F"/>
          <w:sz w:val="18"/>
          <w:szCs w:val="18"/>
          <w:lang w:val="es-MX"/>
        </w:rPr>
        <w:t>Dictado en sesión ordinaria de fecha 02 de septiembre de 2021, </w:t>
      </w:r>
      <w:r w:rsidRPr="00754D93">
        <w:rPr>
          <w:rFonts w:eastAsia="Times New Roman"/>
          <w:color w:val="000000"/>
          <w:sz w:val="18"/>
          <w:szCs w:val="18"/>
          <w:lang w:val="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754D93">
        <w:rPr>
          <w:rFonts w:eastAsia="Times New Roman"/>
          <w:b/>
          <w:bCs/>
          <w:color w:val="000000"/>
          <w:sz w:val="18"/>
          <w:szCs w:val="18"/>
          <w:lang w:val="es-MX"/>
        </w:rPr>
        <w:t>Rafael Anzures Uribe</w:t>
      </w:r>
      <w:r w:rsidRPr="00754D93">
        <w:rPr>
          <w:rFonts w:eastAsia="Times New Roman"/>
          <w:color w:val="000000"/>
          <w:sz w:val="18"/>
          <w:szCs w:val="18"/>
          <w:lang w:val="es-MX"/>
        </w:rPr>
        <w:t>, Presidente de la Junta de Gobierno y Administración del Tribunal Federal de Justicia Administrativa, y el Licenciado</w:t>
      </w:r>
      <w:r w:rsidRPr="00754D93">
        <w:rPr>
          <w:rFonts w:eastAsia="Times New Roman"/>
          <w:b/>
          <w:bCs/>
          <w:color w:val="000000"/>
          <w:sz w:val="18"/>
          <w:szCs w:val="18"/>
          <w:lang w:val="es-MX"/>
        </w:rPr>
        <w:t> Pedro Alberto de la Rosa Manzano</w:t>
      </w:r>
      <w:r w:rsidRPr="00754D93">
        <w:rPr>
          <w:rFonts w:eastAsia="Times New Roman"/>
          <w:color w:val="000000"/>
          <w:sz w:val="18"/>
          <w:szCs w:val="18"/>
          <w:lang w:val="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754D93" w:rsidRPr="00754D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93"/>
    <w:rsid w:val="00754D9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D93"/>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D93"/>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48259">
      <w:bodyDiv w:val="1"/>
      <w:marLeft w:val="0"/>
      <w:marRight w:val="0"/>
      <w:marTop w:val="0"/>
      <w:marBottom w:val="0"/>
      <w:divBdr>
        <w:top w:val="none" w:sz="0" w:space="0" w:color="auto"/>
        <w:left w:val="none" w:sz="0" w:space="0" w:color="auto"/>
        <w:bottom w:val="none" w:sz="0" w:space="0" w:color="auto"/>
        <w:right w:val="none" w:sz="0" w:space="0" w:color="auto"/>
      </w:divBdr>
      <w:divsChild>
        <w:div w:id="515267247">
          <w:marLeft w:val="0"/>
          <w:marRight w:val="0"/>
          <w:marTop w:val="101"/>
          <w:marBottom w:val="101"/>
          <w:divBdr>
            <w:top w:val="none" w:sz="0" w:space="0" w:color="auto"/>
            <w:left w:val="none" w:sz="0" w:space="0" w:color="auto"/>
            <w:bottom w:val="none" w:sz="0" w:space="0" w:color="auto"/>
            <w:right w:val="none" w:sz="0" w:space="0" w:color="auto"/>
          </w:divBdr>
        </w:div>
        <w:div w:id="524291962">
          <w:marLeft w:val="0"/>
          <w:marRight w:val="0"/>
          <w:marTop w:val="0"/>
          <w:marBottom w:val="101"/>
          <w:divBdr>
            <w:top w:val="none" w:sz="0" w:space="0" w:color="auto"/>
            <w:left w:val="none" w:sz="0" w:space="0" w:color="auto"/>
            <w:bottom w:val="none" w:sz="0" w:space="0" w:color="auto"/>
            <w:right w:val="none" w:sz="0" w:space="0" w:color="auto"/>
          </w:divBdr>
        </w:div>
        <w:div w:id="1214585194">
          <w:marLeft w:val="0"/>
          <w:marRight w:val="0"/>
          <w:marTop w:val="101"/>
          <w:marBottom w:val="101"/>
          <w:divBdr>
            <w:top w:val="none" w:sz="0" w:space="0" w:color="auto"/>
            <w:left w:val="none" w:sz="0" w:space="0" w:color="auto"/>
            <w:bottom w:val="none" w:sz="0" w:space="0" w:color="auto"/>
            <w:right w:val="none" w:sz="0" w:space="0" w:color="auto"/>
          </w:divBdr>
        </w:div>
        <w:div w:id="5256101">
          <w:marLeft w:val="0"/>
          <w:marRight w:val="0"/>
          <w:marTop w:val="0"/>
          <w:marBottom w:val="101"/>
          <w:divBdr>
            <w:top w:val="none" w:sz="0" w:space="0" w:color="auto"/>
            <w:left w:val="none" w:sz="0" w:space="0" w:color="auto"/>
            <w:bottom w:val="none" w:sz="0" w:space="0" w:color="auto"/>
            <w:right w:val="none" w:sz="0" w:space="0" w:color="auto"/>
          </w:divBdr>
        </w:div>
        <w:div w:id="1461805623">
          <w:marLeft w:val="0"/>
          <w:marRight w:val="0"/>
          <w:marTop w:val="0"/>
          <w:marBottom w:val="101"/>
          <w:divBdr>
            <w:top w:val="none" w:sz="0" w:space="0" w:color="auto"/>
            <w:left w:val="none" w:sz="0" w:space="0" w:color="auto"/>
            <w:bottom w:val="none" w:sz="0" w:space="0" w:color="auto"/>
            <w:right w:val="none" w:sz="0" w:space="0" w:color="auto"/>
          </w:divBdr>
        </w:div>
        <w:div w:id="1956135297">
          <w:marLeft w:val="0"/>
          <w:marRight w:val="0"/>
          <w:marTop w:val="0"/>
          <w:marBottom w:val="101"/>
          <w:divBdr>
            <w:top w:val="none" w:sz="0" w:space="0" w:color="auto"/>
            <w:left w:val="none" w:sz="0" w:space="0" w:color="auto"/>
            <w:bottom w:val="none" w:sz="0" w:space="0" w:color="auto"/>
            <w:right w:val="none" w:sz="0" w:space="0" w:color="auto"/>
          </w:divBdr>
        </w:div>
        <w:div w:id="489951483">
          <w:marLeft w:val="0"/>
          <w:marRight w:val="0"/>
          <w:marTop w:val="0"/>
          <w:marBottom w:val="101"/>
          <w:divBdr>
            <w:top w:val="none" w:sz="0" w:space="0" w:color="auto"/>
            <w:left w:val="none" w:sz="0" w:space="0" w:color="auto"/>
            <w:bottom w:val="none" w:sz="0" w:space="0" w:color="auto"/>
            <w:right w:val="none" w:sz="0" w:space="0" w:color="auto"/>
          </w:divBdr>
        </w:div>
        <w:div w:id="1758549182">
          <w:marLeft w:val="0"/>
          <w:marRight w:val="0"/>
          <w:marTop w:val="0"/>
          <w:marBottom w:val="101"/>
          <w:divBdr>
            <w:top w:val="none" w:sz="0" w:space="0" w:color="auto"/>
            <w:left w:val="none" w:sz="0" w:space="0" w:color="auto"/>
            <w:bottom w:val="none" w:sz="0" w:space="0" w:color="auto"/>
            <w:right w:val="none" w:sz="0" w:space="0" w:color="auto"/>
          </w:divBdr>
        </w:div>
        <w:div w:id="799031426">
          <w:marLeft w:val="0"/>
          <w:marRight w:val="0"/>
          <w:marTop w:val="0"/>
          <w:marBottom w:val="101"/>
          <w:divBdr>
            <w:top w:val="none" w:sz="0" w:space="0" w:color="auto"/>
            <w:left w:val="none" w:sz="0" w:space="0" w:color="auto"/>
            <w:bottom w:val="none" w:sz="0" w:space="0" w:color="auto"/>
            <w:right w:val="none" w:sz="0" w:space="0" w:color="auto"/>
          </w:divBdr>
        </w:div>
        <w:div w:id="1764299155">
          <w:marLeft w:val="0"/>
          <w:marRight w:val="0"/>
          <w:marTop w:val="0"/>
          <w:marBottom w:val="101"/>
          <w:divBdr>
            <w:top w:val="none" w:sz="0" w:space="0" w:color="auto"/>
            <w:left w:val="none" w:sz="0" w:space="0" w:color="auto"/>
            <w:bottom w:val="none" w:sz="0" w:space="0" w:color="auto"/>
            <w:right w:val="none" w:sz="0" w:space="0" w:color="auto"/>
          </w:divBdr>
        </w:div>
        <w:div w:id="1264529525">
          <w:marLeft w:val="0"/>
          <w:marRight w:val="0"/>
          <w:marTop w:val="0"/>
          <w:marBottom w:val="101"/>
          <w:divBdr>
            <w:top w:val="none" w:sz="0" w:space="0" w:color="auto"/>
            <w:left w:val="none" w:sz="0" w:space="0" w:color="auto"/>
            <w:bottom w:val="none" w:sz="0" w:space="0" w:color="auto"/>
            <w:right w:val="none" w:sz="0" w:space="0" w:color="auto"/>
          </w:divBdr>
        </w:div>
        <w:div w:id="78990550">
          <w:marLeft w:val="0"/>
          <w:marRight w:val="0"/>
          <w:marTop w:val="101"/>
          <w:marBottom w:val="101"/>
          <w:divBdr>
            <w:top w:val="none" w:sz="0" w:space="0" w:color="auto"/>
            <w:left w:val="none" w:sz="0" w:space="0" w:color="auto"/>
            <w:bottom w:val="none" w:sz="0" w:space="0" w:color="auto"/>
            <w:right w:val="none" w:sz="0" w:space="0" w:color="auto"/>
          </w:divBdr>
        </w:div>
        <w:div w:id="1234046479">
          <w:marLeft w:val="0"/>
          <w:marRight w:val="0"/>
          <w:marTop w:val="0"/>
          <w:marBottom w:val="101"/>
          <w:divBdr>
            <w:top w:val="none" w:sz="0" w:space="0" w:color="auto"/>
            <w:left w:val="none" w:sz="0" w:space="0" w:color="auto"/>
            <w:bottom w:val="none" w:sz="0" w:space="0" w:color="auto"/>
            <w:right w:val="none" w:sz="0" w:space="0" w:color="auto"/>
          </w:divBdr>
        </w:div>
        <w:div w:id="1446659279">
          <w:marLeft w:val="0"/>
          <w:marRight w:val="0"/>
          <w:marTop w:val="0"/>
          <w:marBottom w:val="101"/>
          <w:divBdr>
            <w:top w:val="none" w:sz="0" w:space="0" w:color="auto"/>
            <w:left w:val="none" w:sz="0" w:space="0" w:color="auto"/>
            <w:bottom w:val="none" w:sz="0" w:space="0" w:color="auto"/>
            <w:right w:val="none" w:sz="0" w:space="0" w:color="auto"/>
          </w:divBdr>
        </w:div>
        <w:div w:id="1263491202">
          <w:marLeft w:val="0"/>
          <w:marRight w:val="0"/>
          <w:marTop w:val="0"/>
          <w:marBottom w:val="101"/>
          <w:divBdr>
            <w:top w:val="none" w:sz="0" w:space="0" w:color="auto"/>
            <w:left w:val="none" w:sz="0" w:space="0" w:color="auto"/>
            <w:bottom w:val="none" w:sz="0" w:space="0" w:color="auto"/>
            <w:right w:val="none" w:sz="0" w:space="0" w:color="auto"/>
          </w:divBdr>
        </w:div>
        <w:div w:id="321542723">
          <w:marLeft w:val="0"/>
          <w:marRight w:val="0"/>
          <w:marTop w:val="0"/>
          <w:marBottom w:val="101"/>
          <w:divBdr>
            <w:top w:val="none" w:sz="0" w:space="0" w:color="auto"/>
            <w:left w:val="none" w:sz="0" w:space="0" w:color="auto"/>
            <w:bottom w:val="none" w:sz="0" w:space="0" w:color="auto"/>
            <w:right w:val="none" w:sz="0" w:space="0" w:color="auto"/>
          </w:divBdr>
        </w:div>
        <w:div w:id="1504736700">
          <w:marLeft w:val="0"/>
          <w:marRight w:val="0"/>
          <w:marTop w:val="101"/>
          <w:marBottom w:val="101"/>
          <w:divBdr>
            <w:top w:val="none" w:sz="0" w:space="0" w:color="auto"/>
            <w:left w:val="none" w:sz="0" w:space="0" w:color="auto"/>
            <w:bottom w:val="none" w:sz="0" w:space="0" w:color="auto"/>
            <w:right w:val="none" w:sz="0" w:space="0" w:color="auto"/>
          </w:divBdr>
        </w:div>
        <w:div w:id="1232692305">
          <w:marLeft w:val="0"/>
          <w:marRight w:val="0"/>
          <w:marTop w:val="0"/>
          <w:marBottom w:val="101"/>
          <w:divBdr>
            <w:top w:val="none" w:sz="0" w:space="0" w:color="auto"/>
            <w:left w:val="none" w:sz="0" w:space="0" w:color="auto"/>
            <w:bottom w:val="none" w:sz="0" w:space="0" w:color="auto"/>
            <w:right w:val="none" w:sz="0" w:space="0" w:color="auto"/>
          </w:divBdr>
        </w:div>
        <w:div w:id="781613275">
          <w:marLeft w:val="0"/>
          <w:marRight w:val="0"/>
          <w:marTop w:val="0"/>
          <w:marBottom w:val="101"/>
          <w:divBdr>
            <w:top w:val="none" w:sz="0" w:space="0" w:color="auto"/>
            <w:left w:val="none" w:sz="0" w:space="0" w:color="auto"/>
            <w:bottom w:val="none" w:sz="0" w:space="0" w:color="auto"/>
            <w:right w:val="none" w:sz="0" w:space="0" w:color="auto"/>
          </w:divBdr>
        </w:div>
        <w:div w:id="197593321">
          <w:marLeft w:val="0"/>
          <w:marRight w:val="0"/>
          <w:marTop w:val="0"/>
          <w:marBottom w:val="101"/>
          <w:divBdr>
            <w:top w:val="none" w:sz="0" w:space="0" w:color="auto"/>
            <w:left w:val="none" w:sz="0" w:space="0" w:color="auto"/>
            <w:bottom w:val="none" w:sz="0" w:space="0" w:color="auto"/>
            <w:right w:val="none" w:sz="0" w:space="0" w:color="auto"/>
          </w:divBdr>
        </w:div>
        <w:div w:id="16806201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1470</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2021-09-08T13:27:00Z</dcterms:created>
  <dcterms:modified xsi:type="dcterms:W3CDTF">2021-09-08T13:30:00Z</dcterms:modified>
</cp:coreProperties>
</file>