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35" w:rsidRPr="004450A0" w:rsidRDefault="00C62C35" w:rsidP="00C62C35">
      <w:pPr>
        <w:jc w:val="center"/>
        <w:rPr>
          <w:rFonts w:ascii="Verdana" w:eastAsia="Verdana" w:hAnsi="Verdana" w:cs="Verdana"/>
          <w:b/>
          <w:bCs/>
          <w:color w:val="0000FF"/>
          <w:sz w:val="24"/>
          <w:szCs w:val="24"/>
        </w:rPr>
      </w:pPr>
      <w:r w:rsidRPr="00C62C35">
        <w:rPr>
          <w:rFonts w:ascii="Verdana" w:eastAsia="Verdana" w:hAnsi="Verdana" w:cs="Verdana"/>
          <w:b/>
          <w:bCs/>
          <w:color w:val="0000FF"/>
          <w:sz w:val="24"/>
          <w:szCs w:val="24"/>
        </w:rPr>
        <w:t>ACUERDO G/JGA/25/2024 por el que se suspende el apoyo por criterio de eventualidad establecido en el Acuerdo G/JGA/13/2024.</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12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C62C35" w:rsidRDefault="00C62C35" w:rsidP="00C62C35">
      <w:pPr>
        <w:jc w:val="both"/>
        <w:rPr>
          <w:rFonts w:ascii="Arial" w:eastAsia="Times New Roman" w:hAnsi="Arial" w:cs="Arial"/>
          <w:b/>
          <w:bCs/>
          <w:color w:val="2F2F2F"/>
          <w:sz w:val="20"/>
          <w:szCs w:val="16"/>
          <w:lang w:eastAsia="es-MX"/>
        </w:rPr>
      </w:pPr>
      <w:r w:rsidRPr="003A04B7">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C62C35" w:rsidRPr="00C62C35" w:rsidRDefault="00C62C35" w:rsidP="00C62C3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2C35">
        <w:rPr>
          <w:rFonts w:ascii="Times" w:eastAsia="Times New Roman" w:hAnsi="Times" w:cs="Times"/>
          <w:b/>
          <w:bCs/>
          <w:color w:val="2F2F2F"/>
          <w:sz w:val="18"/>
          <w:szCs w:val="18"/>
          <w:lang w:eastAsia="es-MX"/>
        </w:rPr>
        <w:t>ACUERDO G/JGA/25/2024</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color w:val="2F2F2F"/>
          <w:sz w:val="18"/>
          <w:szCs w:val="18"/>
          <w:lang w:eastAsia="es-MX"/>
        </w:rPr>
        <w:t>SE SUSPENDE EL APOYO POR CRITERIO DE EVENTUALIDAD ESTABLECIDO EN EL ACUERDO G/JGA/13/2024</w:t>
      </w:r>
    </w:p>
    <w:p w:rsidR="00C62C35" w:rsidRPr="00C62C35" w:rsidRDefault="00C62C35" w:rsidP="00C62C3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2C35">
        <w:rPr>
          <w:rFonts w:ascii="Times" w:eastAsia="Times New Roman" w:hAnsi="Times" w:cs="Times"/>
          <w:b/>
          <w:bCs/>
          <w:color w:val="2F2F2F"/>
          <w:sz w:val="18"/>
          <w:szCs w:val="18"/>
          <w:lang w:eastAsia="es-MX"/>
        </w:rPr>
        <w:t>CONSIDERANDOS</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b/>
          <w:bCs/>
          <w:color w:val="000000"/>
          <w:sz w:val="18"/>
          <w:szCs w:val="18"/>
          <w:lang w:eastAsia="es-MX"/>
        </w:rPr>
        <w:t>1. </w:t>
      </w:r>
      <w:r w:rsidRPr="00C62C35">
        <w:rPr>
          <w:rFonts w:ascii="Arial" w:eastAsia="Times New Roman" w:hAnsi="Arial" w:cs="Arial"/>
          <w:color w:val="000000"/>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b/>
          <w:bCs/>
          <w:color w:val="000000"/>
          <w:sz w:val="18"/>
          <w:szCs w:val="18"/>
          <w:lang w:eastAsia="es-MX"/>
        </w:rPr>
        <w:t>2. </w:t>
      </w:r>
      <w:r w:rsidRPr="00C62C35">
        <w:rPr>
          <w:rFonts w:ascii="Arial" w:eastAsia="Times New Roman" w:hAnsi="Arial" w:cs="Arial"/>
          <w:color w:val="000000"/>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b/>
          <w:bCs/>
          <w:color w:val="000000"/>
          <w:sz w:val="18"/>
          <w:szCs w:val="18"/>
          <w:lang w:eastAsia="es-MX"/>
        </w:rPr>
        <w:t>3. </w:t>
      </w:r>
      <w:r w:rsidRPr="00C62C35">
        <w:rPr>
          <w:rFonts w:ascii="Arial" w:eastAsia="Times New Roman" w:hAnsi="Arial" w:cs="Arial"/>
          <w:color w:val="000000"/>
          <w:sz w:val="18"/>
          <w:szCs w:val="18"/>
          <w:lang w:eastAsia="es-MX"/>
        </w:rPr>
        <w:t>Que el artículo 21 de la Ley Orgánica vigente de este Órgano Jurisdiccional, así como el primer párrafo del diverso 28, apartado A, fracción II,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b/>
          <w:bCs/>
          <w:color w:val="000000"/>
          <w:sz w:val="18"/>
          <w:szCs w:val="18"/>
          <w:lang w:eastAsia="es-MX"/>
        </w:rPr>
        <w:t>4. </w:t>
      </w:r>
      <w:r w:rsidRPr="00C62C35">
        <w:rPr>
          <w:rFonts w:ascii="Arial" w:eastAsia="Times New Roman" w:hAnsi="Arial" w:cs="Arial"/>
          <w:color w:val="000000"/>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b/>
          <w:bCs/>
          <w:color w:val="000000"/>
          <w:sz w:val="18"/>
          <w:szCs w:val="18"/>
          <w:lang w:eastAsia="es-MX"/>
        </w:rPr>
        <w:t>5. </w:t>
      </w:r>
      <w:r w:rsidRPr="00C62C35">
        <w:rPr>
          <w:rFonts w:ascii="Arial" w:eastAsia="Times New Roman" w:hAnsi="Arial" w:cs="Arial"/>
          <w:color w:val="000000"/>
          <w:sz w:val="18"/>
          <w:szCs w:val="18"/>
          <w:lang w:eastAsia="es-MX"/>
        </w:rPr>
        <w:t>Que de conformidad con lo dispuesto en los artículos 23, fracciones II y V, y 40, segundo párrafo, de la Ley Orgánica del Tribunal Federal de Justicia Administrativa, la Junta de Gobierno y Administración cuenta con atribuciones para expedir los acuerdos necesarios para el buen funcionamiento del Tribunal; para llevar a cabo los estudios requeridos para determinar las regiones, sedes y número de las Salas Regionales, al igual que las sedes y número de las Salas Auxiliares; así como para definir la operación de las Salas Auxiliares.</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b/>
          <w:bCs/>
          <w:color w:val="000000"/>
          <w:sz w:val="18"/>
          <w:szCs w:val="18"/>
          <w:lang w:eastAsia="es-MX"/>
        </w:rPr>
        <w:t>6. </w:t>
      </w:r>
      <w:r w:rsidRPr="00C62C35">
        <w:rPr>
          <w:rFonts w:ascii="Arial" w:eastAsia="Times New Roman" w:hAnsi="Arial" w:cs="Arial"/>
          <w:color w:val="000000"/>
          <w:sz w:val="18"/>
          <w:szCs w:val="18"/>
          <w:lang w:eastAsia="es-MX"/>
        </w:rPr>
        <w:t>Que por Acuerdo G/JGA/13/2024, esta Junta de Gobierno y Administración estableció las reglas para la asignación y redistribución de expedientes para las Salas Auxiliares del Tribunal, contemplando un procedimiento de auxilio periódico a partir del 02 de mayo de 2024, realizando la primera selección en junio siguiente, y otro de auxilio por un criterio de eventualidad, este último, a la Sala Regional del Pacífico, una vez que reanudara operaciones.</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b/>
          <w:bCs/>
          <w:color w:val="000000"/>
          <w:sz w:val="18"/>
          <w:szCs w:val="18"/>
          <w:lang w:eastAsia="es-MX"/>
        </w:rPr>
        <w:t>7. </w:t>
      </w:r>
      <w:r w:rsidRPr="00C62C35">
        <w:rPr>
          <w:rFonts w:ascii="Arial" w:eastAsia="Times New Roman" w:hAnsi="Arial" w:cs="Arial"/>
          <w:color w:val="000000"/>
          <w:sz w:val="18"/>
          <w:szCs w:val="18"/>
          <w:lang w:eastAsia="es-MX"/>
        </w:rPr>
        <w:t>Que a través de Acuerdo SS/8/2024, el Pleno General de la Sala Superior levantó la suspensión de actividades jurisdiccionales en la Sala Regional del Pacífico, para que reiniciara funciones a partir del 02 de mayo de 2024.</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b/>
          <w:bCs/>
          <w:color w:val="000000"/>
          <w:sz w:val="18"/>
          <w:szCs w:val="18"/>
          <w:lang w:eastAsia="es-MX"/>
        </w:rPr>
        <w:t>8. </w:t>
      </w:r>
      <w:r w:rsidRPr="00C62C35">
        <w:rPr>
          <w:rFonts w:ascii="Arial" w:eastAsia="Times New Roman" w:hAnsi="Arial" w:cs="Arial"/>
          <w:color w:val="000000"/>
          <w:sz w:val="18"/>
          <w:szCs w:val="18"/>
          <w:lang w:eastAsia="es-MX"/>
        </w:rPr>
        <w:t>Que el punto Tercero, incisos A, primer párrafo y B, fracción I, numeral 1, del referido Acuerdo G/JGA/13/2024 establecen que,</w:t>
      </w:r>
      <w:r w:rsidRPr="00C62C35">
        <w:rPr>
          <w:rFonts w:ascii="Arial" w:eastAsia="Times New Roman" w:hAnsi="Arial" w:cs="Arial"/>
          <w:color w:val="2F2F2F"/>
          <w:sz w:val="18"/>
          <w:szCs w:val="18"/>
          <w:lang w:eastAsia="es-MX"/>
        </w:rPr>
        <w:t> la Sala Regional de Morelos y Auxiliar, brindará apoyo jurisdiccional a la Sala Regional del Pacífico, de forma contingente hasta </w:t>
      </w:r>
      <w:r w:rsidRPr="00C62C35">
        <w:rPr>
          <w:rFonts w:ascii="Arial" w:eastAsia="Times New Roman" w:hAnsi="Arial" w:cs="Arial"/>
          <w:color w:val="000000"/>
          <w:sz w:val="18"/>
          <w:szCs w:val="18"/>
          <w:lang w:eastAsia="es-MX"/>
        </w:rPr>
        <w:t>que se restablezca la normal operación de la Sala señalada en segundo término; y en consecuencia, hasta que la Junta de Gobierno y Administración determine otra situación, las demandas que ingresan en la Oficialía de Partes de la Sala Regional del Pacífico, se distribuyen equitativamente mediante el sistema de turno aleatorio entre las mesas que integran las Ponencias de las dos Salas Regionales antes mencionadas.</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b/>
          <w:bCs/>
          <w:color w:val="000000"/>
          <w:sz w:val="18"/>
          <w:szCs w:val="18"/>
          <w:lang w:eastAsia="es-MX"/>
        </w:rPr>
        <w:t>9. </w:t>
      </w:r>
      <w:r w:rsidRPr="00C62C35">
        <w:rPr>
          <w:rFonts w:ascii="Arial" w:eastAsia="Times New Roman" w:hAnsi="Arial" w:cs="Arial"/>
          <w:color w:val="000000"/>
          <w:sz w:val="18"/>
          <w:szCs w:val="18"/>
          <w:lang w:eastAsia="es-MX"/>
        </w:rPr>
        <w:t>Que derivado del seguimiento realizado por la Junta de Gobierno y Administración al funcionamiento de la Sala Regional del Pacífico, se advirtió que su operatividad ha retornado a la normalidad, por lo que resulta innecesario continuar con el apoyo que le otorgaba la Sala Regional de Morelos y Auxiliar conforme a lo señalado en el considerando anterior.</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color w:val="2F2F2F"/>
          <w:sz w:val="18"/>
          <w:szCs w:val="18"/>
          <w:lang w:eastAsia="es-MX"/>
        </w:rPr>
        <w:lastRenderedPageBreak/>
        <w:t>En consecuencia, con fundamento en lo dispuesto por los artículos 17 y 73 fracción XXIX-H de la Constitución Política de los Estados </w:t>
      </w:r>
      <w:r w:rsidRPr="00C62C35">
        <w:rPr>
          <w:rFonts w:ascii="Arial" w:eastAsia="Times New Roman" w:hAnsi="Arial" w:cs="Arial"/>
          <w:color w:val="000000"/>
          <w:sz w:val="18"/>
          <w:szCs w:val="18"/>
          <w:lang w:eastAsia="es-MX"/>
        </w:rPr>
        <w:t>Unidos Mexicanos; 1 párrafos segundo y quinto</w:t>
      </w:r>
      <w:r w:rsidRPr="00C62C35">
        <w:rPr>
          <w:rFonts w:ascii="Arial" w:eastAsia="Times New Roman" w:hAnsi="Arial" w:cs="Arial"/>
          <w:color w:val="2F2F2F"/>
          <w:sz w:val="18"/>
          <w:szCs w:val="18"/>
          <w:lang w:eastAsia="es-MX"/>
        </w:rPr>
        <w:t> 21, 23, fracciones II y V, y 40 de la Ley Orgánica del Tribunal Federal de Justicia Administrativa; los artículos 28, apartado A, fracción II, y 29, del Reglamento Interior de este Tribunal, así como los puntos de acuerdo </w:t>
      </w:r>
      <w:r w:rsidRPr="00C62C35">
        <w:rPr>
          <w:rFonts w:ascii="Arial" w:eastAsia="Times New Roman" w:hAnsi="Arial" w:cs="Arial"/>
          <w:color w:val="000000"/>
          <w:sz w:val="18"/>
          <w:szCs w:val="18"/>
          <w:lang w:eastAsia="es-MX"/>
        </w:rPr>
        <w:t>Tercero, incisos A, primer párrafo y B, fracción I, numeral 1,</w:t>
      </w:r>
      <w:r w:rsidRPr="00C62C35">
        <w:rPr>
          <w:rFonts w:ascii="Arial" w:eastAsia="Times New Roman" w:hAnsi="Arial" w:cs="Arial"/>
          <w:color w:val="2F2F2F"/>
          <w:sz w:val="18"/>
          <w:szCs w:val="18"/>
          <w:lang w:eastAsia="es-MX"/>
        </w:rPr>
        <w:t> del Acuerdo G/JGA/13/2024, la Junta de Gobierno y Administración emite el siguiente:</w:t>
      </w:r>
    </w:p>
    <w:p w:rsidR="00C62C35" w:rsidRPr="00C62C35" w:rsidRDefault="00C62C35" w:rsidP="00C62C3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2C35">
        <w:rPr>
          <w:rFonts w:ascii="Times" w:eastAsia="Times New Roman" w:hAnsi="Times" w:cs="Times"/>
          <w:b/>
          <w:bCs/>
          <w:color w:val="2F2F2F"/>
          <w:sz w:val="18"/>
          <w:szCs w:val="18"/>
          <w:lang w:eastAsia="es-MX"/>
        </w:rPr>
        <w:t>ACUERDO</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b/>
          <w:bCs/>
          <w:color w:val="2F2F2F"/>
          <w:sz w:val="18"/>
          <w:szCs w:val="18"/>
          <w:lang w:eastAsia="es-MX"/>
        </w:rPr>
        <w:t>PRIMERO. </w:t>
      </w:r>
      <w:r w:rsidRPr="00C62C35">
        <w:rPr>
          <w:rFonts w:ascii="Arial" w:eastAsia="Times New Roman" w:hAnsi="Arial" w:cs="Arial"/>
          <w:color w:val="2F2F2F"/>
          <w:sz w:val="18"/>
          <w:szCs w:val="18"/>
          <w:lang w:eastAsia="es-MX"/>
        </w:rPr>
        <w:t>De conformidad con lo señalado en el Considerando Noveno del presente Acuerdo, </w:t>
      </w:r>
      <w:r w:rsidRPr="00C62C35">
        <w:rPr>
          <w:rFonts w:ascii="Arial" w:eastAsia="Times New Roman" w:hAnsi="Arial" w:cs="Arial"/>
          <w:b/>
          <w:bCs/>
          <w:color w:val="2F2F2F"/>
          <w:sz w:val="18"/>
          <w:szCs w:val="18"/>
          <w:lang w:eastAsia="es-MX"/>
        </w:rPr>
        <w:t>a partir del 13 de julio de 2024</w:t>
      </w:r>
      <w:r w:rsidRPr="00C62C35">
        <w:rPr>
          <w:rFonts w:ascii="Arial" w:eastAsia="Times New Roman" w:hAnsi="Arial" w:cs="Arial"/>
          <w:color w:val="2F2F2F"/>
          <w:sz w:val="18"/>
          <w:szCs w:val="18"/>
          <w:lang w:eastAsia="es-MX"/>
        </w:rPr>
        <w:t>, se suspende el apoyo que la Sala Regional de Morelos y Auxiliar, con sede en la Ciudad de Cuernavaca, Morelos, otorga a la Sala Regional del Pacífico, con sede en con sede en la Ciudad de Acapulco, Estado de Guerrero.</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b/>
          <w:bCs/>
          <w:color w:val="2F2F2F"/>
          <w:sz w:val="18"/>
          <w:szCs w:val="18"/>
          <w:lang w:eastAsia="es-MX"/>
        </w:rPr>
        <w:t>SEGUNDO. </w:t>
      </w:r>
      <w:r w:rsidRPr="00C62C35">
        <w:rPr>
          <w:rFonts w:ascii="Arial" w:eastAsia="Times New Roman" w:hAnsi="Arial" w:cs="Arial"/>
          <w:color w:val="2F2F2F"/>
          <w:sz w:val="18"/>
          <w:szCs w:val="18"/>
          <w:lang w:eastAsia="es-MX"/>
        </w:rPr>
        <w:t>La Sala Regional de Morelos y Auxiliar, continuará con el trámite de los expedientes que recibió de la Sala Regional del Pacífico para su auxilio hasta su total conclusión, lo que comprende dar cumplimiento a las ejecutorias de amparo y/o revisión fiscal, aclaraciones de sentencia, queja y verificación del cumplimiento, cuando sea el caso.</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b/>
          <w:bCs/>
          <w:color w:val="2F2F2F"/>
          <w:sz w:val="18"/>
          <w:szCs w:val="18"/>
          <w:lang w:eastAsia="es-MX"/>
        </w:rPr>
        <w:t>TERCERO. </w:t>
      </w:r>
      <w:r w:rsidRPr="00C62C35">
        <w:rPr>
          <w:rFonts w:ascii="Arial" w:eastAsia="Times New Roman" w:hAnsi="Arial" w:cs="Arial"/>
          <w:color w:val="2F2F2F"/>
          <w:sz w:val="18"/>
          <w:szCs w:val="18"/>
          <w:lang w:eastAsia="es-MX"/>
        </w:rPr>
        <w:t>Los expedientes tramitados y definitivamente concluidos por la Sala Regional de Morelos y Auxiliar, en aplicación del criterio de eventualidad señalado en el Acuerdo G/JGA/13/2024, permanecerán físicamente en dicha Sala hasta que se esté en posibilidad de realizar su baja documental, conforme a los Acuerdos que en su momento apruebe la Junta de Gobierno y Administración.</w:t>
      </w:r>
    </w:p>
    <w:p w:rsidR="00C62C35" w:rsidRPr="00C62C35" w:rsidRDefault="00C62C35" w:rsidP="00C62C3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2C35">
        <w:rPr>
          <w:rFonts w:ascii="Times" w:eastAsia="Times New Roman" w:hAnsi="Times" w:cs="Times"/>
          <w:b/>
          <w:bCs/>
          <w:color w:val="2F2F2F"/>
          <w:sz w:val="18"/>
          <w:szCs w:val="18"/>
          <w:lang w:eastAsia="es-MX"/>
        </w:rPr>
        <w:t>TRANSITORIOS</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b/>
          <w:bCs/>
          <w:color w:val="2F2F2F"/>
          <w:sz w:val="18"/>
          <w:szCs w:val="18"/>
          <w:lang w:eastAsia="es-MX"/>
        </w:rPr>
        <w:t>Primero. </w:t>
      </w:r>
      <w:r w:rsidRPr="00C62C35">
        <w:rPr>
          <w:rFonts w:ascii="Arial" w:eastAsia="Times New Roman" w:hAnsi="Arial" w:cs="Arial"/>
          <w:color w:val="2F2F2F"/>
          <w:sz w:val="18"/>
          <w:szCs w:val="18"/>
          <w:lang w:eastAsia="es-MX"/>
        </w:rPr>
        <w:t>El presente Acuerdo entrará en vigor a partir de su aprobación por la Junta de Gobierno y Administración.</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b/>
          <w:bCs/>
          <w:color w:val="2F2F2F"/>
          <w:sz w:val="18"/>
          <w:szCs w:val="18"/>
          <w:lang w:eastAsia="es-MX"/>
        </w:rPr>
        <w:t>Segundo. </w:t>
      </w:r>
      <w:r w:rsidRPr="00C62C35">
        <w:rPr>
          <w:rFonts w:ascii="Arial" w:eastAsia="Times New Roman" w:hAnsi="Arial" w:cs="Arial"/>
          <w:color w:val="2F2F2F"/>
          <w:sz w:val="18"/>
          <w:szCs w:val="18"/>
          <w:lang w:eastAsia="es-MX"/>
        </w:rPr>
        <w:t>Publíquese en el Medio Electrónico Oficial de Difusión Normativa del Tribunal Federal de Justicia Administrativa y en el Diario Oficial de la Federación.</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b/>
          <w:bCs/>
          <w:color w:val="2F2F2F"/>
          <w:sz w:val="18"/>
          <w:szCs w:val="18"/>
          <w:lang w:eastAsia="es-MX"/>
        </w:rPr>
        <w:t>Tercero. </w:t>
      </w:r>
      <w:r w:rsidRPr="00C62C35">
        <w:rPr>
          <w:rFonts w:ascii="Arial" w:eastAsia="Times New Roman" w:hAnsi="Arial" w:cs="Arial"/>
          <w:color w:val="2F2F2F"/>
          <w:sz w:val="18"/>
          <w:szCs w:val="18"/>
          <w:lang w:eastAsia="es-MX"/>
        </w:rPr>
        <w:t>La Secretaría Operativa de Tecnologías de la Información y las Comunicaciones, deberá realizar los ajustes necesarios en los Sistemas informáticos jurisdiccionales del Tribunal, para dar cumplimiento al presente Acuerdo, de forma que las demandas nuevas que se presenten con posterioridad al 12 de julio de 2024, cuya competencia corresponda a la Sala Regional del Pacífico, queden radicadas en dicha Sala.</w:t>
      </w:r>
    </w:p>
    <w:p w:rsidR="00C62C35" w:rsidRPr="00C62C35" w:rsidRDefault="00C62C35" w:rsidP="00C62C35">
      <w:pPr>
        <w:shd w:val="clear" w:color="auto" w:fill="FFFFFF"/>
        <w:spacing w:after="101" w:line="240" w:lineRule="auto"/>
        <w:ind w:firstLine="288"/>
        <w:jc w:val="both"/>
        <w:rPr>
          <w:rFonts w:ascii="Arial" w:eastAsia="Times New Roman" w:hAnsi="Arial" w:cs="Arial"/>
          <w:color w:val="2F2F2F"/>
          <w:sz w:val="18"/>
          <w:szCs w:val="18"/>
          <w:lang w:eastAsia="es-MX"/>
        </w:rPr>
      </w:pPr>
      <w:r w:rsidRPr="00C62C35">
        <w:rPr>
          <w:rFonts w:ascii="Arial" w:eastAsia="Times New Roman" w:hAnsi="Arial" w:cs="Arial"/>
          <w:color w:val="2F2F2F"/>
          <w:sz w:val="18"/>
          <w:szCs w:val="18"/>
          <w:lang w:eastAsia="es-MX"/>
        </w:rPr>
        <w:t>Dictado en sesión ordinaria presencial de fecha 03 de julio de 2024, por unanimidad de tres votos a favor.- Firman el Magistrado</w:t>
      </w:r>
      <w:r w:rsidRPr="00C62C35">
        <w:rPr>
          <w:rFonts w:ascii="Arial" w:eastAsia="Times New Roman" w:hAnsi="Arial" w:cs="Arial"/>
          <w:b/>
          <w:bCs/>
          <w:color w:val="2F2F2F"/>
          <w:sz w:val="18"/>
          <w:szCs w:val="18"/>
          <w:lang w:eastAsia="es-MX"/>
        </w:rPr>
        <w:t xml:space="preserve"> Guillermo Valls </w:t>
      </w:r>
      <w:proofErr w:type="spellStart"/>
      <w:r w:rsidRPr="00C62C35">
        <w:rPr>
          <w:rFonts w:ascii="Arial" w:eastAsia="Times New Roman" w:hAnsi="Arial" w:cs="Arial"/>
          <w:b/>
          <w:bCs/>
          <w:color w:val="2F2F2F"/>
          <w:sz w:val="18"/>
          <w:szCs w:val="18"/>
          <w:lang w:eastAsia="es-MX"/>
        </w:rPr>
        <w:t>Esponda</w:t>
      </w:r>
      <w:proofErr w:type="spellEnd"/>
      <w:r w:rsidRPr="00C62C35">
        <w:rPr>
          <w:rFonts w:ascii="Arial" w:eastAsia="Times New Roman" w:hAnsi="Arial" w:cs="Arial"/>
          <w:color w:val="2F2F2F"/>
          <w:sz w:val="18"/>
          <w:szCs w:val="18"/>
          <w:lang w:eastAsia="es-MX"/>
        </w:rPr>
        <w:t>, Presidente de la Junta de Gobierno y Administración del Tribunal Federal de Justicia Administrativa, y la Licenciada</w:t>
      </w:r>
      <w:r w:rsidRPr="00C62C35">
        <w:rPr>
          <w:rFonts w:ascii="Arial" w:eastAsia="Times New Roman" w:hAnsi="Arial" w:cs="Arial"/>
          <w:b/>
          <w:bCs/>
          <w:color w:val="2F2F2F"/>
          <w:sz w:val="18"/>
          <w:szCs w:val="18"/>
          <w:lang w:eastAsia="es-MX"/>
        </w:rPr>
        <w:t> Abigail Calderón Rojas</w:t>
      </w:r>
      <w:r w:rsidRPr="00C62C35">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los artículos 54, fracción XVI y 61, fracciones II, III y IV, de la Ley Orgánica del Tribunal Federal de Justicia Administrativa; así como los artículos 11, fracción I, 26, fracción IX, 99, fracciones VIII y XI, 138, fracción XII, y 139 del Reglamento Interior del Tribunal Federal de Justicia Administrativa vigente.- Rúbricas.</w:t>
      </w:r>
    </w:p>
    <w:p w:rsidR="007D3378" w:rsidRDefault="007D3378"/>
    <w:sectPr w:rsidR="007D33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35"/>
    <w:rsid w:val="007D3378"/>
    <w:rsid w:val="00C62C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429424">
      <w:bodyDiv w:val="1"/>
      <w:marLeft w:val="0"/>
      <w:marRight w:val="0"/>
      <w:marTop w:val="0"/>
      <w:marBottom w:val="0"/>
      <w:divBdr>
        <w:top w:val="none" w:sz="0" w:space="0" w:color="auto"/>
        <w:left w:val="none" w:sz="0" w:space="0" w:color="auto"/>
        <w:bottom w:val="none" w:sz="0" w:space="0" w:color="auto"/>
        <w:right w:val="none" w:sz="0" w:space="0" w:color="auto"/>
      </w:divBdr>
      <w:divsChild>
        <w:div w:id="1419864931">
          <w:marLeft w:val="0"/>
          <w:marRight w:val="0"/>
          <w:marTop w:val="101"/>
          <w:marBottom w:val="101"/>
          <w:divBdr>
            <w:top w:val="none" w:sz="0" w:space="0" w:color="auto"/>
            <w:left w:val="none" w:sz="0" w:space="0" w:color="auto"/>
            <w:bottom w:val="none" w:sz="0" w:space="0" w:color="auto"/>
            <w:right w:val="none" w:sz="0" w:space="0" w:color="auto"/>
          </w:divBdr>
        </w:div>
        <w:div w:id="1727725826">
          <w:marLeft w:val="0"/>
          <w:marRight w:val="0"/>
          <w:marTop w:val="0"/>
          <w:marBottom w:val="101"/>
          <w:divBdr>
            <w:top w:val="none" w:sz="0" w:space="0" w:color="auto"/>
            <w:left w:val="none" w:sz="0" w:space="0" w:color="auto"/>
            <w:bottom w:val="none" w:sz="0" w:space="0" w:color="auto"/>
            <w:right w:val="none" w:sz="0" w:space="0" w:color="auto"/>
          </w:divBdr>
        </w:div>
        <w:div w:id="971862501">
          <w:marLeft w:val="0"/>
          <w:marRight w:val="0"/>
          <w:marTop w:val="101"/>
          <w:marBottom w:val="101"/>
          <w:divBdr>
            <w:top w:val="none" w:sz="0" w:space="0" w:color="auto"/>
            <w:left w:val="none" w:sz="0" w:space="0" w:color="auto"/>
            <w:bottom w:val="none" w:sz="0" w:space="0" w:color="auto"/>
            <w:right w:val="none" w:sz="0" w:space="0" w:color="auto"/>
          </w:divBdr>
        </w:div>
        <w:div w:id="346446588">
          <w:marLeft w:val="0"/>
          <w:marRight w:val="0"/>
          <w:marTop w:val="0"/>
          <w:marBottom w:val="101"/>
          <w:divBdr>
            <w:top w:val="none" w:sz="0" w:space="0" w:color="auto"/>
            <w:left w:val="none" w:sz="0" w:space="0" w:color="auto"/>
            <w:bottom w:val="none" w:sz="0" w:space="0" w:color="auto"/>
            <w:right w:val="none" w:sz="0" w:space="0" w:color="auto"/>
          </w:divBdr>
        </w:div>
        <w:div w:id="302271315">
          <w:marLeft w:val="0"/>
          <w:marRight w:val="0"/>
          <w:marTop w:val="0"/>
          <w:marBottom w:val="101"/>
          <w:divBdr>
            <w:top w:val="none" w:sz="0" w:space="0" w:color="auto"/>
            <w:left w:val="none" w:sz="0" w:space="0" w:color="auto"/>
            <w:bottom w:val="none" w:sz="0" w:space="0" w:color="auto"/>
            <w:right w:val="none" w:sz="0" w:space="0" w:color="auto"/>
          </w:divBdr>
        </w:div>
        <w:div w:id="1164315801">
          <w:marLeft w:val="0"/>
          <w:marRight w:val="0"/>
          <w:marTop w:val="0"/>
          <w:marBottom w:val="101"/>
          <w:divBdr>
            <w:top w:val="none" w:sz="0" w:space="0" w:color="auto"/>
            <w:left w:val="none" w:sz="0" w:space="0" w:color="auto"/>
            <w:bottom w:val="none" w:sz="0" w:space="0" w:color="auto"/>
            <w:right w:val="none" w:sz="0" w:space="0" w:color="auto"/>
          </w:divBdr>
        </w:div>
        <w:div w:id="1466390576">
          <w:marLeft w:val="0"/>
          <w:marRight w:val="0"/>
          <w:marTop w:val="0"/>
          <w:marBottom w:val="101"/>
          <w:divBdr>
            <w:top w:val="none" w:sz="0" w:space="0" w:color="auto"/>
            <w:left w:val="none" w:sz="0" w:space="0" w:color="auto"/>
            <w:bottom w:val="none" w:sz="0" w:space="0" w:color="auto"/>
            <w:right w:val="none" w:sz="0" w:space="0" w:color="auto"/>
          </w:divBdr>
        </w:div>
        <w:div w:id="1246916158">
          <w:marLeft w:val="0"/>
          <w:marRight w:val="0"/>
          <w:marTop w:val="0"/>
          <w:marBottom w:val="101"/>
          <w:divBdr>
            <w:top w:val="none" w:sz="0" w:space="0" w:color="auto"/>
            <w:left w:val="none" w:sz="0" w:space="0" w:color="auto"/>
            <w:bottom w:val="none" w:sz="0" w:space="0" w:color="auto"/>
            <w:right w:val="none" w:sz="0" w:space="0" w:color="auto"/>
          </w:divBdr>
        </w:div>
        <w:div w:id="1892883268">
          <w:marLeft w:val="0"/>
          <w:marRight w:val="0"/>
          <w:marTop w:val="0"/>
          <w:marBottom w:val="101"/>
          <w:divBdr>
            <w:top w:val="none" w:sz="0" w:space="0" w:color="auto"/>
            <w:left w:val="none" w:sz="0" w:space="0" w:color="auto"/>
            <w:bottom w:val="none" w:sz="0" w:space="0" w:color="auto"/>
            <w:right w:val="none" w:sz="0" w:space="0" w:color="auto"/>
          </w:divBdr>
        </w:div>
        <w:div w:id="26376307">
          <w:marLeft w:val="0"/>
          <w:marRight w:val="0"/>
          <w:marTop w:val="0"/>
          <w:marBottom w:val="101"/>
          <w:divBdr>
            <w:top w:val="none" w:sz="0" w:space="0" w:color="auto"/>
            <w:left w:val="none" w:sz="0" w:space="0" w:color="auto"/>
            <w:bottom w:val="none" w:sz="0" w:space="0" w:color="auto"/>
            <w:right w:val="none" w:sz="0" w:space="0" w:color="auto"/>
          </w:divBdr>
        </w:div>
        <w:div w:id="158352773">
          <w:marLeft w:val="0"/>
          <w:marRight w:val="0"/>
          <w:marTop w:val="0"/>
          <w:marBottom w:val="101"/>
          <w:divBdr>
            <w:top w:val="none" w:sz="0" w:space="0" w:color="auto"/>
            <w:left w:val="none" w:sz="0" w:space="0" w:color="auto"/>
            <w:bottom w:val="none" w:sz="0" w:space="0" w:color="auto"/>
            <w:right w:val="none" w:sz="0" w:space="0" w:color="auto"/>
          </w:divBdr>
        </w:div>
        <w:div w:id="206374229">
          <w:marLeft w:val="0"/>
          <w:marRight w:val="0"/>
          <w:marTop w:val="0"/>
          <w:marBottom w:val="101"/>
          <w:divBdr>
            <w:top w:val="none" w:sz="0" w:space="0" w:color="auto"/>
            <w:left w:val="none" w:sz="0" w:space="0" w:color="auto"/>
            <w:bottom w:val="none" w:sz="0" w:space="0" w:color="auto"/>
            <w:right w:val="none" w:sz="0" w:space="0" w:color="auto"/>
          </w:divBdr>
        </w:div>
        <w:div w:id="270402828">
          <w:marLeft w:val="0"/>
          <w:marRight w:val="0"/>
          <w:marTop w:val="0"/>
          <w:marBottom w:val="101"/>
          <w:divBdr>
            <w:top w:val="none" w:sz="0" w:space="0" w:color="auto"/>
            <w:left w:val="none" w:sz="0" w:space="0" w:color="auto"/>
            <w:bottom w:val="none" w:sz="0" w:space="0" w:color="auto"/>
            <w:right w:val="none" w:sz="0" w:space="0" w:color="auto"/>
          </w:divBdr>
        </w:div>
        <w:div w:id="490104354">
          <w:marLeft w:val="0"/>
          <w:marRight w:val="0"/>
          <w:marTop w:val="101"/>
          <w:marBottom w:val="101"/>
          <w:divBdr>
            <w:top w:val="none" w:sz="0" w:space="0" w:color="auto"/>
            <w:left w:val="none" w:sz="0" w:space="0" w:color="auto"/>
            <w:bottom w:val="none" w:sz="0" w:space="0" w:color="auto"/>
            <w:right w:val="none" w:sz="0" w:space="0" w:color="auto"/>
          </w:divBdr>
        </w:div>
        <w:div w:id="1053963155">
          <w:marLeft w:val="0"/>
          <w:marRight w:val="0"/>
          <w:marTop w:val="0"/>
          <w:marBottom w:val="101"/>
          <w:divBdr>
            <w:top w:val="none" w:sz="0" w:space="0" w:color="auto"/>
            <w:left w:val="none" w:sz="0" w:space="0" w:color="auto"/>
            <w:bottom w:val="none" w:sz="0" w:space="0" w:color="auto"/>
            <w:right w:val="none" w:sz="0" w:space="0" w:color="auto"/>
          </w:divBdr>
        </w:div>
        <w:div w:id="818032818">
          <w:marLeft w:val="0"/>
          <w:marRight w:val="0"/>
          <w:marTop w:val="0"/>
          <w:marBottom w:val="101"/>
          <w:divBdr>
            <w:top w:val="none" w:sz="0" w:space="0" w:color="auto"/>
            <w:left w:val="none" w:sz="0" w:space="0" w:color="auto"/>
            <w:bottom w:val="none" w:sz="0" w:space="0" w:color="auto"/>
            <w:right w:val="none" w:sz="0" w:space="0" w:color="auto"/>
          </w:divBdr>
        </w:div>
        <w:div w:id="782967668">
          <w:marLeft w:val="0"/>
          <w:marRight w:val="0"/>
          <w:marTop w:val="0"/>
          <w:marBottom w:val="101"/>
          <w:divBdr>
            <w:top w:val="none" w:sz="0" w:space="0" w:color="auto"/>
            <w:left w:val="none" w:sz="0" w:space="0" w:color="auto"/>
            <w:bottom w:val="none" w:sz="0" w:space="0" w:color="auto"/>
            <w:right w:val="none" w:sz="0" w:space="0" w:color="auto"/>
          </w:divBdr>
        </w:div>
        <w:div w:id="959800035">
          <w:marLeft w:val="0"/>
          <w:marRight w:val="0"/>
          <w:marTop w:val="101"/>
          <w:marBottom w:val="101"/>
          <w:divBdr>
            <w:top w:val="none" w:sz="0" w:space="0" w:color="auto"/>
            <w:left w:val="none" w:sz="0" w:space="0" w:color="auto"/>
            <w:bottom w:val="none" w:sz="0" w:space="0" w:color="auto"/>
            <w:right w:val="none" w:sz="0" w:space="0" w:color="auto"/>
          </w:divBdr>
        </w:div>
        <w:div w:id="996424693">
          <w:marLeft w:val="0"/>
          <w:marRight w:val="0"/>
          <w:marTop w:val="0"/>
          <w:marBottom w:val="101"/>
          <w:divBdr>
            <w:top w:val="none" w:sz="0" w:space="0" w:color="auto"/>
            <w:left w:val="none" w:sz="0" w:space="0" w:color="auto"/>
            <w:bottom w:val="none" w:sz="0" w:space="0" w:color="auto"/>
            <w:right w:val="none" w:sz="0" w:space="0" w:color="auto"/>
          </w:divBdr>
        </w:div>
        <w:div w:id="833759717">
          <w:marLeft w:val="0"/>
          <w:marRight w:val="0"/>
          <w:marTop w:val="0"/>
          <w:marBottom w:val="101"/>
          <w:divBdr>
            <w:top w:val="none" w:sz="0" w:space="0" w:color="auto"/>
            <w:left w:val="none" w:sz="0" w:space="0" w:color="auto"/>
            <w:bottom w:val="none" w:sz="0" w:space="0" w:color="auto"/>
            <w:right w:val="none" w:sz="0" w:space="0" w:color="auto"/>
          </w:divBdr>
        </w:div>
        <w:div w:id="1297684502">
          <w:marLeft w:val="0"/>
          <w:marRight w:val="0"/>
          <w:marTop w:val="0"/>
          <w:marBottom w:val="101"/>
          <w:divBdr>
            <w:top w:val="none" w:sz="0" w:space="0" w:color="auto"/>
            <w:left w:val="none" w:sz="0" w:space="0" w:color="auto"/>
            <w:bottom w:val="none" w:sz="0" w:space="0" w:color="auto"/>
            <w:right w:val="none" w:sz="0" w:space="0" w:color="auto"/>
          </w:divBdr>
        </w:div>
        <w:div w:id="3592801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1137</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2024-07-12T14:45:00Z</dcterms:created>
  <dcterms:modified xsi:type="dcterms:W3CDTF">2024-07-12T14:46:00Z</dcterms:modified>
</cp:coreProperties>
</file>