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el Instituto para la Protección al Ahorro Bancario prorroga la suspensión de plazos e instrumenta medidas preventivas en contra de la enfermedad por el virus SARS-CoV2 (COVID-19) y se establecen las medidas administrativas para garantizar la continuidad de las actividades del Instituto para la Protección al Ahorro Bancario, durante la contingencia sanitaria provocada por el COVID-19</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agosto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Instituto para la Protección al Ahorro Bancario.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GABRIEL ÁNGEL LIMÓN GONZÁLEZ, Secretario Ejecutivo del INSTITUTO PARA LA PROTECCIÓN AL AHORRO BANCARIO, con fundamento en lo establecido en los artículos 1, 2, 80, fracciones XXVI y XXVII, 84, 85 y 90 de la Ley de Protección al Ahorro Bancario; 4 y 28 de la Ley Federal de Procedimiento Administrativo; 6, 7, 8, 13, 21, 37, 38, 39, 40, 42, 43, 44, 45, 46 y 47 del Reglamento del Instituto para la Protección al Ahorro Bancario en Materia de Requerimientos de Información, Visitas de Inspección e Imposición de Sanciones; 1, 2, 7, 8, fracciones I, apartado D y II, apartado B, 20, fracciones I, II, III y XVI, 24, fracción XII y 32 del Estatuto Orgánico del Instituto para la Protección al Ahorro Bancario; 107 Bis, 109 Bis, 109 Bis 8 y 110 Bis 2 de la Ley de Instituciones de Crédito de aplicación supletoria a la Ley de Protección al Ahorro Bancario de conformidad con el artículo 92 de dicho ordenamiento legal; Artículo Segundo, inciso c) del Acuerdo por el que se establecen las medidas preventivas que se deberán implementar para la mitigación y control de los riesgos para la salud que implica la enfermedad por el virus SARS-CoV2 (COVID-19), publicado en el Diario Oficial de la Federación el 24 de marzo de 2020; Acuerdo por el que se declara como emergencia sanitaria por causa de fuerza mayor, a la epidemia de enfermedad generada por el virus SARS-CoV2 (COVID-19), publicado en el Diario Oficial de la Federación el 30 de marzo de 2020; Acuerdo por el que se establecen acciones extraordinarias para atender la emergencia sanitaria generada por el virus SARS-CoV2, publicado en el Diario Oficial de la Federación el 31 de marzo de 2020; Acuerdo por el que se establecen los Lineamientos para el intercambio de información oficial a través de correo electrónico institucional como medida complementaria de las acciones para el combate de la enfermedad generada por el virus SARS-CoV2 (COVID-19), publicado en el Diario Oficial de la Federación el 17 de abril de 2020; Acuerdo por el que se modifica el similar por el que se establecen acciones extraordinarias para atender la emergencia sanitaria generada por el virus SARS-CoV2, publicado el 31 de marzo de 2020, publicado en el Diario Oficial de la Federación el 21 de abril de 2020;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publicado en el Diario Oficial de la Federación el 14 de mayo de 2020; Acuerdo por el que se establecen los criterios aplicables para la administración de los recursos humanos en las dependencias y entidades de la Administración Pública Federal para mitigar la propagación del coronavirus COVID-19 publicado en el Diario Oficial de la Federación el 31 de julio de 2020; Acuerdo por el que el Instituto para la Protección al Ahorro Bancario suspende plazos e instrumenta medidas preventivas en contra de la enfermedad por el virus SARS-CoV2 (COVID-19), publicado en el Diario Oficial de la Federación el 02 de abril de 2020; Acuerdo por el que el Instituto para la Protección al Ahorro Bancario prorroga el diverso por el que suspende plazos e instrumenta medidas preventivas en contra de la enfermedad por el virus SARS-CoV2 (COVID-19), publicado en el Diario Oficial de la Federación el 17 de abril de 2020; Acuerdo por el que el Instituto para la Protección al Ahorro Bancario prorroga el diverso por el que suspende plazos e instrumenta medidas preventivas en contra de la enfermedad por el virus SARS-Cov2 (Covid-19), publicado en el Diario Oficial de la Federación el 07 de mayo de 2020; el Acuerdo por el que el Instituto para la Protección al Ahorro Bancario prorroga la suspensión de plazos e instrumenta medidas preventivas en contra de la enfermedad por el Virus SARS-Cov2 (Covid-19), publicado en el Diario Oficial de la Federación el 15 de junio de 2020, y el Acuerdo por el que el Instituto para la Protección al Ahorro Bancario prorroga la suspensión de plazos e instrumenta medidas preventivas en contra de la enfermedad por el virus SARS-CoV2 (COVID-19), publicado en el Diario Oficial de la Federación el 16 de julio de 2020.</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24 de marzo de 2020, se publicaron dos acuerdos en el Diario Oficial de la Federación (DOF), el primero emitido por el C. Presidente Constitucional de los Estados Unidos Mexicanos, por medio del cual sanciona al segundo, éste último emitido por el Secretario de Salud del Gobierno de México denominado "Acuerdo por el que se establecen las medidas preventivas que se deberán implementar para la mitigación y control de los riesgos para la salud que implica la enfermedad por el virus SARS-CoV2 (COVID-19)" (el Acuerdo), considerado como una "Acción Extraordinaria" de conformidad con la Ley General de Salud y demás disposiciones legales aplicables en la materia.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Artículo Segundo, inciso c), primer, segundo y tercer párrafo del Acuerdo, el Instituto para la Protección al Ahorro Bancario (Instituto o IPAB) suspendió temporalmente las actividades relacionadas con</w:t>
      </w:r>
    </w:p>
    <w:p w:rsidR="00000000" w:rsidDel="00000000" w:rsidP="00000000" w:rsidRDefault="00000000" w:rsidRPr="00000000" w14:paraId="0000000A">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concentración física, tránsito o desplazamiento de personas, garantizando en todo momento las funciones esenciales en cumplimiento de sus atribuciones y en términos de la Ley de Instituciones de Crédito, la Ley de Protección al Ahorro Bancario y demás normatividad aplicable, debiendo coordinarse con la Secretaría de Salud del Gobierno de México para la implementación de las medidas correspondientes.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emitió el "Acuerdo por el que se declara como emergencia sanitaria por causa de fuerza mayor, a la epidemia de enfermedad generada por el virus SARS-CoV2 (COVID-19)", publicado en el DOF en esa fecha, por el cual la Secretaría de Salud del Gobierno de México determinó las acciones necesarias para atender dicha emergencia.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esa misma fecha, la Junta de Gobierno del Instituto para la Protección al Ahorro Bancario (Junta de Gobierno) celebró la Sesión Extraordinaria número 88, en la que aprobó el "Acuerdo por el que el Instituto para la Protección al Ahorro Bancario suspende plazos e instrumenta medidas preventivas en contra de la enfermedad por el virus SARS-CoV2 (COVID-19)", publicado en el DOF el 02 de abril de 2020, por el cual se ordenó la suspensión de los plazos por el periodo comprendido entre el 30 de marzo de 2020 y 17 de abril del mismo año inclusive, respecto de los recursos administrativos de revisión y de los procedimientos administrativos de sanción que se encuentren en curso ante el Instituto.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dicha Junta de Gobierno autorizó</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al Secretario Ejecutivo a implementar las medidas posteriores ordenadas por el Secretario de Salud del Gobierno de México para la mitigación y control de los riesgos para la salud que implica la enfermedad por el virus COVID-19, inclusive aquellas relacionadas con la ampliación del plazo de suspensión de las actividades que involucren la concentración física, tránsito o desplazamiento de personas.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la Secretaría de Salud del Gobierno de México emitió el "Acuerdo por el que se establecen acciones extraordinarias para atender la emergencia sanitaria generada por el virus SARS-CoV2", publicado en el DOF en esa fecha, por el cual se determinó que los sectores público, social y privado deberán implementar diversas acciones encaminadas a mitigar la dispersión y transmisión del virus COVID-19 en la comunidad, asimismo, ordenó la suspensión inmediata de las actividades no esenciales del 30 de marzo al 30 de abril de 2020, entre otras.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17 de abril de 2020, la Secretaría de la Función Pública emitió el "Acuerdo por el que se establecen los Lineamientos para el intercambio de información oficial a través de correo electrónico institucional como medida complementaria de las acciones para el combate de la enfermedad generada por el virus SARS-CoV2 (COVID-19)" publicado en el DOF en esa fecha, el cual establece los lineamientos para el intercambio de información oficial a través de correo electrónico institucional como medida complementaria de las acciones para el combate de la enfermedad generada por el virus COVID-19.</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21 de abril de 2020, la Secretaría de Salud del Gobierno de México emitió el "Acuerdo por el que se modifica el similar por el que se establecen acciones extraordinarias para atender la emergencia sanitaria generada por el virus SARS-CoV2, publicado el 31 de marzo de 2020", publicado en el DOF en esa fecha, el cual modifica el plazo de suspensión de las funciones no esenciales del 30 de marzo al 30 de mayo de 2020.</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del Gobierno de México emitió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(Acuerdo de Reapertura), publicado en el DOF en esa fecha. El Artículo Segundo del Acuerdo de Reapertura establece que la reapertura de actividades será de manera gradual, ordenada y cauta, considerando las siguientes etapas:</w:t>
      </w:r>
    </w:p>
    <w:p w:rsidR="00000000" w:rsidDel="00000000" w:rsidP="00000000" w:rsidRDefault="00000000" w:rsidRPr="00000000" w14:paraId="00000012">
      <w:pPr>
        <w:shd w:fill="ffffff" w:val="clear"/>
        <w:spacing w:after="10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Etapa 1.-</w:t>
      </w:r>
      <w:r w:rsidDel="00000000" w:rsidR="00000000" w:rsidRPr="00000000">
        <w:rPr>
          <w:rFonts w:ascii="Verdana" w:cs="Verdana" w:eastAsia="Verdana" w:hAnsi="Verdana"/>
          <w:color w:val="2f2f2f"/>
          <w:sz w:val="20"/>
          <w:szCs w:val="20"/>
          <w:rtl w:val="0"/>
        </w:rPr>
        <w:t xml:space="preserve"> Inicia el 18 de mayo de 2020, con la reapertura de las actividades en los municipios en que no se hubieran presentado casos de COVID-19 y que, además, no tengan vecindad con municipios con casos de COVID-19;</w:t>
      </w:r>
    </w:p>
    <w:p w:rsidR="00000000" w:rsidDel="00000000" w:rsidP="00000000" w:rsidRDefault="00000000" w:rsidRPr="00000000" w14:paraId="00000013">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Etapa 2.-</w:t>
      </w:r>
      <w:r w:rsidDel="00000000" w:rsidR="00000000" w:rsidRPr="00000000">
        <w:rPr>
          <w:rFonts w:ascii="Verdana" w:cs="Verdana" w:eastAsia="Verdana" w:hAnsi="Verdana"/>
          <w:color w:val="2f2f2f"/>
          <w:sz w:val="20"/>
          <w:szCs w:val="20"/>
          <w:rtl w:val="0"/>
        </w:rPr>
        <w:t xml:space="preserve"> Abarca del 18 al 31 de mayo de 2020, y consiste en llevar a cabo acciones de</w:t>
      </w:r>
    </w:p>
    <w:p w:rsidR="00000000" w:rsidDel="00000000" w:rsidP="00000000" w:rsidRDefault="00000000" w:rsidRPr="00000000" w14:paraId="00000014">
      <w:pPr>
        <w:shd w:fill="ffffff" w:val="clear"/>
        <w:spacing w:after="80" w:lineRule="auto"/>
        <w:ind w:left="108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aplicación general tendientes a la preparación para la reapertura de las actividades en general, como son: la elaboración de protocolos sanitarios para el reinicio seguro de actividades, capacitación de personal para seguridad en el ambiente laboral, readecuación de espacios y procesos productivos, así como la implementación de filtros de ingreso, sanitización e higiene del espacio laboral, entre otras que determine la Secretaría de Salud, conforme al Artículo Cuarto, segundo párrafo del Acuerdo de Reapertura, y</w:t>
      </w:r>
    </w:p>
    <w:p w:rsidR="00000000" w:rsidDel="00000000" w:rsidP="00000000" w:rsidRDefault="00000000" w:rsidRPr="00000000" w14:paraId="00000015">
      <w:pPr>
        <w:shd w:fill="ffffff" w:val="clear"/>
        <w:spacing w:after="80" w:lineRule="auto"/>
        <w:ind w:left="144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Etapa 3.-</w:t>
      </w:r>
      <w:r w:rsidDel="00000000" w:rsidR="00000000" w:rsidRPr="00000000">
        <w:rPr>
          <w:rFonts w:ascii="Verdana" w:cs="Verdana" w:eastAsia="Verdana" w:hAnsi="Verdana"/>
          <w:color w:val="2f2f2f"/>
          <w:sz w:val="20"/>
          <w:szCs w:val="20"/>
          <w:rtl w:val="0"/>
        </w:rPr>
        <w:t xml:space="preserve"> Inicia el 01 de junio de 2020, conforme al sistema de semáforo por regiones para la reapertura de actividades sociales, educativas y económicas.</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Acuerdo de Reapertura establece un sistema de semáforo, consistente en:</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w:t>
      </w:r>
    </w:p>
    <w:p w:rsidR="00000000" w:rsidDel="00000000" w:rsidP="00000000" w:rsidRDefault="00000000" w:rsidRPr="00000000" w14:paraId="00000018">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SEMÁFORO POR REGIONES</w:t>
      </w:r>
    </w:p>
    <w:p w:rsidR="00000000" w:rsidDel="00000000" w:rsidP="00000000" w:rsidRDefault="00000000" w:rsidRPr="00000000" w14:paraId="00000019">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Actividades permitidas a partir del 01 de junio de 2020</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2610"/>
        <w:gridCol w:w="5085"/>
        <w:tblGridChange w:id="0">
          <w:tblGrid>
            <w:gridCol w:w="1095"/>
            <w:gridCol w:w="2610"/>
            <w:gridCol w:w="508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A">
            <w:pPr>
              <w:spacing w:after="8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Región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B">
            <w:pPr>
              <w:spacing w:after="8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Actividad</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C">
            <w:pPr>
              <w:spacing w:after="8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 de las actividades</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ff0000" w:val="clear"/>
            <w:tcMar>
              <w:top w:w="100.0" w:type="dxa"/>
              <w:left w:w="80.0" w:type="dxa"/>
              <w:bottom w:w="100.0" w:type="dxa"/>
              <w:right w:w="80.0" w:type="dxa"/>
            </w:tcMar>
            <w:vAlign w:val="center"/>
          </w:tcPr>
          <w:p w:rsidR="00000000" w:rsidDel="00000000" w:rsidP="00000000" w:rsidRDefault="00000000" w:rsidRPr="00000000" w14:paraId="0000001D">
            <w:pPr>
              <w:spacing w:after="80" w:lineRule="auto"/>
              <w:ind w:left="80" w:firstLine="0"/>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Rojo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Escuelas</w:t>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80.0" w:type="dxa"/>
              <w:bottom w:w="100.0" w:type="dxa"/>
              <w:right w:w="80.0" w:type="dxa"/>
            </w:tcMar>
            <w:vAlign w:val="center"/>
          </w:tcPr>
          <w:p w:rsidR="00000000" w:rsidDel="00000000" w:rsidP="00000000" w:rsidRDefault="00000000" w:rsidRPr="00000000" w14:paraId="0000001F">
            <w:pPr>
              <w:spacing w:after="80" w:lineRule="auto"/>
              <w:ind w:left="8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Suspendidas</w:t>
            </w:r>
          </w:p>
        </w:tc>
      </w:tr>
      <w:tr>
        <w:trPr>
          <w:trHeight w:val="5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1">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Espacio público</w:t>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80.0" w:type="dxa"/>
              <w:bottom w:w="100.0" w:type="dxa"/>
              <w:right w:w="80.0" w:type="dxa"/>
            </w:tcMar>
            <w:vAlign w:val="center"/>
          </w:tcPr>
          <w:p w:rsidR="00000000" w:rsidDel="00000000" w:rsidP="00000000" w:rsidRDefault="00000000" w:rsidRPr="00000000" w14:paraId="00000022">
            <w:pPr>
              <w:spacing w:after="80" w:lineRule="auto"/>
              <w:ind w:left="8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Suspendidas</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4">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económicas</w:t>
            </w:r>
          </w:p>
          <w:p w:rsidR="00000000" w:rsidDel="00000000" w:rsidP="00000000" w:rsidRDefault="00000000" w:rsidRPr="00000000" w14:paraId="00000025">
            <w:pPr>
              <w:spacing w:after="8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SOLO ESENCIALES</w:t>
            </w:r>
          </w:p>
        </w:tc>
        <w:tc>
          <w:tcPr>
            <w:tcBorders>
              <w:top w:color="000000" w:space="0" w:sz="6" w:val="single"/>
              <w:left w:color="000000" w:space="0" w:sz="6" w:val="single"/>
              <w:bottom w:color="000000" w:space="0" w:sz="6" w:val="single"/>
              <w:right w:color="000000" w:space="0" w:sz="6" w:val="single"/>
            </w:tcBorders>
            <w:shd w:fill="ff0000" w:val="clear"/>
            <w:tcMar>
              <w:top w:w="100.0" w:type="dxa"/>
              <w:left w:w="80.0" w:type="dxa"/>
              <w:bottom w:w="100.0" w:type="dxa"/>
              <w:right w:w="80.0" w:type="dxa"/>
            </w:tcMar>
            <w:vAlign w:val="center"/>
          </w:tcPr>
          <w:p w:rsidR="00000000" w:rsidDel="00000000" w:rsidP="00000000" w:rsidRDefault="00000000" w:rsidRPr="00000000" w14:paraId="00000026">
            <w:pPr>
              <w:spacing w:after="80" w:lineRule="auto"/>
              <w:ind w:left="8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Solo las actividades laborales</w:t>
            </w:r>
          </w:p>
          <w:p w:rsidR="00000000" w:rsidDel="00000000" w:rsidP="00000000" w:rsidRDefault="00000000" w:rsidRPr="00000000" w14:paraId="00000027">
            <w:pPr>
              <w:spacing w:after="80" w:lineRule="auto"/>
              <w:ind w:left="8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consideradas esenciales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ff6600" w:val="clear"/>
            <w:tcMar>
              <w:top w:w="100.0" w:type="dxa"/>
              <w:left w:w="80.0" w:type="dxa"/>
              <w:bottom w:w="100.0" w:type="dxa"/>
              <w:right w:w="80.0" w:type="dxa"/>
            </w:tcMar>
            <w:vAlign w:val="center"/>
          </w:tcPr>
          <w:p w:rsidR="00000000" w:rsidDel="00000000" w:rsidP="00000000" w:rsidRDefault="00000000" w:rsidRPr="00000000" w14:paraId="00000028">
            <w:pPr>
              <w:spacing w:after="8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Naranja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Escuelas</w:t>
            </w:r>
          </w:p>
        </w:tc>
        <w:tc>
          <w:tcPr>
            <w:tcBorders>
              <w:top w:color="000000" w:space="0" w:sz="6" w:val="single"/>
              <w:left w:color="000000" w:space="0" w:sz="6" w:val="single"/>
              <w:bottom w:color="000000" w:space="0" w:sz="6" w:val="single"/>
              <w:right w:color="000000" w:space="0" w:sz="6" w:val="single"/>
            </w:tcBorders>
            <w:shd w:fill="ff6600" w:val="clear"/>
            <w:tcMar>
              <w:top w:w="100.0" w:type="dxa"/>
              <w:left w:w="80.0" w:type="dxa"/>
              <w:bottom w:w="100.0" w:type="dxa"/>
              <w:right w:w="80.0" w:type="dxa"/>
            </w:tcMar>
            <w:vAlign w:val="center"/>
          </w:tcPr>
          <w:p w:rsidR="00000000" w:rsidDel="00000000" w:rsidP="00000000" w:rsidRDefault="00000000" w:rsidRPr="00000000" w14:paraId="0000002A">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Suspendidas</w:t>
            </w:r>
          </w:p>
        </w:tc>
      </w:tr>
      <w:tr>
        <w:trPr>
          <w:trHeight w:val="74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C">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Espacio público</w:t>
            </w:r>
          </w:p>
        </w:tc>
        <w:tc>
          <w:tcPr>
            <w:tcBorders>
              <w:top w:color="000000" w:space="0" w:sz="6" w:val="single"/>
              <w:left w:color="000000" w:space="0" w:sz="6" w:val="single"/>
              <w:bottom w:color="000000" w:space="0" w:sz="6" w:val="single"/>
              <w:right w:color="000000" w:space="0" w:sz="6" w:val="single"/>
            </w:tcBorders>
            <w:shd w:fill="ff6600" w:val="clear"/>
            <w:tcMar>
              <w:top w:w="100.0" w:type="dxa"/>
              <w:left w:w="80.0" w:type="dxa"/>
              <w:bottom w:w="100.0" w:type="dxa"/>
              <w:right w:w="80.0" w:type="dxa"/>
            </w:tcMar>
            <w:vAlign w:val="center"/>
          </w:tcPr>
          <w:p w:rsidR="00000000" w:rsidDel="00000000" w:rsidP="00000000" w:rsidRDefault="00000000" w:rsidRPr="00000000" w14:paraId="0000002D">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Aforo reducido en las actividades del espacio público en</w:t>
            </w:r>
          </w:p>
          <w:p w:rsidR="00000000" w:rsidDel="00000000" w:rsidP="00000000" w:rsidRDefault="00000000" w:rsidRPr="00000000" w14:paraId="0000002E">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lugares abiertos. En lugares cerrados suspendidas</w:t>
            </w:r>
          </w:p>
        </w:tc>
      </w:tr>
      <w:tr>
        <w:trPr>
          <w:trHeight w:val="8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0">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económicas</w:t>
            </w:r>
          </w:p>
          <w:p w:rsidR="00000000" w:rsidDel="00000000" w:rsidP="00000000" w:rsidRDefault="00000000" w:rsidRPr="00000000" w14:paraId="00000031">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Generales</w:t>
            </w:r>
          </w:p>
        </w:tc>
        <w:tc>
          <w:tcPr>
            <w:tcBorders>
              <w:top w:color="000000" w:space="0" w:sz="6" w:val="single"/>
              <w:left w:color="000000" w:space="0" w:sz="6" w:val="single"/>
              <w:bottom w:color="000000" w:space="0" w:sz="6" w:val="single"/>
              <w:right w:color="000000" w:space="0" w:sz="6" w:val="single"/>
            </w:tcBorders>
            <w:shd w:fill="ff6600" w:val="clear"/>
            <w:tcMar>
              <w:top w:w="100.0" w:type="dxa"/>
              <w:left w:w="80.0" w:type="dxa"/>
              <w:bottom w:w="100.0" w:type="dxa"/>
              <w:right w:w="80.0" w:type="dxa"/>
            </w:tcMar>
            <w:vAlign w:val="center"/>
          </w:tcPr>
          <w:p w:rsidR="00000000" w:rsidDel="00000000" w:rsidP="00000000" w:rsidRDefault="00000000" w:rsidRPr="00000000" w14:paraId="00000032">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laborales consideradas esenciales y las</w:t>
            </w:r>
          </w:p>
          <w:p w:rsidR="00000000" w:rsidDel="00000000" w:rsidP="00000000" w:rsidRDefault="00000000" w:rsidRPr="00000000" w14:paraId="00000033">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no esenciales con una operación reducida</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ffff00" w:val="clear"/>
            <w:tcMar>
              <w:top w:w="100.0" w:type="dxa"/>
              <w:left w:w="80.0" w:type="dxa"/>
              <w:bottom w:w="100.0" w:type="dxa"/>
              <w:right w:w="80.0" w:type="dxa"/>
            </w:tcMar>
            <w:vAlign w:val="center"/>
          </w:tcPr>
          <w:p w:rsidR="00000000" w:rsidDel="00000000" w:rsidP="00000000" w:rsidRDefault="00000000" w:rsidRPr="00000000" w14:paraId="00000034">
            <w:pPr>
              <w:spacing w:after="8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Amarillo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Escuelas</w:t>
            </w:r>
          </w:p>
        </w:tc>
        <w:tc>
          <w:tcPr>
            <w:tcBorders>
              <w:top w:color="000000" w:space="0" w:sz="6" w:val="single"/>
              <w:left w:color="000000" w:space="0" w:sz="6" w:val="single"/>
              <w:bottom w:color="000000" w:space="0" w:sz="6" w:val="single"/>
              <w:right w:color="000000" w:space="0" w:sz="6" w:val="single"/>
            </w:tcBorders>
            <w:shd w:fill="ffff00" w:val="clear"/>
            <w:tcMar>
              <w:top w:w="100.0" w:type="dxa"/>
              <w:left w:w="80.0" w:type="dxa"/>
              <w:bottom w:w="100.0" w:type="dxa"/>
              <w:right w:w="80.0" w:type="dxa"/>
            </w:tcMar>
            <w:vAlign w:val="center"/>
          </w:tcPr>
          <w:p w:rsidR="00000000" w:rsidDel="00000000" w:rsidP="00000000" w:rsidRDefault="00000000" w:rsidRPr="00000000" w14:paraId="00000036">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Suspendidas</w:t>
            </w:r>
          </w:p>
        </w:tc>
      </w:tr>
      <w:tr>
        <w:trPr>
          <w:trHeight w:val="74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Espacio público</w:t>
            </w:r>
          </w:p>
        </w:tc>
        <w:tc>
          <w:tcPr>
            <w:tcBorders>
              <w:top w:color="000000" w:space="0" w:sz="6" w:val="single"/>
              <w:left w:color="000000" w:space="0" w:sz="6" w:val="single"/>
              <w:bottom w:color="000000" w:space="0" w:sz="6" w:val="single"/>
              <w:right w:color="000000" w:space="0" w:sz="6" w:val="single"/>
            </w:tcBorders>
            <w:shd w:fill="ffff00" w:val="clear"/>
            <w:tcMar>
              <w:top w:w="100.0" w:type="dxa"/>
              <w:left w:w="80.0" w:type="dxa"/>
              <w:bottom w:w="100.0" w:type="dxa"/>
              <w:right w:w="80.0" w:type="dxa"/>
            </w:tcMar>
            <w:vAlign w:val="center"/>
          </w:tcPr>
          <w:p w:rsidR="00000000" w:rsidDel="00000000" w:rsidP="00000000" w:rsidRDefault="00000000" w:rsidRPr="00000000" w14:paraId="00000039">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Aforo permitido en las actividades del espacio público en</w:t>
            </w:r>
          </w:p>
          <w:p w:rsidR="00000000" w:rsidDel="00000000" w:rsidP="00000000" w:rsidRDefault="00000000" w:rsidRPr="00000000" w14:paraId="0000003A">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lugares abiertos y en lugares cerrados con restricciones</w:t>
            </w:r>
          </w:p>
        </w:tc>
      </w:tr>
      <w:tr>
        <w:trPr>
          <w:trHeight w:val="81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económicas</w:t>
            </w:r>
          </w:p>
          <w:p w:rsidR="00000000" w:rsidDel="00000000" w:rsidP="00000000" w:rsidRDefault="00000000" w:rsidRPr="00000000" w14:paraId="0000003D">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generales</w:t>
            </w:r>
          </w:p>
        </w:tc>
        <w:tc>
          <w:tcPr>
            <w:tcBorders>
              <w:top w:color="000000" w:space="0" w:sz="6" w:val="single"/>
              <w:left w:color="000000" w:space="0" w:sz="6" w:val="single"/>
              <w:bottom w:color="000000" w:space="0" w:sz="6" w:val="single"/>
              <w:right w:color="000000" w:space="0" w:sz="6" w:val="single"/>
            </w:tcBorders>
            <w:shd w:fill="ffff00" w:val="clear"/>
            <w:tcMar>
              <w:top w:w="100.0" w:type="dxa"/>
              <w:left w:w="80.0" w:type="dxa"/>
              <w:bottom w:w="100.0" w:type="dxa"/>
              <w:right w:w="80.0" w:type="dxa"/>
            </w:tcMar>
            <w:vAlign w:val="center"/>
          </w:tcPr>
          <w:p w:rsidR="00000000" w:rsidDel="00000000" w:rsidP="00000000" w:rsidRDefault="00000000" w:rsidRPr="00000000" w14:paraId="0000003E">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Todas las actividades laborales</w:t>
            </w:r>
          </w:p>
        </w:tc>
      </w:tr>
      <w:tr>
        <w:trPr>
          <w:trHeight w:val="515" w:hRule="atLeast"/>
        </w:trPr>
        <w:tc>
          <w:tcPr>
            <w:vMerge w:val="restart"/>
            <w:tcBorders>
              <w:top w:color="000000" w:space="0" w:sz="6" w:val="single"/>
              <w:left w:color="000000" w:space="0" w:sz="6" w:val="single"/>
              <w:bottom w:color="000000" w:space="0" w:sz="6" w:val="single"/>
              <w:right w:color="000000" w:space="0" w:sz="6" w:val="single"/>
            </w:tcBorders>
            <w:shd w:fill="70ad47" w:val="clear"/>
            <w:tcMar>
              <w:top w:w="100.0" w:type="dxa"/>
              <w:left w:w="80.0" w:type="dxa"/>
              <w:bottom w:w="100.0" w:type="dxa"/>
              <w:right w:w="80.0" w:type="dxa"/>
            </w:tcMar>
            <w:vAlign w:val="center"/>
          </w:tcPr>
          <w:p w:rsidR="00000000" w:rsidDel="00000000" w:rsidP="00000000" w:rsidRDefault="00000000" w:rsidRPr="00000000" w14:paraId="0000003F">
            <w:pPr>
              <w:spacing w:after="80" w:lineRule="auto"/>
              <w:ind w:left="80" w:firstLine="0"/>
              <w:jc w:val="center"/>
              <w:rPr>
                <w:rFonts w:ascii="Verdana" w:cs="Verdana" w:eastAsia="Verdana" w:hAnsi="Verdana"/>
                <w:b w:val="1"/>
                <w:color w:val="ffffff"/>
                <w:sz w:val="20"/>
                <w:szCs w:val="20"/>
              </w:rPr>
            </w:pPr>
            <w:r w:rsidDel="00000000" w:rsidR="00000000" w:rsidRPr="00000000">
              <w:rPr>
                <w:rFonts w:ascii="Verdana" w:cs="Verdana" w:eastAsia="Verdana" w:hAnsi="Verdana"/>
                <w:b w:val="1"/>
                <w:color w:val="ffffff"/>
                <w:sz w:val="20"/>
                <w:szCs w:val="20"/>
                <w:rtl w:val="0"/>
              </w:rPr>
              <w:t xml:space="preserve">Verde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Escuelas</w:t>
            </w:r>
          </w:p>
        </w:tc>
        <w:tc>
          <w:tcPr>
            <w:vMerge w:val="restart"/>
            <w:tcBorders>
              <w:top w:color="000000" w:space="0" w:sz="6" w:val="single"/>
              <w:left w:color="000000" w:space="0" w:sz="6" w:val="single"/>
              <w:bottom w:color="000000" w:space="0" w:sz="6" w:val="single"/>
              <w:right w:color="000000" w:space="0" w:sz="6" w:val="single"/>
            </w:tcBorders>
            <w:shd w:fill="70ad47" w:val="clear"/>
            <w:tcMar>
              <w:top w:w="100.0" w:type="dxa"/>
              <w:left w:w="80.0" w:type="dxa"/>
              <w:bottom w:w="100.0" w:type="dxa"/>
              <w:right w:w="80.0" w:type="dxa"/>
            </w:tcMar>
            <w:vAlign w:val="center"/>
          </w:tcPr>
          <w:p w:rsidR="00000000" w:rsidDel="00000000" w:rsidP="00000000" w:rsidRDefault="00000000" w:rsidRPr="00000000" w14:paraId="00000041">
            <w:pPr>
              <w:spacing w:after="80" w:lineRule="auto"/>
              <w:ind w:left="80" w:firstLine="0"/>
              <w:jc w:val="center"/>
              <w:rPr>
                <w:rFonts w:ascii="Verdana" w:cs="Verdana" w:eastAsia="Verdana" w:hAnsi="Verdana"/>
                <w:color w:val="ffffff"/>
                <w:sz w:val="20"/>
                <w:szCs w:val="20"/>
              </w:rPr>
            </w:pPr>
            <w:r w:rsidDel="00000000" w:rsidR="00000000" w:rsidRPr="00000000">
              <w:rPr>
                <w:rFonts w:ascii="Verdana" w:cs="Verdana" w:eastAsia="Verdana" w:hAnsi="Verdana"/>
                <w:color w:val="ffffff"/>
                <w:sz w:val="20"/>
                <w:szCs w:val="20"/>
                <w:rtl w:val="0"/>
              </w:rPr>
              <w:t xml:space="preserve">Sin restricciones</w:t>
            </w:r>
          </w:p>
        </w:tc>
      </w:tr>
      <w:tr>
        <w:trPr>
          <w:trHeight w:val="51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Espacio público</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80" w:firstLine="0"/>
              <w:jc w:val="both"/>
              <w:rPr>
                <w:rFonts w:ascii="Verdana" w:cs="Verdana" w:eastAsia="Verdana" w:hAnsi="Verdana"/>
                <w:color w:val="2f2f2f"/>
                <w:sz w:val="20"/>
                <w:szCs w:val="20"/>
              </w:rPr>
            </w:pPr>
            <w:r w:rsidDel="00000000" w:rsidR="00000000" w:rsidRPr="00000000">
              <w:rPr>
                <w:rtl w:val="0"/>
              </w:rPr>
            </w:r>
          </w:p>
        </w:tc>
      </w:tr>
      <w:tr>
        <w:trPr>
          <w:trHeight w:val="8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Actividades económicas</w:t>
            </w:r>
          </w:p>
          <w:p w:rsidR="00000000" w:rsidDel="00000000" w:rsidP="00000000" w:rsidRDefault="00000000" w:rsidRPr="00000000" w14:paraId="00000047">
            <w:pPr>
              <w:spacing w:after="8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generales</w:t>
            </w:r>
          </w:p>
        </w:tc>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ind w:left="80" w:firstLine="0"/>
              <w:jc w:val="both"/>
              <w:rPr>
                <w:rFonts w:ascii="Verdana" w:cs="Verdana" w:eastAsia="Verdana" w:hAnsi="Verdana"/>
                <w:color w:val="2f2f2f"/>
                <w:sz w:val="20"/>
                <w:szCs w:val="20"/>
              </w:rPr>
            </w:pPr>
            <w:r w:rsidDel="00000000" w:rsidR="00000000" w:rsidRPr="00000000">
              <w:rPr>
                <w:rtl w:val="0"/>
              </w:rPr>
            </w:r>
          </w:p>
        </w:tc>
      </w:tr>
    </w:tbl>
    <w:p w:rsidR="00000000" w:rsidDel="00000000" w:rsidP="00000000" w:rsidRDefault="00000000" w:rsidRPr="00000000" w14:paraId="0000004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 semáforo evalúa el riesgo epidemiológico relacionado con la reapertura de actividades en la Ciudad de México, a la fecha se encuentra en naranja, por lo tanto, conforme al numeral Tercero del "Acuerdo por el que el Instituto para la Protección al Ahorro Bancario suspende plazos e instrumenta medidas preventivas en contra de la enfermedad por el virus SARS-CoV2 (COVID-19)", publicado en el DOF el 02 de abril de 2020, la Junta de Gobierno autorizó</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al Secretario Ejecutivo a implementar las medidas posteriores ordenadas por el Secretario de Salud del Gobierno de México para la mitigación y control de los riesgos para la salud que implica la enfermedad por el virus COVID-19, inclusive aquellas relacionadas con la ampliación del plazo de suspensión de las actividades que involucren la concentración física, tránsito o desplazamiento de personas.</w:t>
      </w:r>
    </w:p>
    <w:p w:rsidR="00000000" w:rsidDel="00000000" w:rsidP="00000000" w:rsidRDefault="00000000" w:rsidRPr="00000000" w14:paraId="0000004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01 de julio de 2020, el Instituto emitió el "Acuerdo por el que el Instituto para la Protección al Ahorro Bancario prorroga la suspensión de plazos e instrumenta medidas preventivas en contra de la enfermedad por el virus SARS-CoV2 (COVID-19)", publicado en el DOF el 16 de julio de 2020, por el cual se prorrogó hasta el 31 de julio de 2020 la suspensión de los plazos e instrumentación de medidas preventivas en contra de la enfermedad por el virus COVID-19, respecto de los recursos administrativos de revisión y los procedimientos administrativos de sanción que se encuentren en curso ante el Instituto para la Protección al Ahorro Bancario.</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julio de 2020, fue publicado en el DOF el "Acuerdo por el que se establecen los criterios</w:t>
      </w:r>
    </w:p>
    <w:p w:rsidR="00000000" w:rsidDel="00000000" w:rsidP="00000000" w:rsidRDefault="00000000" w:rsidRPr="00000000" w14:paraId="0000004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aplicables para la administración de los recursos humanos en las dependencias y entidades de la Administración Pública Federal para mitigar la propagación del coronavirus COVID-19", emitido por la Secretaría de la Función Pública el 30 de julio de 2020, el cual establece que, del periodo comprendido entre el 03 de agosto y 30 de septiembre de 2020, los Titulares de la Oficialía Mayor de la Secretaría de Hacienda y Crédito Público y de las Unidades de Administración y Finanzas o equivalentes en la Administración Pública Federal, podrán autorizar o facilitar a las personas servidoras públicas diversas medidas encaminadas a reducir la transmisión del COVID-19.</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señalado en los Considerandos anteriores, se emite el siguiente:</w:t>
      </w:r>
    </w:p>
    <w:p w:rsidR="00000000" w:rsidDel="00000000" w:rsidP="00000000" w:rsidRDefault="00000000" w:rsidRPr="00000000" w14:paraId="0000004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EL INSTITUTO PARA LA PROTECCIÓN AL AHORRO BANCARIO PRORROGA</w:t>
      </w:r>
    </w:p>
    <w:p w:rsidR="00000000" w:rsidDel="00000000" w:rsidP="00000000" w:rsidRDefault="00000000" w:rsidRPr="00000000" w14:paraId="0000005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SUSPENSIÓN DE PLAZOS E INSTRUMENTA MEDIDAS PREVENTIVAS EN CONTRA DE LA</w:t>
      </w:r>
    </w:p>
    <w:p w:rsidR="00000000" w:rsidDel="00000000" w:rsidP="00000000" w:rsidRDefault="00000000" w:rsidRPr="00000000" w14:paraId="0000005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ENFERMEDAD POR EL VIRUS SARS-CoV2 (COVID-19) Y SE ESTABLECEN LAS MEDIDAS</w:t>
      </w:r>
    </w:p>
    <w:p w:rsidR="00000000" w:rsidDel="00000000" w:rsidP="00000000" w:rsidRDefault="00000000" w:rsidRPr="00000000" w14:paraId="0000005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ADMINISTRATIVAS PARA GARANTIZAR LA CONTINUIDAD DE LAS ACTIVIDADES DEL INSTITUTO</w:t>
      </w:r>
    </w:p>
    <w:p w:rsidR="00000000" w:rsidDel="00000000" w:rsidP="00000000" w:rsidRDefault="00000000" w:rsidRPr="00000000" w14:paraId="0000005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PARA LA PROTECCIÓN AL AHORRO BANCARIO, DURANTE LA CONTINGENCIA SANITARIA</w:t>
      </w:r>
    </w:p>
    <w:p w:rsidR="00000000" w:rsidDel="00000000" w:rsidP="00000000" w:rsidRDefault="00000000" w:rsidRPr="00000000" w14:paraId="0000005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PROVOCADA POR EL COVID-19</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prorroga la suspensión de los plazos a que se refiere el "Acuerdo por el que el Instituto para la Protección al Ahorro Bancario prorroga la suspensión de plazos e instrumenta medidas preventivas en contra de la enfermedad por el Virus SARS-CoV2 (COVID-19)", publicado en el Diario Oficial de la Federación el 16 de julio de 2020, del periodo establecido en dicho Acuerdo y hasta el 15 de agosto de 2020, respecto de los recursos administrativos de revisión y los procedimientos administrativos de sanción que se encuentren en curso ante el Instituto para la Protección al Ahorro Bancario. En consecuencia, se continuará con el cómputo de los plazos previstos en la normatividad aplicable el día hábil inmediato siguiente a la finalización del periodo señalado, esto es, a partir del 17 de agosto de 2020.</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Dicha suspensión es aplicable igualmente a los plazos establecidos para que el Instituto para la Protección al Ahorro Bancario tome conocimiento o resuelva lo conducente respecto a las peticiones hechas por los particulares.</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presente Acuerdo y los actos que de éste deriven, no constituyen una limitación temporal o definitiva de las atribuciones y facultades que las leyes confieren al Instituto para la Protección al Ahorro Bancario, ni generan mayores derechos o beneficios para las Instituciones de Banca Múltiple, que los que expresamente y, por virtud de la contingencia, sean definidos por dicho Instituto, pudiendo solicitar la información que en cualquier momento requiera, o bien instruir lo procedente en ejercicio de sus facultades.</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Durante el periodo comprendido del 01 de agosto al 30 de septiembre de 2020, el Instituto para la Protección al Ahorro Bancario continuará desarrollando sus funciones esenciales privilegiando que las actividades se realicen con el personal mínimo e indispensable y favoreciendo el trabajo a distancia, días de trabajo alternados, horarios escalonados, el uso de las tecnologías de información y comunicación para la realización de sesiones y reuniones de trabajo conforme al "Acuerdo por el que se establecen los criterios aplicables para la administración de los recursos humanos en las dependencias y entidades de la Administración Pública Federal para mitigar la propagación del coronavirus COVID-19" emitido por la Secretaría de la Función Pública el 30 de julio de 2020 y publicado en el Diario Oficial de la Federación el 31 de julio de 2020.</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Para el intercambio de información oficial con el Instituto para la Protección al Ahorro Bancario, las personas servidoras públicas deberán observar las disposiciones del "Acuerdo por el que se establecen los Lineamientos para el intercambio de información oficial a través de correo electrónico institucional como medida complementaria de las acciones para el combate de la enfermedad generada por el virus SARS-CoV2 (COVID-19)" publicado en el Diario Oficial de la Federación el 17 de abril de 2020.</w:t>
      </w:r>
    </w:p>
    <w:p w:rsidR="00000000" w:rsidDel="00000000" w:rsidP="00000000" w:rsidRDefault="00000000" w:rsidRPr="00000000" w14:paraId="0000005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5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surtirá sus efectos a partir del 01 de agosto de 2020.</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01 de agosto de 2020.- El Secretario Ejecutivo, </w:t>
      </w:r>
      <w:r w:rsidDel="00000000" w:rsidR="00000000" w:rsidRPr="00000000">
        <w:rPr>
          <w:rFonts w:ascii="Verdana" w:cs="Verdana" w:eastAsia="Verdana" w:hAnsi="Verdana"/>
          <w:b w:val="1"/>
          <w:color w:val="2f2f2f"/>
          <w:sz w:val="20"/>
          <w:szCs w:val="20"/>
          <w:rtl w:val="0"/>
        </w:rPr>
        <w:t xml:space="preserve">Gabriel Ángel Limón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