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91/2020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29 de agosto al 4 de septiembre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29 de agosto al 4 de septiembre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29 de agosto al 4 de septiembre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29 de agosto al 4 de septiembre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27 de agosto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