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1/2021 del Pleno del Consejo de la Judicatura Federal, que reforma el similar 21/2020, relativo a la reanudación de plazos y al regreso escalonado en los órganos jurisdiccionales ante la contingencia por el virus COVID-19, con relación al periodo de vigencia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sz w:val="16"/>
          <w:szCs w:val="16"/>
        </w:rPr>
      </w:pPr>
      <w:r w:rsidDel="00000000" w:rsidR="00000000" w:rsidRPr="00000000">
        <w:rPr>
          <w:sz w:val="16"/>
          <w:szCs w:val="16"/>
          <w:rtl w:val="0"/>
        </w:rPr>
        <w:t xml:space="preserve">ACUERDO GENERAL 1/2021, DEL PLENO DEL CONSEJO DE LA JUDICATURA FEDERAL, QUE REFORMA EL SIMILAR 21/2020, RELATIVO A LA REANUDACIÓN DE PLAZOS Y AL REGRESO ESCALONADO EN LOS ÓRGANOS JURISDICCIONALES ANTE LA CONTINGENCIA POR EL VIRUS COVID-19, CON RELACIÓN AL PERIODO DE VIGENCIA.</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De conformidad con el artículo 100 constitucional, primer párrafo, el Consejo de la Judicatura Federal es un órgano del Poder Judicial de la Federación con independencia técnica, de gestión y para emitir sus resoluciones;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b w:val="1"/>
          <w:sz w:val="18"/>
          <w:szCs w:val="18"/>
          <w:rtl w:val="0"/>
        </w:rPr>
        <w:t xml:space="preserve">SEXTO.</w:t>
      </w:r>
      <w:r w:rsidDel="00000000" w:rsidR="00000000" w:rsidRPr="00000000">
        <w:rPr>
          <w:sz w:val="18"/>
          <w:szCs w:val="18"/>
          <w:rtl w:val="0"/>
        </w:rPr>
        <w:t xml:space="preserve">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b w:val="1"/>
          <w:sz w:val="18"/>
          <w:szCs w:val="18"/>
          <w:rtl w:val="0"/>
        </w:rPr>
        <w:t xml:space="preserve">SÉPTIMO.</w:t>
      </w:r>
      <w:r w:rsidDel="00000000" w:rsidR="00000000" w:rsidRPr="00000000">
        <w:rPr>
          <w:sz w:val="18"/>
          <w:szCs w:val="18"/>
          <w:rtl w:val="0"/>
        </w:rPr>
        <w:t xml:space="preserve">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b w:val="1"/>
          <w:sz w:val="18"/>
          <w:szCs w:val="18"/>
          <w:rtl w:val="0"/>
        </w:rPr>
        <w:t xml:space="preserve">OCTAVO.</w:t>
      </w:r>
      <w:r w:rsidDel="00000000" w:rsidR="00000000" w:rsidRPr="00000000">
        <w:rPr>
          <w:sz w:val="18"/>
          <w:szCs w:val="18"/>
          <w:rtl w:val="0"/>
        </w:rPr>
        <w:t xml:space="preserve">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b w:val="1"/>
          <w:sz w:val="18"/>
          <w:szCs w:val="18"/>
          <w:rtl w:val="0"/>
        </w:rPr>
        <w:t xml:space="preserve">NOVENO.</w:t>
      </w:r>
      <w:r w:rsidDel="00000000" w:rsidR="00000000" w:rsidRPr="00000000">
        <w:rPr>
          <w:sz w:val="18"/>
          <w:szCs w:val="18"/>
          <w:rtl w:val="0"/>
        </w:rPr>
        <w:t xml:space="preserve"> Es una realidad que la pandemia subsiste como un peligro para la salud de todas y todos, de</w:t>
      </w:r>
    </w:p>
    <w:p w:rsidR="00000000" w:rsidDel="00000000" w:rsidP="00000000" w:rsidRDefault="00000000" w:rsidRPr="00000000" w14:paraId="00000010">
      <w:pPr>
        <w:shd w:fill="ffffff" w:val="clear"/>
        <w:spacing w:after="100" w:lineRule="auto"/>
        <w:jc w:val="both"/>
        <w:rPr>
          <w:sz w:val="18"/>
          <w:szCs w:val="18"/>
        </w:rPr>
      </w:pPr>
      <w:r w:rsidDel="00000000" w:rsidR="00000000" w:rsidRPr="00000000">
        <w:rPr>
          <w:sz w:val="18"/>
          <w:szCs w:val="18"/>
          <w:rtl w:val="0"/>
        </w:rPr>
        <w:t xml:space="preserve">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b w:val="1"/>
          <w:sz w:val="18"/>
          <w:szCs w:val="18"/>
          <w:rtl w:val="0"/>
        </w:rPr>
        <w:t xml:space="preserve">DÉCIMO.</w:t>
      </w:r>
      <w:r w:rsidDel="00000000" w:rsidR="00000000" w:rsidRPr="00000000">
        <w:rPr>
          <w:sz w:val="18"/>
          <w:szCs w:val="18"/>
          <w:rtl w:val="0"/>
        </w:rPr>
        <w:t xml:space="preserve"> El 9 de diciembre de 2020 el Pleno del Consejo emitió el Acuerdo General 37/2020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 y</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b w:val="1"/>
          <w:sz w:val="18"/>
          <w:szCs w:val="18"/>
          <w:rtl w:val="0"/>
        </w:rPr>
        <w:t xml:space="preserve">DECIMOPRIMERO.</w:t>
      </w:r>
      <w:r w:rsidDel="00000000" w:rsidR="00000000" w:rsidRPr="00000000">
        <w:rPr>
          <w:sz w:val="18"/>
          <w:szCs w:val="18"/>
          <w:rtl w:val="0"/>
        </w:rPr>
        <w:t xml:space="preserve"> Es importante subrayar que el esquema que se implementó mediante el Acuerdo General cuya ampliación del plazo se plantea, permitió</w:t>
      </w:r>
      <w:r w:rsidDel="00000000" w:rsidR="00000000" w:rsidRPr="00000000">
        <w:rPr>
          <w:b w:val="1"/>
          <w:sz w:val="18"/>
          <w:szCs w:val="18"/>
          <w:rtl w:val="0"/>
        </w:rPr>
        <w:t xml:space="preserve"> </w:t>
      </w:r>
      <w:r w:rsidDel="00000000" w:rsidR="00000000" w:rsidRPr="00000000">
        <w:rPr>
          <w:sz w:val="18"/>
          <w:szCs w:val="18"/>
          <w:rtl w:val="0"/>
        </w:rPr>
        <w:t xml:space="preserve">abandonar las guardias para la atención de casos urgentes y, en consecuencia, reanudar los plazos y términos procesales, y reactivar la recepción, radicación y tramitación de promociones presentadas físicamente, así como el desahogo de diligencias que requieran la presencia de las partes. No obstante, fueron adoptadas diversas medidas para controlar la presencia física en los inmuebles del Poder Judicial de la Federación, como la fijación de porcentajes máximos de asistencia para el personal jurisdiccional y su escalonamiento en turnos y horarios; la recepción de promociones físicas mediante buzones judiciales; la habilitación de oficialías de partes comunes a varios órganos jurisdiccionales; el control de asistencia de personas justiciables y sus representantes y autorizados mediante un programa para la generación de citas; el uso de herramientas tecnológicas para eficientar la labor jurisdiccional; y la continuidad del trabajo a distancia como eje rector en la prestación del servicio público de impartición de justicia.</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Como complemento, se ha mantenido la apertura total a la tramitación de casos bajo el esquema de "juicio en línea", referido a los expedientes en los que las partes actúan desde el Portal de Servicios en Línea y en los que la tramitación electrónica se erija como el eje principal.</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Consecuentemente, resulta necesario ampliar la vigencia del citado Acuerdo General 21/2020 a efecto de dar continuidad a las acciones y medidas preventivas adoptadas por el Consejo de la Judicatura Federal, en el contexto de la contingencia sanitaria.</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Por lo anterior, con fundamento en los párrafos primero y séptimo del artículo 100 de la Constitución Política de los Estados Unidos Mexicanos, en los artículos 68 y 81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000000" w:rsidDel="00000000" w:rsidP="00000000" w:rsidRDefault="00000000" w:rsidRPr="00000000" w14:paraId="0000001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ARTÍCULO ÚNICO.</w:t>
      </w:r>
      <w:r w:rsidDel="00000000" w:rsidR="00000000" w:rsidRPr="00000000">
        <w:rPr>
          <w:sz w:val="18"/>
          <w:szCs w:val="18"/>
          <w:rtl w:val="0"/>
        </w:rPr>
        <w:t xml:space="preserve"> Se reforma el artículo 1 del Acuerdo General 21/2020 del Pleno del Consejo de la Judicatura Federal, relativo a la reanudación de plazos y al regreso escalonado en los órganos jurisdiccionales ante la contingencia por el virus COVID-19, para quedar como sigue:</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Artículo 1. Vigencia.</w:t>
      </w:r>
      <w:r w:rsidDel="00000000" w:rsidR="00000000" w:rsidRPr="00000000">
        <w:rPr>
          <w:sz w:val="18"/>
          <w:szCs w:val="18"/>
          <w:rtl w:val="0"/>
        </w:rPr>
        <w:t xml:space="preserve"> 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30 de junio de 2021, la actividad jurisdiccional se sujetará a las reglas establecidas en el presente Acuerdo."</w:t>
      </w:r>
    </w:p>
    <w:p w:rsidR="00000000" w:rsidDel="00000000" w:rsidP="00000000" w:rsidRDefault="00000000" w:rsidRPr="00000000" w14:paraId="00000019">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A">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Acuerdo entrará en vigor al día siguiente de su aprobación.</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Publíquese en el Diario Oficial de la Federación, en el Semanario Judicial de la Federación y su Gaceta, en el Sistema Integral de Seguimiento de Expedientes, así como en el portal del Consejo de la Judicatura Federal en intranet e internet.</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 partir del 1 de marzo de 2021, el turno de guardia para la recepción de asuntos en días y horas inhábiles se regirá conforme al sistema de turno de guardias de juzgados de distrito publicado en el enlace: http://www.cjf.gob.mx/sistemaTurnosGuardias.htm</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mantiene la distribución de los órganos jurisdiccionales en los ocho grupos generados según la división en turnos matutino y vespertino, y de cada uno en cuatro bloques de horarios, conforme al Anexo 1 del Acuerdo General 21/2020, cuyo contenido está disponible en el siguiente enlace: https://www.cjf.gob.mx/2020/distribucionOJ.pdf</w:t>
      </w:r>
    </w:p>
    <w:p w:rsidR="00000000" w:rsidDel="00000000" w:rsidP="00000000" w:rsidRDefault="00000000" w:rsidRPr="00000000" w14:paraId="0000001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1/2021, del Pleno del Consejo de la Judicatura Federal, que reforma el similar 21/2020, relativo a la reanudación de plazos y al regreso escalonado en los órganos jurisdiccionales ante la contingencia por el virus COVID-19, con relación al periodo de vigencia, fue aprobado por el Pleno del propio Consejo, en sesión ordinaria de 24 de febrero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24 de febrero de 2021.- Conste.- Rúbrica.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