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7" w:rsidRDefault="00891057" w:rsidP="00891057">
      <w:pPr>
        <w:jc w:val="center"/>
        <w:rPr>
          <w:rFonts w:ascii="Verdana" w:eastAsia="Verdana" w:hAnsi="Verdana" w:cs="Verdana"/>
          <w:b/>
          <w:color w:val="0000FF"/>
          <w:sz w:val="24"/>
          <w:szCs w:val="24"/>
        </w:rPr>
      </w:pPr>
      <w:r w:rsidRPr="00891057">
        <w:rPr>
          <w:rFonts w:ascii="Verdana" w:eastAsia="Verdana" w:hAnsi="Verdana" w:cs="Verdana"/>
          <w:b/>
          <w:color w:val="0000FF"/>
          <w:sz w:val="24"/>
          <w:szCs w:val="24"/>
        </w:rPr>
        <w:t xml:space="preserve">ACUERDO por el que se da a conocer el Séptimo Protocolo Adicional al Apéndice I Sobre el Comercio en el Sector Automotor entre la Argentina y México, del Acuerdo de Complementación Económica No. 55 celebrado entre el MERCOSUR y los Estados Unidos Mexicanos.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abril de 2022</w:t>
      </w:r>
      <w:r w:rsidRPr="00575D6A">
        <w:rPr>
          <w:rFonts w:ascii="Verdana" w:eastAsia="Verdana" w:hAnsi="Verdana" w:cs="Verdana"/>
          <w:b/>
          <w:color w:val="0000FF"/>
          <w:sz w:val="24"/>
          <w:szCs w:val="24"/>
        </w:rPr>
        <w:t>)</w:t>
      </w:r>
      <w:bookmarkEnd w:id="0"/>
    </w:p>
    <w:p w:rsidR="00976270" w:rsidRDefault="00891057" w:rsidP="00891057">
      <w:pPr>
        <w:jc w:val="both"/>
        <w:rPr>
          <w:rFonts w:ascii="Arial" w:hAnsi="Arial" w:cs="Arial"/>
          <w:b/>
          <w:color w:val="262626" w:themeColor="text1" w:themeTint="D9"/>
          <w:sz w:val="18"/>
        </w:rPr>
      </w:pPr>
      <w:r w:rsidRPr="00891057">
        <w:rPr>
          <w:rFonts w:ascii="Arial" w:hAnsi="Arial" w:cs="Arial"/>
          <w:b/>
          <w:color w:val="262626" w:themeColor="text1" w:themeTint="D9"/>
          <w:sz w:val="18"/>
        </w:rPr>
        <w:t>Al margen un sello con el Escudo Nacional, que dice: Estados Unidos Mexicanos.- ECONOMÍA.- Secretaría de Economía.</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891057" w:rsidRPr="00891057" w:rsidRDefault="00891057" w:rsidP="00891057">
      <w:pPr>
        <w:spacing w:after="101" w:line="240" w:lineRule="auto"/>
        <w:jc w:val="center"/>
        <w:rPr>
          <w:rFonts w:ascii="Arial" w:eastAsia="Times New Roman" w:hAnsi="Arial" w:cs="Arial"/>
          <w:b/>
          <w:sz w:val="18"/>
          <w:szCs w:val="18"/>
          <w:lang w:eastAsia="es-MX"/>
        </w:rPr>
      </w:pPr>
      <w:r w:rsidRPr="00891057">
        <w:rPr>
          <w:rFonts w:ascii="Arial" w:eastAsia="Times New Roman" w:hAnsi="Arial" w:cs="Arial"/>
          <w:b/>
          <w:sz w:val="18"/>
          <w:szCs w:val="18"/>
          <w:lang w:eastAsia="es-MX"/>
        </w:rPr>
        <w:t>CONSIDERANDO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Que el Apéndice I del ACE 55 establece las disposiciones aplicables al comercio bilateral en el sector automotor entre los Estados Unidos Mexicanos y la República Argentina.</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Que el 18 de marzo de 2022 los Estados Unidos Mexicanos y la República Argentina suscribieron el Séptimo Protocolo Adicional al Apéndice I "Sobre el Comercio en el Sector Automotor entre la Argentina y México" del ACE 55, mediante el cual pactaron establecer a partir del 19 de marzo de 2022 y hasta el 18 de marzo de 2025, cuotas de importación para vehículos automóviles de los literales a) y b) del Artículo 1° de dicho Apéndice.</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Que resulta necesario dar a conocer a los operadores económicos y autoridades el texto íntegro del Séptimo Protocolo Adicional referido en el considerando anterior, se expide el siguiente:</w:t>
      </w:r>
    </w:p>
    <w:p w:rsidR="00891057" w:rsidRPr="00891057" w:rsidRDefault="00891057" w:rsidP="00891057">
      <w:pPr>
        <w:spacing w:after="101" w:line="240" w:lineRule="auto"/>
        <w:jc w:val="center"/>
        <w:rPr>
          <w:rFonts w:ascii="Arial" w:eastAsia="Times New Roman" w:hAnsi="Arial" w:cs="Arial"/>
          <w:b/>
          <w:sz w:val="18"/>
          <w:szCs w:val="18"/>
          <w:lang w:eastAsia="es-MX"/>
        </w:rPr>
      </w:pPr>
      <w:r w:rsidRPr="00891057">
        <w:rPr>
          <w:rFonts w:ascii="Arial" w:eastAsia="Times New Roman" w:hAnsi="Arial" w:cs="Arial"/>
          <w:b/>
          <w:sz w:val="18"/>
          <w:szCs w:val="18"/>
          <w:lang w:eastAsia="es-MX"/>
        </w:rPr>
        <w:t>ACUERDO POR EL QUE SE DA A CONOCER EL SÉPTIMO PROTOCOLO ADICIONAL AL APÉNDICE I</w:t>
      </w:r>
      <w:r w:rsidRPr="00891057">
        <w:rPr>
          <w:rFonts w:ascii="Arial" w:eastAsia="Times New Roman" w:hAnsi="Arial" w:cs="Arial"/>
          <w:b/>
          <w:sz w:val="18"/>
          <w:szCs w:val="18"/>
          <w:lang w:eastAsia="es-MX"/>
        </w:rPr>
        <w:br/>
        <w:t>"SOBRE EL COMERCIO EN EL SECTOR AUTOMOTOR ENTRE LA ARGENTINA Y MÉXICO", DEL</w:t>
      </w:r>
      <w:r w:rsidRPr="00891057">
        <w:rPr>
          <w:rFonts w:ascii="Arial" w:eastAsia="Times New Roman" w:hAnsi="Arial" w:cs="Arial"/>
          <w:b/>
          <w:sz w:val="18"/>
          <w:szCs w:val="18"/>
          <w:lang w:eastAsia="es-MX"/>
        </w:rPr>
        <w:br/>
        <w:t>ACUERDO DE COMPLEMENTACIÓN ECONÓMICA N° 55 CELEBRADO ENTRE EL MERCOSUR Y LOS</w:t>
      </w:r>
      <w:r w:rsidRPr="00891057">
        <w:rPr>
          <w:rFonts w:ascii="Arial" w:eastAsia="Times New Roman" w:hAnsi="Arial" w:cs="Arial"/>
          <w:b/>
          <w:sz w:val="18"/>
          <w:szCs w:val="18"/>
          <w:lang w:eastAsia="es-MX"/>
        </w:rPr>
        <w:br/>
        <w:t>ESTADOS UNIDOS MEXICANOS</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 xml:space="preserve">Único.- </w:t>
      </w:r>
      <w:r w:rsidRPr="00891057">
        <w:rPr>
          <w:rFonts w:ascii="Arial" w:eastAsia="Times New Roman" w:hAnsi="Arial" w:cs="Arial"/>
          <w:sz w:val="18"/>
          <w:szCs w:val="18"/>
          <w:lang w:eastAsia="es-MX"/>
        </w:rPr>
        <w:t>Se da a conocer el texto íntegro del Séptimo Protocolo Adicional al Apéndice I "Sobre el Comercio en el Sector Automotor entre la Argentina y México", del Acuerdo de Complementación Económica N° 55 celebrado entre el MERCOSUR y los Estados Unidos Mexicanos:</w:t>
      </w:r>
    </w:p>
    <w:p w:rsidR="00891057" w:rsidRPr="00891057" w:rsidRDefault="00891057" w:rsidP="00891057">
      <w:pPr>
        <w:spacing w:after="101" w:line="240" w:lineRule="auto"/>
        <w:jc w:val="center"/>
        <w:rPr>
          <w:rFonts w:ascii="Arial" w:eastAsia="Times New Roman" w:hAnsi="Arial" w:cs="Arial"/>
          <w:sz w:val="18"/>
          <w:szCs w:val="18"/>
          <w:lang w:eastAsia="es-MX"/>
        </w:rPr>
      </w:pPr>
      <w:r w:rsidRPr="00891057">
        <w:rPr>
          <w:rFonts w:ascii="Arial" w:eastAsia="Times New Roman" w:hAnsi="Arial" w:cs="Arial"/>
          <w:b/>
          <w:bCs/>
          <w:sz w:val="18"/>
          <w:szCs w:val="18"/>
          <w:lang w:eastAsia="es-MX"/>
        </w:rPr>
        <w:t>"ACUERDO DE COMPLEMENTACIÓN ECONÓMICA N° 55 CELEBRADO ENTRE EL MERCOSUR Y LOS</w:t>
      </w:r>
      <w:r w:rsidRPr="00891057">
        <w:rPr>
          <w:rFonts w:ascii="Arial" w:eastAsia="Times New Roman" w:hAnsi="Arial" w:cs="Arial"/>
          <w:sz w:val="18"/>
          <w:szCs w:val="18"/>
          <w:lang w:eastAsia="es-MX"/>
        </w:rPr>
        <w:br/>
      </w:r>
      <w:r w:rsidRPr="00891057">
        <w:rPr>
          <w:rFonts w:ascii="Arial" w:eastAsia="Times New Roman" w:hAnsi="Arial" w:cs="Arial"/>
          <w:b/>
          <w:bCs/>
          <w:sz w:val="18"/>
          <w:szCs w:val="18"/>
          <w:lang w:eastAsia="es-MX"/>
        </w:rPr>
        <w:t>ESTADOS UNIDOS MEXICANOS</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Séptimo Protocolo Adicional al Apéndice I "Sobre el Comercio en el Sector Automotor entre la Argentina y México"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Los plenipotenciarios de la República Argentina y los Estados Unidos Mexicanos, acreditados por sus respectivos Gobiernos según poderes otorgados en buena y debida forma, oportunamente depositados en la Secretaría General de la Asociación Latinoamericana de Integración (ALADI);</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Considerando</w:t>
      </w:r>
      <w:r w:rsidRPr="00891057">
        <w:rPr>
          <w:rFonts w:ascii="Arial" w:eastAsia="Times New Roman" w:hAnsi="Arial" w:cs="Arial"/>
          <w:sz w:val="18"/>
          <w:szCs w:val="18"/>
          <w:lang w:eastAsia="es-MX"/>
        </w:rPr>
        <w:t xml:space="preserve"> la necesidad de atender las circunstancias imperantes de las Partes en su desarrollo industrial; y</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lastRenderedPageBreak/>
        <w:t xml:space="preserve">Reconociendo </w:t>
      </w:r>
      <w:r w:rsidRPr="00891057">
        <w:rPr>
          <w:rFonts w:ascii="Arial" w:eastAsia="Times New Roman" w:hAnsi="Arial" w:cs="Arial"/>
          <w:sz w:val="18"/>
          <w:szCs w:val="18"/>
          <w:lang w:eastAsia="es-MX"/>
        </w:rPr>
        <w:t>la importancia de preservar y ampliar las corrientes de comercio entre las Partes;</w:t>
      </w:r>
    </w:p>
    <w:p w:rsidR="00891057" w:rsidRPr="00891057" w:rsidRDefault="00891057" w:rsidP="00891057">
      <w:pPr>
        <w:spacing w:after="101" w:line="240" w:lineRule="auto"/>
        <w:jc w:val="center"/>
        <w:rPr>
          <w:rFonts w:ascii="Arial" w:eastAsia="Times New Roman" w:hAnsi="Arial" w:cs="Arial"/>
          <w:sz w:val="18"/>
          <w:szCs w:val="18"/>
          <w:lang w:eastAsia="es-MX"/>
        </w:rPr>
      </w:pPr>
      <w:r w:rsidRPr="00891057">
        <w:rPr>
          <w:rFonts w:ascii="Arial" w:eastAsia="Times New Roman" w:hAnsi="Arial" w:cs="Arial"/>
          <w:b/>
          <w:bCs/>
          <w:sz w:val="18"/>
          <w:szCs w:val="18"/>
          <w:lang w:eastAsia="es-MX"/>
        </w:rPr>
        <w:t>CONVIENEN:</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1°.</w:t>
      </w:r>
      <w:r w:rsidRPr="00891057">
        <w:rPr>
          <w:rFonts w:ascii="Arial" w:eastAsia="Times New Roman" w:hAnsi="Arial" w:cs="Arial"/>
          <w:sz w:val="18"/>
          <w:szCs w:val="18"/>
          <w:lang w:eastAsia="es-MX"/>
        </w:rPr>
        <w:t>- Las Partes acuerdan mantener vigentes todas las disposiciones del Acuerdo de Complementación Económica N° 55 (en adelante "Acuerdo"), de sus anexos y del Apéndice I "Sobre el Comercio en el Sector Automotor entre la Argentina y México" (en adelante "Apéndice I") del Acuerdo que no contravengan las disposiciones convenidas en este Protocolo.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2°.</w:t>
      </w:r>
      <w:r w:rsidRPr="00891057">
        <w:rPr>
          <w:rFonts w:ascii="Arial" w:eastAsia="Times New Roman" w:hAnsi="Arial" w:cs="Arial"/>
          <w:sz w:val="18"/>
          <w:szCs w:val="18"/>
          <w:lang w:eastAsia="es-MX"/>
        </w:rPr>
        <w:t>- Exclusivamente en lo que respecta a los vehículos de los literales a) y b) del Artículo 1° del Apéndice I, no obstante lo dispuesto en el Artículo 5° del Acuerdo y en el Artículo 3° del Apéndice I, las Partes otorgarán de forma recíproca, por un período de tres (3) años, arancel cero (0) a las cuotas de importación anuales de conformidad con los términos señalados en la siguiente tabla: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987"/>
        <w:gridCol w:w="2725"/>
      </w:tblGrid>
      <w:tr w:rsidR="00891057" w:rsidRPr="00891057" w:rsidTr="00891057">
        <w:trPr>
          <w:trHeight w:val="393"/>
        </w:trPr>
        <w:tc>
          <w:tcPr>
            <w:tcW w:w="5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Período</w:t>
            </w:r>
          </w:p>
        </w:tc>
        <w:tc>
          <w:tcPr>
            <w:tcW w:w="2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Cuotas anuales*1</w:t>
            </w:r>
          </w:p>
        </w:tc>
      </w:tr>
      <w:tr w:rsidR="00891057" w:rsidRPr="00891057" w:rsidTr="00891057">
        <w:trPr>
          <w:trHeight w:val="378"/>
        </w:trPr>
        <w:tc>
          <w:tcPr>
            <w:tcW w:w="5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Del 19 de marzo de 2022 hasta el 18 de marzo de 2023</w:t>
            </w:r>
          </w:p>
        </w:tc>
        <w:tc>
          <w:tcPr>
            <w:tcW w:w="2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773 125 578</w:t>
            </w:r>
          </w:p>
        </w:tc>
      </w:tr>
      <w:tr w:rsidR="00891057" w:rsidRPr="00891057" w:rsidTr="00891057">
        <w:trPr>
          <w:trHeight w:val="378"/>
        </w:trPr>
        <w:tc>
          <w:tcPr>
            <w:tcW w:w="5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Del 19 de marzo de 2023 hasta el 18 de marzo de 2024</w:t>
            </w:r>
          </w:p>
        </w:tc>
        <w:tc>
          <w:tcPr>
            <w:tcW w:w="2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773 125 578</w:t>
            </w:r>
          </w:p>
        </w:tc>
      </w:tr>
      <w:tr w:rsidR="00891057" w:rsidRPr="00891057" w:rsidTr="00891057">
        <w:trPr>
          <w:trHeight w:val="393"/>
        </w:trPr>
        <w:tc>
          <w:tcPr>
            <w:tcW w:w="5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Del 19 de marzo de 2024 hasta el 18 de marzo de 2025</w:t>
            </w:r>
          </w:p>
        </w:tc>
        <w:tc>
          <w:tcPr>
            <w:tcW w:w="2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773 125 578</w:t>
            </w:r>
          </w:p>
        </w:tc>
      </w:tr>
    </w:tbl>
    <w:p w:rsidR="00891057" w:rsidRPr="00891057" w:rsidRDefault="00891057" w:rsidP="00891057">
      <w:pPr>
        <w:spacing w:after="0"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*Valor FOB</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1 Dólares de los Estados Unidos de América</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Las Partes negociarán las condiciones de acceso a mercados para el intercambio comercial bilateral de los vehículos de los literales a) y b) del Artículo 1° del Apéndice I que regirán a partir del 19 de marzo de 2025.</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3°.</w:t>
      </w:r>
      <w:r w:rsidRPr="00891057">
        <w:rPr>
          <w:rFonts w:ascii="Arial" w:eastAsia="Times New Roman" w:hAnsi="Arial" w:cs="Arial"/>
          <w:sz w:val="18"/>
          <w:szCs w:val="18"/>
          <w:lang w:eastAsia="es-MX"/>
        </w:rPr>
        <w:t>- Las cuotas señaladas en el Artículo 2° de este Protocolo serán asignadas a las empresas exportadoras y administradas por la Parte exportadora y verificadas por la Parte importadora. Las Partes, de conformidad con lo establecido en este Protocolo, no impondrán otras restricciones que limiten el uso de dichas cuotas.</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Sin perjuicio de la asignación del cupo establecido en el Artículo 2° de este Protocolo que reciban las empresas exportadoras para un período determinado, una Parte podrá asignar un cupo adicional con la preferencia plena equivalente a los valores exportados por la otra Parte.</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Los embarques que se encuentren en tránsito al 18 de marzo de 2025, amparados por el certificado de cupo correspondiente al período del 19 de marzo de 2024 al 18 de marzo de 2025, que sean importados en los respectivos territorios de las Partes a partir del 19 de marzo de 2025, recibirán el arancel previsto en el Artículo 2° del presente Protocolo.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4°.</w:t>
      </w:r>
      <w:r w:rsidRPr="00891057">
        <w:rPr>
          <w:rFonts w:ascii="Arial" w:eastAsia="Times New Roman" w:hAnsi="Arial" w:cs="Arial"/>
          <w:sz w:val="18"/>
          <w:szCs w:val="18"/>
          <w:lang w:eastAsia="es-MX"/>
        </w:rPr>
        <w:t>- No obstante lo establecido en el literal d) del párrafo 1 del Artículo 5° del Anexo II del Acuerdo, y del párrafo 1 del Artículo 6° del Anexo II del Acuerdo, las Partes aplicarán la siguiente fórmula para la determinación del Índice de Contenido Regional (ICR) de un vehículo comprendido en los literales a) y b) del Artículo 1° del Apéndice I, y de las autopartes comprendidas en el Anexo del Segundo Protocolo Adicional al Apéndice I del Acuerdo, incluidas sus modificaciones:</w:t>
      </w:r>
    </w:p>
    <w:p w:rsidR="00891057" w:rsidRPr="00891057" w:rsidRDefault="00891057" w:rsidP="00891057">
      <w:pPr>
        <w:spacing w:after="0" w:line="240" w:lineRule="auto"/>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Valor de los materiales originarios</w:t>
      </w:r>
    </w:p>
    <w:p w:rsidR="00891057" w:rsidRPr="00891057" w:rsidRDefault="00891057" w:rsidP="00891057">
      <w:pPr>
        <w:spacing w:after="0" w:line="240" w:lineRule="auto"/>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ICR = {-------------------------------------------------} x 100</w:t>
      </w:r>
    </w:p>
    <w:p w:rsidR="00891057" w:rsidRPr="00891057" w:rsidRDefault="00891057" w:rsidP="00891057">
      <w:pPr>
        <w:spacing w:after="101" w:line="240" w:lineRule="auto"/>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Valor del bien</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El valor del ICR será del 35% del 19 de marzo de 2022 y hasta el 18 de marzo de 2025. Las Partes acordarán el ICR y la fórmula que regirán a partir del 19 de marzo de 2025 para calcular el ICR aplicable a vehículos de los literales a) y b) del Artículo 1o. del Apéndice I.</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5°.</w:t>
      </w:r>
      <w:r w:rsidRPr="00891057">
        <w:rPr>
          <w:rFonts w:ascii="Arial" w:eastAsia="Times New Roman" w:hAnsi="Arial" w:cs="Arial"/>
          <w:sz w:val="18"/>
          <w:szCs w:val="18"/>
          <w:lang w:eastAsia="es-MX"/>
        </w:rPr>
        <w:t>- No obstante la regla de origen aplicable a las autopartes señaladas en el Artículo 4° de este Protocolo, cuando éstas se destinen a la manufactura de un vehículo automotor, comprendido en los literales a) y b) del Artículo 1o. del Apéndice I, en cualquiera de las Partes, se considerarán como originarias para efecto de la determinación del ICR de los vehículos, siempre que cumplan con alguno de los criterios de origen establecidos en el párrafo 1 del Artículo 5° del Anexo II del Acuerdo.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6°.</w:t>
      </w:r>
      <w:r w:rsidRPr="00891057">
        <w:rPr>
          <w:rFonts w:ascii="Arial" w:eastAsia="Times New Roman" w:hAnsi="Arial" w:cs="Arial"/>
          <w:sz w:val="18"/>
          <w:szCs w:val="18"/>
          <w:lang w:eastAsia="es-MX"/>
        </w:rPr>
        <w:t>- Un producto automotor nuevo que figure en los literales a) y b) del Artículo 1° del Apéndice I, se considerará como originario cuando, como resultado de un proceso de producción llevado a cabo íntegramente en el territorio de cualquiera de las Partes, el ICR sea, desde su lanzamiento comercial, de por lo menos 20% en cada uno de los dos primeros años. En el tercer año, se aplicará el ICR vigente previsto según el Artículo 4o. de este Protocolo.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lastRenderedPageBreak/>
        <w:t>Artículo 7°.</w:t>
      </w:r>
      <w:r w:rsidRPr="00891057">
        <w:rPr>
          <w:rFonts w:ascii="Arial" w:eastAsia="Times New Roman" w:hAnsi="Arial" w:cs="Arial"/>
          <w:sz w:val="18"/>
          <w:szCs w:val="18"/>
          <w:lang w:eastAsia="es-MX"/>
        </w:rPr>
        <w:t>- No obstante lo dispuesto en el Artículo 4° de este Protocolo, para las siguientes fracciones arancelarias incluidas en el Apéndice I, el ICR será de: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75"/>
        <w:gridCol w:w="6300"/>
        <w:gridCol w:w="1037"/>
      </w:tblGrid>
      <w:tr w:rsidR="00891057" w:rsidRPr="00891057" w:rsidTr="00891057">
        <w:trPr>
          <w:trHeight w:val="632"/>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b/>
                <w:bCs/>
                <w:color w:val="000000"/>
                <w:sz w:val="18"/>
                <w:szCs w:val="18"/>
                <w:lang w:eastAsia="es-MX"/>
              </w:rPr>
              <w:t>NALADISA</w:t>
            </w:r>
            <w:r w:rsidRPr="00891057">
              <w:rPr>
                <w:rFonts w:ascii="Arial" w:eastAsia="Times New Roman" w:hAnsi="Arial" w:cs="Arial"/>
                <w:color w:val="000000"/>
                <w:sz w:val="18"/>
                <w:szCs w:val="18"/>
                <w:lang w:eastAsia="es-MX"/>
              </w:rPr>
              <w:br/>
            </w:r>
            <w:r w:rsidRPr="00891057">
              <w:rPr>
                <w:rFonts w:ascii="Arial" w:eastAsia="Times New Roman" w:hAnsi="Arial" w:cs="Arial"/>
                <w:b/>
                <w:bCs/>
                <w:color w:val="000000"/>
                <w:sz w:val="18"/>
                <w:szCs w:val="18"/>
                <w:lang w:eastAsia="es-MX"/>
              </w:rPr>
              <w:t>2002</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b/>
                <w:bCs/>
                <w:color w:val="000000"/>
                <w:sz w:val="18"/>
                <w:szCs w:val="18"/>
                <w:lang w:eastAsia="es-MX"/>
              </w:rPr>
              <w:t>DESCRIPCIÓN</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b/>
                <w:bCs/>
                <w:color w:val="000000"/>
                <w:sz w:val="18"/>
                <w:szCs w:val="18"/>
                <w:lang w:eastAsia="es-MX"/>
              </w:rPr>
              <w:t>ICR</w:t>
            </w:r>
          </w:p>
        </w:tc>
      </w:tr>
      <w:tr w:rsidR="00891057" w:rsidRPr="00891057" w:rsidTr="00891057">
        <w:trPr>
          <w:trHeight w:val="617"/>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85272100</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Combinados con grabador o reproductor de sonido (únicamente para uso automotriz)</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20%</w:t>
            </w:r>
          </w:p>
        </w:tc>
      </w:tr>
      <w:tr w:rsidR="00891057" w:rsidRPr="00891057" w:rsidTr="00891057">
        <w:trPr>
          <w:trHeight w:val="359"/>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85272900</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Los demás (únicamente para uso automotriz)</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20%</w:t>
            </w:r>
          </w:p>
        </w:tc>
      </w:tr>
      <w:tr w:rsidR="00891057" w:rsidRPr="00891057" w:rsidTr="00891057">
        <w:trPr>
          <w:trHeight w:val="359"/>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87084000</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Cajas de cambio</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20%</w:t>
            </w:r>
          </w:p>
        </w:tc>
      </w:tr>
      <w:tr w:rsidR="00891057" w:rsidRPr="00891057" w:rsidTr="00891057">
        <w:trPr>
          <w:trHeight w:val="359"/>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87085000</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Ejes con diferencial, incluso provistos con otros órganos de trasmisión</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18%</w:t>
            </w:r>
          </w:p>
        </w:tc>
      </w:tr>
      <w:tr w:rsidR="00891057" w:rsidRPr="00891057" w:rsidTr="00891057">
        <w:trPr>
          <w:trHeight w:val="374"/>
        </w:trPr>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87089900</w:t>
            </w:r>
          </w:p>
        </w:tc>
        <w:tc>
          <w:tcPr>
            <w:tcW w:w="63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Los demás</w:t>
            </w:r>
          </w:p>
        </w:tc>
        <w:tc>
          <w:tcPr>
            <w:tcW w:w="10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91057" w:rsidRPr="00891057" w:rsidRDefault="00891057" w:rsidP="00891057">
            <w:pPr>
              <w:spacing w:after="101" w:line="240" w:lineRule="auto"/>
              <w:jc w:val="both"/>
              <w:rPr>
                <w:rFonts w:ascii="Arial" w:eastAsia="Times New Roman" w:hAnsi="Arial" w:cs="Arial"/>
                <w:color w:val="000000"/>
                <w:sz w:val="18"/>
                <w:szCs w:val="18"/>
                <w:lang w:eastAsia="es-MX"/>
              </w:rPr>
            </w:pPr>
            <w:r w:rsidRPr="00891057">
              <w:rPr>
                <w:rFonts w:ascii="Arial" w:eastAsia="Times New Roman" w:hAnsi="Arial" w:cs="Arial"/>
                <w:color w:val="000000"/>
                <w:sz w:val="18"/>
                <w:szCs w:val="18"/>
                <w:lang w:eastAsia="es-MX"/>
              </w:rPr>
              <w:t>19%</w:t>
            </w:r>
          </w:p>
        </w:tc>
      </w:tr>
    </w:tbl>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8°.</w:t>
      </w:r>
      <w:r w:rsidRPr="00891057">
        <w:rPr>
          <w:rFonts w:ascii="Arial" w:eastAsia="Times New Roman" w:hAnsi="Arial" w:cs="Arial"/>
          <w:sz w:val="18"/>
          <w:szCs w:val="18"/>
          <w:lang w:eastAsia="es-MX"/>
        </w:rPr>
        <w:t>- Las Partes se comprometen a monitorear semestralmente la aplicación de las disposiciones contenidas en este Protocolo con el fin de perfeccionar su funcionamiento.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 xml:space="preserve">Artículo 9°.- </w:t>
      </w:r>
      <w:r w:rsidRPr="00891057">
        <w:rPr>
          <w:rFonts w:ascii="Arial" w:eastAsia="Times New Roman" w:hAnsi="Arial" w:cs="Arial"/>
          <w:sz w:val="18"/>
          <w:szCs w:val="18"/>
          <w:lang w:eastAsia="es-MX"/>
        </w:rPr>
        <w:t>Las operaciones de comercio exterior amparadas conforme al Sexto Protocolo Adicional al Apéndice I seguirán siendo válidas sesenta días naturales o corridos siguientes a la entrada en vigor de este instrumento, para los certificados de cupo autorizados hasta el 18 de marzo de 2022.</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10°.</w:t>
      </w:r>
      <w:r w:rsidRPr="00891057">
        <w:rPr>
          <w:rFonts w:ascii="Arial" w:eastAsia="Times New Roman" w:hAnsi="Arial" w:cs="Arial"/>
          <w:sz w:val="18"/>
          <w:szCs w:val="18"/>
          <w:lang w:eastAsia="es-MX"/>
        </w:rPr>
        <w:t>- El uso de las cuotas previstas en el Artículo 2° del presente Protocolo se contará a partir del 19 de marzo de 2022.</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11°.</w:t>
      </w:r>
      <w:r w:rsidRPr="00891057">
        <w:rPr>
          <w:rFonts w:ascii="Arial" w:eastAsia="Times New Roman" w:hAnsi="Arial" w:cs="Arial"/>
          <w:sz w:val="18"/>
          <w:szCs w:val="18"/>
          <w:lang w:eastAsia="es-MX"/>
        </w:rPr>
        <w:t>- El presente Protocolo surtirá efectos a partir del 19 de marzo de 2022.</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Artículo 12°.</w:t>
      </w:r>
      <w:r w:rsidRPr="00891057">
        <w:rPr>
          <w:rFonts w:ascii="Arial" w:eastAsia="Times New Roman" w:hAnsi="Arial" w:cs="Arial"/>
          <w:sz w:val="18"/>
          <w:szCs w:val="18"/>
          <w:lang w:eastAsia="es-MX"/>
        </w:rPr>
        <w:t>- La Secretaría General de la ALADI será depositaria del presente Protocolo, del cual enviará copias debidamente autenticadas a los Gobiernos de los países signatarios.</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EN FE DE LO CUAL</w:t>
      </w:r>
      <w:r w:rsidRPr="00891057">
        <w:rPr>
          <w:rFonts w:ascii="Arial" w:eastAsia="Times New Roman" w:hAnsi="Arial" w:cs="Arial"/>
          <w:sz w:val="18"/>
          <w:szCs w:val="18"/>
          <w:lang w:eastAsia="es-MX"/>
        </w:rPr>
        <w:t>, los respectivos Plenipotenciarios firman el presente Protocolo en la ciudad de Montevideo, a los dieciocho días del mes de marzo de dos mil veintidós, en un original en idioma español. (Fdo</w:t>
      </w:r>
      <w:proofErr w:type="gramStart"/>
      <w:r w:rsidRPr="00891057">
        <w:rPr>
          <w:rFonts w:ascii="Arial" w:eastAsia="Times New Roman" w:hAnsi="Arial" w:cs="Arial"/>
          <w:sz w:val="18"/>
          <w:szCs w:val="18"/>
          <w:lang w:eastAsia="es-MX"/>
        </w:rPr>
        <w:t>.:</w:t>
      </w:r>
      <w:proofErr w:type="gramEnd"/>
      <w:r w:rsidRPr="00891057">
        <w:rPr>
          <w:rFonts w:ascii="Arial" w:eastAsia="Times New Roman" w:hAnsi="Arial" w:cs="Arial"/>
          <w:sz w:val="18"/>
          <w:szCs w:val="18"/>
          <w:lang w:eastAsia="es-MX"/>
        </w:rPr>
        <w:t xml:space="preserve">) Por el Gobierno de la República Argentina: Victorio Tomás </w:t>
      </w:r>
      <w:proofErr w:type="spellStart"/>
      <w:r w:rsidRPr="00891057">
        <w:rPr>
          <w:rFonts w:ascii="Arial" w:eastAsia="Times New Roman" w:hAnsi="Arial" w:cs="Arial"/>
          <w:sz w:val="18"/>
          <w:szCs w:val="18"/>
          <w:lang w:eastAsia="es-MX"/>
        </w:rPr>
        <w:t>Carpintieri</w:t>
      </w:r>
      <w:proofErr w:type="spellEnd"/>
      <w:r w:rsidRPr="00891057">
        <w:rPr>
          <w:rFonts w:ascii="Arial" w:eastAsia="Times New Roman" w:hAnsi="Arial" w:cs="Arial"/>
          <w:sz w:val="18"/>
          <w:szCs w:val="18"/>
          <w:lang w:eastAsia="es-MX"/>
        </w:rPr>
        <w:t>; Por el Gobierno de los Estados Unidos Mexicanos: Víctor Manuel Barceló Rodríguez."</w:t>
      </w:r>
    </w:p>
    <w:p w:rsidR="00891057" w:rsidRPr="00891057" w:rsidRDefault="00891057" w:rsidP="00891057">
      <w:pPr>
        <w:spacing w:after="101" w:line="240" w:lineRule="auto"/>
        <w:jc w:val="center"/>
        <w:rPr>
          <w:rFonts w:ascii="Arial" w:eastAsia="Times New Roman" w:hAnsi="Arial" w:cs="Arial"/>
          <w:b/>
          <w:sz w:val="18"/>
          <w:szCs w:val="18"/>
          <w:lang w:eastAsia="es-MX"/>
        </w:rPr>
      </w:pPr>
      <w:r w:rsidRPr="00891057">
        <w:rPr>
          <w:rFonts w:ascii="Arial" w:eastAsia="Times New Roman" w:hAnsi="Arial" w:cs="Arial"/>
          <w:b/>
          <w:sz w:val="18"/>
          <w:szCs w:val="18"/>
          <w:lang w:eastAsia="es-MX"/>
        </w:rPr>
        <w:t>TRANSITORIOS</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PRIMERO.-</w:t>
      </w:r>
      <w:r w:rsidRPr="00891057">
        <w:rPr>
          <w:rFonts w:ascii="Arial" w:eastAsia="Times New Roman" w:hAnsi="Arial" w:cs="Arial"/>
          <w:sz w:val="18"/>
          <w:szCs w:val="18"/>
          <w:lang w:eastAsia="es-MX"/>
        </w:rPr>
        <w:t xml:space="preserve"> El presente Acuerdo entrará en vigor el día de su publicación en el Diario Oficial de la Federación.</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b/>
          <w:bCs/>
          <w:sz w:val="18"/>
          <w:szCs w:val="18"/>
          <w:lang w:eastAsia="es-MX"/>
        </w:rPr>
        <w:t>SEGUNDO.-</w:t>
      </w:r>
      <w:r w:rsidRPr="00891057">
        <w:rPr>
          <w:rFonts w:ascii="Arial" w:eastAsia="Times New Roman" w:hAnsi="Arial" w:cs="Arial"/>
          <w:sz w:val="18"/>
          <w:szCs w:val="18"/>
          <w:lang w:eastAsia="es-MX"/>
        </w:rPr>
        <w:t xml:space="preserve"> Las disposiciones previstas en el Séptimo Protocolo Adicional al Apéndice I "Sobre el Comercio en el Sector Automotor entre la Argentina y México" del Acuerdo de Complementación Económica N° 55 celebrado entre el MERCOSUR y los Estados Unidos Mexicanos, son aplicables en términos del Artículo 11° del propio Protocolo.</w:t>
      </w:r>
    </w:p>
    <w:p w:rsidR="00891057" w:rsidRPr="00891057" w:rsidRDefault="00891057" w:rsidP="00891057">
      <w:pPr>
        <w:spacing w:after="101" w:line="240" w:lineRule="auto"/>
        <w:ind w:firstLine="288"/>
        <w:jc w:val="both"/>
        <w:rPr>
          <w:rFonts w:ascii="Arial" w:eastAsia="Times New Roman" w:hAnsi="Arial" w:cs="Arial"/>
          <w:sz w:val="18"/>
          <w:szCs w:val="18"/>
          <w:lang w:eastAsia="es-MX"/>
        </w:rPr>
      </w:pPr>
      <w:r w:rsidRPr="00891057">
        <w:rPr>
          <w:rFonts w:ascii="Arial" w:eastAsia="Times New Roman" w:hAnsi="Arial" w:cs="Arial"/>
          <w:sz w:val="18"/>
          <w:szCs w:val="18"/>
          <w:lang w:eastAsia="es-MX"/>
        </w:rPr>
        <w:t xml:space="preserve">Ciudad de México, a 29 de marzo de 2022.- La Secretaria de Economía, </w:t>
      </w:r>
      <w:r w:rsidRPr="00891057">
        <w:rPr>
          <w:rFonts w:ascii="Arial" w:eastAsia="Times New Roman" w:hAnsi="Arial" w:cs="Arial"/>
          <w:b/>
          <w:bCs/>
          <w:sz w:val="18"/>
          <w:szCs w:val="18"/>
          <w:lang w:eastAsia="es-MX"/>
        </w:rPr>
        <w:t xml:space="preserve">Tatiana </w:t>
      </w:r>
      <w:proofErr w:type="spellStart"/>
      <w:r w:rsidRPr="00891057">
        <w:rPr>
          <w:rFonts w:ascii="Arial" w:eastAsia="Times New Roman" w:hAnsi="Arial" w:cs="Arial"/>
          <w:b/>
          <w:bCs/>
          <w:sz w:val="18"/>
          <w:szCs w:val="18"/>
          <w:lang w:eastAsia="es-MX"/>
        </w:rPr>
        <w:t>Clouthier</w:t>
      </w:r>
      <w:proofErr w:type="spellEnd"/>
      <w:r w:rsidRPr="00891057">
        <w:rPr>
          <w:rFonts w:ascii="Arial" w:eastAsia="Times New Roman" w:hAnsi="Arial" w:cs="Arial"/>
          <w:b/>
          <w:bCs/>
          <w:sz w:val="18"/>
          <w:szCs w:val="18"/>
          <w:lang w:eastAsia="es-MX"/>
        </w:rPr>
        <w:t xml:space="preserve"> Carrillo</w:t>
      </w:r>
      <w:r w:rsidRPr="00891057">
        <w:rPr>
          <w:rFonts w:ascii="Arial" w:eastAsia="Times New Roman" w:hAnsi="Arial" w:cs="Arial"/>
          <w:sz w:val="18"/>
          <w:szCs w:val="18"/>
          <w:lang w:eastAsia="es-MX"/>
        </w:rPr>
        <w:t>.- Rúbrica.</w:t>
      </w:r>
    </w:p>
    <w:p w:rsidR="00891057" w:rsidRDefault="00891057" w:rsidP="00891057">
      <w:pPr>
        <w:jc w:val="both"/>
      </w:pPr>
    </w:p>
    <w:sectPr w:rsidR="008910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57"/>
    <w:rsid w:val="005152B3"/>
    <w:rsid w:val="00891057"/>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8396">
      <w:bodyDiv w:val="1"/>
      <w:marLeft w:val="0"/>
      <w:marRight w:val="0"/>
      <w:marTop w:val="0"/>
      <w:marBottom w:val="0"/>
      <w:divBdr>
        <w:top w:val="none" w:sz="0" w:space="0" w:color="auto"/>
        <w:left w:val="none" w:sz="0" w:space="0" w:color="auto"/>
        <w:bottom w:val="none" w:sz="0" w:space="0" w:color="auto"/>
        <w:right w:val="none" w:sz="0" w:space="0" w:color="auto"/>
      </w:divBdr>
      <w:divsChild>
        <w:div w:id="1336180596">
          <w:marLeft w:val="0"/>
          <w:marRight w:val="0"/>
          <w:marTop w:val="0"/>
          <w:marBottom w:val="101"/>
          <w:divBdr>
            <w:top w:val="none" w:sz="0" w:space="0" w:color="auto"/>
            <w:left w:val="none" w:sz="0" w:space="0" w:color="auto"/>
            <w:bottom w:val="none" w:sz="0" w:space="0" w:color="auto"/>
            <w:right w:val="none" w:sz="0" w:space="0" w:color="auto"/>
          </w:divBdr>
        </w:div>
        <w:div w:id="891960621">
          <w:marLeft w:val="0"/>
          <w:marRight w:val="0"/>
          <w:marTop w:val="101"/>
          <w:marBottom w:val="101"/>
          <w:divBdr>
            <w:top w:val="none" w:sz="0" w:space="0" w:color="auto"/>
            <w:left w:val="none" w:sz="0" w:space="0" w:color="auto"/>
            <w:bottom w:val="none" w:sz="0" w:space="0" w:color="auto"/>
            <w:right w:val="none" w:sz="0" w:space="0" w:color="auto"/>
          </w:divBdr>
        </w:div>
        <w:div w:id="2033530671">
          <w:marLeft w:val="0"/>
          <w:marRight w:val="0"/>
          <w:marTop w:val="0"/>
          <w:marBottom w:val="101"/>
          <w:divBdr>
            <w:top w:val="none" w:sz="0" w:space="0" w:color="auto"/>
            <w:left w:val="none" w:sz="0" w:space="0" w:color="auto"/>
            <w:bottom w:val="none" w:sz="0" w:space="0" w:color="auto"/>
            <w:right w:val="none" w:sz="0" w:space="0" w:color="auto"/>
          </w:divBdr>
        </w:div>
        <w:div w:id="285938137">
          <w:marLeft w:val="0"/>
          <w:marRight w:val="0"/>
          <w:marTop w:val="0"/>
          <w:marBottom w:val="101"/>
          <w:divBdr>
            <w:top w:val="none" w:sz="0" w:space="0" w:color="auto"/>
            <w:left w:val="none" w:sz="0" w:space="0" w:color="auto"/>
            <w:bottom w:val="none" w:sz="0" w:space="0" w:color="auto"/>
            <w:right w:val="none" w:sz="0" w:space="0" w:color="auto"/>
          </w:divBdr>
        </w:div>
        <w:div w:id="1080636917">
          <w:marLeft w:val="0"/>
          <w:marRight w:val="0"/>
          <w:marTop w:val="0"/>
          <w:marBottom w:val="101"/>
          <w:divBdr>
            <w:top w:val="none" w:sz="0" w:space="0" w:color="auto"/>
            <w:left w:val="none" w:sz="0" w:space="0" w:color="auto"/>
            <w:bottom w:val="none" w:sz="0" w:space="0" w:color="auto"/>
            <w:right w:val="none" w:sz="0" w:space="0" w:color="auto"/>
          </w:divBdr>
        </w:div>
        <w:div w:id="211505310">
          <w:marLeft w:val="0"/>
          <w:marRight w:val="0"/>
          <w:marTop w:val="0"/>
          <w:marBottom w:val="101"/>
          <w:divBdr>
            <w:top w:val="none" w:sz="0" w:space="0" w:color="auto"/>
            <w:left w:val="none" w:sz="0" w:space="0" w:color="auto"/>
            <w:bottom w:val="none" w:sz="0" w:space="0" w:color="auto"/>
            <w:right w:val="none" w:sz="0" w:space="0" w:color="auto"/>
          </w:divBdr>
        </w:div>
        <w:div w:id="1532064179">
          <w:marLeft w:val="0"/>
          <w:marRight w:val="0"/>
          <w:marTop w:val="0"/>
          <w:marBottom w:val="101"/>
          <w:divBdr>
            <w:top w:val="none" w:sz="0" w:space="0" w:color="auto"/>
            <w:left w:val="none" w:sz="0" w:space="0" w:color="auto"/>
            <w:bottom w:val="none" w:sz="0" w:space="0" w:color="auto"/>
            <w:right w:val="none" w:sz="0" w:space="0" w:color="auto"/>
          </w:divBdr>
        </w:div>
        <w:div w:id="2130858984">
          <w:marLeft w:val="0"/>
          <w:marRight w:val="0"/>
          <w:marTop w:val="101"/>
          <w:marBottom w:val="101"/>
          <w:divBdr>
            <w:top w:val="none" w:sz="0" w:space="0" w:color="auto"/>
            <w:left w:val="none" w:sz="0" w:space="0" w:color="auto"/>
            <w:bottom w:val="none" w:sz="0" w:space="0" w:color="auto"/>
            <w:right w:val="none" w:sz="0" w:space="0" w:color="auto"/>
          </w:divBdr>
        </w:div>
        <w:div w:id="2074615007">
          <w:marLeft w:val="0"/>
          <w:marRight w:val="0"/>
          <w:marTop w:val="0"/>
          <w:marBottom w:val="101"/>
          <w:divBdr>
            <w:top w:val="none" w:sz="0" w:space="0" w:color="auto"/>
            <w:left w:val="none" w:sz="0" w:space="0" w:color="auto"/>
            <w:bottom w:val="none" w:sz="0" w:space="0" w:color="auto"/>
            <w:right w:val="none" w:sz="0" w:space="0" w:color="auto"/>
          </w:divBdr>
        </w:div>
        <w:div w:id="716245831">
          <w:marLeft w:val="0"/>
          <w:marRight w:val="0"/>
          <w:marTop w:val="0"/>
          <w:marBottom w:val="101"/>
          <w:divBdr>
            <w:top w:val="none" w:sz="0" w:space="0" w:color="auto"/>
            <w:left w:val="none" w:sz="0" w:space="0" w:color="auto"/>
            <w:bottom w:val="none" w:sz="0" w:space="0" w:color="auto"/>
            <w:right w:val="none" w:sz="0" w:space="0" w:color="auto"/>
          </w:divBdr>
        </w:div>
        <w:div w:id="567614066">
          <w:marLeft w:val="0"/>
          <w:marRight w:val="0"/>
          <w:marTop w:val="0"/>
          <w:marBottom w:val="101"/>
          <w:divBdr>
            <w:top w:val="none" w:sz="0" w:space="0" w:color="auto"/>
            <w:left w:val="none" w:sz="0" w:space="0" w:color="auto"/>
            <w:bottom w:val="none" w:sz="0" w:space="0" w:color="auto"/>
            <w:right w:val="none" w:sz="0" w:space="0" w:color="auto"/>
          </w:divBdr>
        </w:div>
        <w:div w:id="539441826">
          <w:marLeft w:val="0"/>
          <w:marRight w:val="0"/>
          <w:marTop w:val="0"/>
          <w:marBottom w:val="101"/>
          <w:divBdr>
            <w:top w:val="none" w:sz="0" w:space="0" w:color="auto"/>
            <w:left w:val="none" w:sz="0" w:space="0" w:color="auto"/>
            <w:bottom w:val="none" w:sz="0" w:space="0" w:color="auto"/>
            <w:right w:val="none" w:sz="0" w:space="0" w:color="auto"/>
          </w:divBdr>
        </w:div>
        <w:div w:id="1705598022">
          <w:marLeft w:val="0"/>
          <w:marRight w:val="0"/>
          <w:marTop w:val="0"/>
          <w:marBottom w:val="101"/>
          <w:divBdr>
            <w:top w:val="none" w:sz="0" w:space="0" w:color="auto"/>
            <w:left w:val="none" w:sz="0" w:space="0" w:color="auto"/>
            <w:bottom w:val="none" w:sz="0" w:space="0" w:color="auto"/>
            <w:right w:val="none" w:sz="0" w:space="0" w:color="auto"/>
          </w:divBdr>
        </w:div>
        <w:div w:id="464545421">
          <w:marLeft w:val="0"/>
          <w:marRight w:val="0"/>
          <w:marTop w:val="0"/>
          <w:marBottom w:val="101"/>
          <w:divBdr>
            <w:top w:val="none" w:sz="0" w:space="0" w:color="auto"/>
            <w:left w:val="none" w:sz="0" w:space="0" w:color="auto"/>
            <w:bottom w:val="none" w:sz="0" w:space="0" w:color="auto"/>
            <w:right w:val="none" w:sz="0" w:space="0" w:color="auto"/>
          </w:divBdr>
        </w:div>
        <w:div w:id="1689866574">
          <w:marLeft w:val="0"/>
          <w:marRight w:val="0"/>
          <w:marTop w:val="0"/>
          <w:marBottom w:val="101"/>
          <w:divBdr>
            <w:top w:val="none" w:sz="0" w:space="0" w:color="auto"/>
            <w:left w:val="none" w:sz="0" w:space="0" w:color="auto"/>
            <w:bottom w:val="none" w:sz="0" w:space="0" w:color="auto"/>
            <w:right w:val="none" w:sz="0" w:space="0" w:color="auto"/>
          </w:divBdr>
        </w:div>
        <w:div w:id="1140227524">
          <w:marLeft w:val="0"/>
          <w:marRight w:val="0"/>
          <w:marTop w:val="0"/>
          <w:marBottom w:val="101"/>
          <w:divBdr>
            <w:top w:val="none" w:sz="0" w:space="0" w:color="auto"/>
            <w:left w:val="none" w:sz="0" w:space="0" w:color="auto"/>
            <w:bottom w:val="none" w:sz="0" w:space="0" w:color="auto"/>
            <w:right w:val="none" w:sz="0" w:space="0" w:color="auto"/>
          </w:divBdr>
        </w:div>
        <w:div w:id="1924801094">
          <w:marLeft w:val="0"/>
          <w:marRight w:val="0"/>
          <w:marTop w:val="0"/>
          <w:marBottom w:val="101"/>
          <w:divBdr>
            <w:top w:val="none" w:sz="0" w:space="0" w:color="auto"/>
            <w:left w:val="none" w:sz="0" w:space="0" w:color="auto"/>
            <w:bottom w:val="none" w:sz="0" w:space="0" w:color="auto"/>
            <w:right w:val="none" w:sz="0" w:space="0" w:color="auto"/>
          </w:divBdr>
        </w:div>
        <w:div w:id="1870338725">
          <w:marLeft w:val="0"/>
          <w:marRight w:val="0"/>
          <w:marTop w:val="0"/>
          <w:marBottom w:val="101"/>
          <w:divBdr>
            <w:top w:val="none" w:sz="0" w:space="0" w:color="auto"/>
            <w:left w:val="none" w:sz="0" w:space="0" w:color="auto"/>
            <w:bottom w:val="none" w:sz="0" w:space="0" w:color="auto"/>
            <w:right w:val="none" w:sz="0" w:space="0" w:color="auto"/>
          </w:divBdr>
        </w:div>
        <w:div w:id="1282304609">
          <w:marLeft w:val="0"/>
          <w:marRight w:val="0"/>
          <w:marTop w:val="0"/>
          <w:marBottom w:val="101"/>
          <w:divBdr>
            <w:top w:val="none" w:sz="0" w:space="0" w:color="auto"/>
            <w:left w:val="none" w:sz="0" w:space="0" w:color="auto"/>
            <w:bottom w:val="none" w:sz="0" w:space="0" w:color="auto"/>
            <w:right w:val="none" w:sz="0" w:space="0" w:color="auto"/>
          </w:divBdr>
        </w:div>
        <w:div w:id="665784228">
          <w:marLeft w:val="0"/>
          <w:marRight w:val="0"/>
          <w:marTop w:val="0"/>
          <w:marBottom w:val="101"/>
          <w:divBdr>
            <w:top w:val="none" w:sz="0" w:space="0" w:color="auto"/>
            <w:left w:val="none" w:sz="0" w:space="0" w:color="auto"/>
            <w:bottom w:val="none" w:sz="0" w:space="0" w:color="auto"/>
            <w:right w:val="none" w:sz="0" w:space="0" w:color="auto"/>
          </w:divBdr>
        </w:div>
        <w:div w:id="539709948">
          <w:marLeft w:val="0"/>
          <w:marRight w:val="0"/>
          <w:marTop w:val="0"/>
          <w:marBottom w:val="101"/>
          <w:divBdr>
            <w:top w:val="none" w:sz="0" w:space="0" w:color="auto"/>
            <w:left w:val="none" w:sz="0" w:space="0" w:color="auto"/>
            <w:bottom w:val="none" w:sz="0" w:space="0" w:color="auto"/>
            <w:right w:val="none" w:sz="0" w:space="0" w:color="auto"/>
          </w:divBdr>
        </w:div>
        <w:div w:id="1562011136">
          <w:marLeft w:val="0"/>
          <w:marRight w:val="0"/>
          <w:marTop w:val="0"/>
          <w:marBottom w:val="101"/>
          <w:divBdr>
            <w:top w:val="none" w:sz="0" w:space="0" w:color="auto"/>
            <w:left w:val="none" w:sz="0" w:space="0" w:color="auto"/>
            <w:bottom w:val="none" w:sz="0" w:space="0" w:color="auto"/>
            <w:right w:val="none" w:sz="0" w:space="0" w:color="auto"/>
          </w:divBdr>
        </w:div>
        <w:div w:id="621421044">
          <w:marLeft w:val="0"/>
          <w:marRight w:val="0"/>
          <w:marTop w:val="0"/>
          <w:marBottom w:val="101"/>
          <w:divBdr>
            <w:top w:val="none" w:sz="0" w:space="0" w:color="auto"/>
            <w:left w:val="none" w:sz="0" w:space="0" w:color="auto"/>
            <w:bottom w:val="none" w:sz="0" w:space="0" w:color="auto"/>
            <w:right w:val="none" w:sz="0" w:space="0" w:color="auto"/>
          </w:divBdr>
        </w:div>
        <w:div w:id="494877009">
          <w:marLeft w:val="0"/>
          <w:marRight w:val="0"/>
          <w:marTop w:val="0"/>
          <w:marBottom w:val="101"/>
          <w:divBdr>
            <w:top w:val="none" w:sz="0" w:space="0" w:color="auto"/>
            <w:left w:val="none" w:sz="0" w:space="0" w:color="auto"/>
            <w:bottom w:val="none" w:sz="0" w:space="0" w:color="auto"/>
            <w:right w:val="none" w:sz="0" w:space="0" w:color="auto"/>
          </w:divBdr>
        </w:div>
        <w:div w:id="1921061368">
          <w:marLeft w:val="0"/>
          <w:marRight w:val="0"/>
          <w:marTop w:val="0"/>
          <w:marBottom w:val="101"/>
          <w:divBdr>
            <w:top w:val="none" w:sz="0" w:space="0" w:color="auto"/>
            <w:left w:val="none" w:sz="0" w:space="0" w:color="auto"/>
            <w:bottom w:val="none" w:sz="0" w:space="0" w:color="auto"/>
            <w:right w:val="none" w:sz="0" w:space="0" w:color="auto"/>
          </w:divBdr>
        </w:div>
        <w:div w:id="1827282773">
          <w:marLeft w:val="0"/>
          <w:marRight w:val="0"/>
          <w:marTop w:val="0"/>
          <w:marBottom w:val="101"/>
          <w:divBdr>
            <w:top w:val="none" w:sz="0" w:space="0" w:color="auto"/>
            <w:left w:val="none" w:sz="0" w:space="0" w:color="auto"/>
            <w:bottom w:val="none" w:sz="0" w:space="0" w:color="auto"/>
            <w:right w:val="none" w:sz="0" w:space="0" w:color="auto"/>
          </w:divBdr>
        </w:div>
        <w:div w:id="111366820">
          <w:marLeft w:val="0"/>
          <w:marRight w:val="0"/>
          <w:marTop w:val="0"/>
          <w:marBottom w:val="0"/>
          <w:divBdr>
            <w:top w:val="none" w:sz="0" w:space="0" w:color="auto"/>
            <w:left w:val="none" w:sz="0" w:space="0" w:color="auto"/>
            <w:bottom w:val="none" w:sz="0" w:space="0" w:color="auto"/>
            <w:right w:val="none" w:sz="0" w:space="0" w:color="auto"/>
          </w:divBdr>
        </w:div>
        <w:div w:id="82919898">
          <w:marLeft w:val="0"/>
          <w:marRight w:val="0"/>
          <w:marTop w:val="0"/>
          <w:marBottom w:val="101"/>
          <w:divBdr>
            <w:top w:val="none" w:sz="0" w:space="0" w:color="auto"/>
            <w:left w:val="none" w:sz="0" w:space="0" w:color="auto"/>
            <w:bottom w:val="none" w:sz="0" w:space="0" w:color="auto"/>
            <w:right w:val="none" w:sz="0" w:space="0" w:color="auto"/>
          </w:divBdr>
        </w:div>
        <w:div w:id="1388064936">
          <w:marLeft w:val="0"/>
          <w:marRight w:val="0"/>
          <w:marTop w:val="0"/>
          <w:marBottom w:val="101"/>
          <w:divBdr>
            <w:top w:val="none" w:sz="0" w:space="0" w:color="auto"/>
            <w:left w:val="none" w:sz="0" w:space="0" w:color="auto"/>
            <w:bottom w:val="none" w:sz="0" w:space="0" w:color="auto"/>
            <w:right w:val="none" w:sz="0" w:space="0" w:color="auto"/>
          </w:divBdr>
        </w:div>
        <w:div w:id="932133387">
          <w:marLeft w:val="0"/>
          <w:marRight w:val="0"/>
          <w:marTop w:val="0"/>
          <w:marBottom w:val="101"/>
          <w:divBdr>
            <w:top w:val="none" w:sz="0" w:space="0" w:color="auto"/>
            <w:left w:val="none" w:sz="0" w:space="0" w:color="auto"/>
            <w:bottom w:val="none" w:sz="0" w:space="0" w:color="auto"/>
            <w:right w:val="none" w:sz="0" w:space="0" w:color="auto"/>
          </w:divBdr>
        </w:div>
        <w:div w:id="1531456685">
          <w:marLeft w:val="0"/>
          <w:marRight w:val="0"/>
          <w:marTop w:val="0"/>
          <w:marBottom w:val="101"/>
          <w:divBdr>
            <w:top w:val="none" w:sz="0" w:space="0" w:color="auto"/>
            <w:left w:val="none" w:sz="0" w:space="0" w:color="auto"/>
            <w:bottom w:val="none" w:sz="0" w:space="0" w:color="auto"/>
            <w:right w:val="none" w:sz="0" w:space="0" w:color="auto"/>
          </w:divBdr>
        </w:div>
        <w:div w:id="177503242">
          <w:marLeft w:val="0"/>
          <w:marRight w:val="0"/>
          <w:marTop w:val="0"/>
          <w:marBottom w:val="101"/>
          <w:divBdr>
            <w:top w:val="none" w:sz="0" w:space="0" w:color="auto"/>
            <w:left w:val="none" w:sz="0" w:space="0" w:color="auto"/>
            <w:bottom w:val="none" w:sz="0" w:space="0" w:color="auto"/>
            <w:right w:val="none" w:sz="0" w:space="0" w:color="auto"/>
          </w:divBdr>
        </w:div>
        <w:div w:id="1058213789">
          <w:marLeft w:val="0"/>
          <w:marRight w:val="0"/>
          <w:marTop w:val="0"/>
          <w:marBottom w:val="101"/>
          <w:divBdr>
            <w:top w:val="none" w:sz="0" w:space="0" w:color="auto"/>
            <w:left w:val="none" w:sz="0" w:space="0" w:color="auto"/>
            <w:bottom w:val="none" w:sz="0" w:space="0" w:color="auto"/>
            <w:right w:val="none" w:sz="0" w:space="0" w:color="auto"/>
          </w:divBdr>
        </w:div>
        <w:div w:id="321083714">
          <w:marLeft w:val="0"/>
          <w:marRight w:val="0"/>
          <w:marTop w:val="0"/>
          <w:marBottom w:val="101"/>
          <w:divBdr>
            <w:top w:val="none" w:sz="0" w:space="0" w:color="auto"/>
            <w:left w:val="none" w:sz="0" w:space="0" w:color="auto"/>
            <w:bottom w:val="none" w:sz="0" w:space="0" w:color="auto"/>
            <w:right w:val="none" w:sz="0" w:space="0" w:color="auto"/>
          </w:divBdr>
        </w:div>
        <w:div w:id="1350254928">
          <w:marLeft w:val="0"/>
          <w:marRight w:val="0"/>
          <w:marTop w:val="0"/>
          <w:marBottom w:val="101"/>
          <w:divBdr>
            <w:top w:val="none" w:sz="0" w:space="0" w:color="auto"/>
            <w:left w:val="none" w:sz="0" w:space="0" w:color="auto"/>
            <w:bottom w:val="none" w:sz="0" w:space="0" w:color="auto"/>
            <w:right w:val="none" w:sz="0" w:space="0" w:color="auto"/>
          </w:divBdr>
        </w:div>
        <w:div w:id="833763939">
          <w:marLeft w:val="0"/>
          <w:marRight w:val="0"/>
          <w:marTop w:val="0"/>
          <w:marBottom w:val="101"/>
          <w:divBdr>
            <w:top w:val="none" w:sz="0" w:space="0" w:color="auto"/>
            <w:left w:val="none" w:sz="0" w:space="0" w:color="auto"/>
            <w:bottom w:val="none" w:sz="0" w:space="0" w:color="auto"/>
            <w:right w:val="none" w:sz="0" w:space="0" w:color="auto"/>
          </w:divBdr>
        </w:div>
        <w:div w:id="2062167343">
          <w:marLeft w:val="0"/>
          <w:marRight w:val="0"/>
          <w:marTop w:val="0"/>
          <w:marBottom w:val="101"/>
          <w:divBdr>
            <w:top w:val="none" w:sz="0" w:space="0" w:color="auto"/>
            <w:left w:val="none" w:sz="0" w:space="0" w:color="auto"/>
            <w:bottom w:val="none" w:sz="0" w:space="0" w:color="auto"/>
            <w:right w:val="none" w:sz="0" w:space="0" w:color="auto"/>
          </w:divBdr>
        </w:div>
        <w:div w:id="1863741642">
          <w:marLeft w:val="0"/>
          <w:marRight w:val="0"/>
          <w:marTop w:val="0"/>
          <w:marBottom w:val="101"/>
          <w:divBdr>
            <w:top w:val="none" w:sz="0" w:space="0" w:color="auto"/>
            <w:left w:val="none" w:sz="0" w:space="0" w:color="auto"/>
            <w:bottom w:val="none" w:sz="0" w:space="0" w:color="auto"/>
            <w:right w:val="none" w:sz="0" w:space="0" w:color="auto"/>
          </w:divBdr>
        </w:div>
        <w:div w:id="331446353">
          <w:marLeft w:val="0"/>
          <w:marRight w:val="0"/>
          <w:marTop w:val="0"/>
          <w:marBottom w:val="101"/>
          <w:divBdr>
            <w:top w:val="none" w:sz="0" w:space="0" w:color="auto"/>
            <w:left w:val="none" w:sz="0" w:space="0" w:color="auto"/>
            <w:bottom w:val="none" w:sz="0" w:space="0" w:color="auto"/>
            <w:right w:val="none" w:sz="0" w:space="0" w:color="auto"/>
          </w:divBdr>
        </w:div>
        <w:div w:id="1811366456">
          <w:marLeft w:val="0"/>
          <w:marRight w:val="0"/>
          <w:marTop w:val="0"/>
          <w:marBottom w:val="101"/>
          <w:divBdr>
            <w:top w:val="none" w:sz="0" w:space="0" w:color="auto"/>
            <w:left w:val="none" w:sz="0" w:space="0" w:color="auto"/>
            <w:bottom w:val="none" w:sz="0" w:space="0" w:color="auto"/>
            <w:right w:val="none" w:sz="0" w:space="0" w:color="auto"/>
          </w:divBdr>
        </w:div>
        <w:div w:id="184640072">
          <w:marLeft w:val="0"/>
          <w:marRight w:val="0"/>
          <w:marTop w:val="0"/>
          <w:marBottom w:val="101"/>
          <w:divBdr>
            <w:top w:val="none" w:sz="0" w:space="0" w:color="auto"/>
            <w:left w:val="none" w:sz="0" w:space="0" w:color="auto"/>
            <w:bottom w:val="none" w:sz="0" w:space="0" w:color="auto"/>
            <w:right w:val="none" w:sz="0" w:space="0" w:color="auto"/>
          </w:divBdr>
        </w:div>
        <w:div w:id="181207667">
          <w:marLeft w:val="0"/>
          <w:marRight w:val="0"/>
          <w:marTop w:val="0"/>
          <w:marBottom w:val="101"/>
          <w:divBdr>
            <w:top w:val="none" w:sz="0" w:space="0" w:color="auto"/>
            <w:left w:val="none" w:sz="0" w:space="0" w:color="auto"/>
            <w:bottom w:val="none" w:sz="0" w:space="0" w:color="auto"/>
            <w:right w:val="none" w:sz="0" w:space="0" w:color="auto"/>
          </w:divBdr>
        </w:div>
        <w:div w:id="1803767643">
          <w:marLeft w:val="0"/>
          <w:marRight w:val="0"/>
          <w:marTop w:val="0"/>
          <w:marBottom w:val="101"/>
          <w:divBdr>
            <w:top w:val="none" w:sz="0" w:space="0" w:color="auto"/>
            <w:left w:val="none" w:sz="0" w:space="0" w:color="auto"/>
            <w:bottom w:val="none" w:sz="0" w:space="0" w:color="auto"/>
            <w:right w:val="none" w:sz="0" w:space="0" w:color="auto"/>
          </w:divBdr>
        </w:div>
        <w:div w:id="2038844158">
          <w:marLeft w:val="0"/>
          <w:marRight w:val="0"/>
          <w:marTop w:val="0"/>
          <w:marBottom w:val="101"/>
          <w:divBdr>
            <w:top w:val="none" w:sz="0" w:space="0" w:color="auto"/>
            <w:left w:val="none" w:sz="0" w:space="0" w:color="auto"/>
            <w:bottom w:val="none" w:sz="0" w:space="0" w:color="auto"/>
            <w:right w:val="none" w:sz="0" w:space="0" w:color="auto"/>
          </w:divBdr>
        </w:div>
        <w:div w:id="125465404">
          <w:marLeft w:val="0"/>
          <w:marRight w:val="0"/>
          <w:marTop w:val="0"/>
          <w:marBottom w:val="101"/>
          <w:divBdr>
            <w:top w:val="none" w:sz="0" w:space="0" w:color="auto"/>
            <w:left w:val="none" w:sz="0" w:space="0" w:color="auto"/>
            <w:bottom w:val="none" w:sz="0" w:space="0" w:color="auto"/>
            <w:right w:val="none" w:sz="0" w:space="0" w:color="auto"/>
          </w:divBdr>
        </w:div>
        <w:div w:id="2064255229">
          <w:marLeft w:val="0"/>
          <w:marRight w:val="0"/>
          <w:marTop w:val="0"/>
          <w:marBottom w:val="101"/>
          <w:divBdr>
            <w:top w:val="none" w:sz="0" w:space="0" w:color="auto"/>
            <w:left w:val="none" w:sz="0" w:space="0" w:color="auto"/>
            <w:bottom w:val="none" w:sz="0" w:space="0" w:color="auto"/>
            <w:right w:val="none" w:sz="0" w:space="0" w:color="auto"/>
          </w:divBdr>
        </w:div>
        <w:div w:id="1417242312">
          <w:marLeft w:val="0"/>
          <w:marRight w:val="0"/>
          <w:marTop w:val="0"/>
          <w:marBottom w:val="101"/>
          <w:divBdr>
            <w:top w:val="none" w:sz="0" w:space="0" w:color="auto"/>
            <w:left w:val="none" w:sz="0" w:space="0" w:color="auto"/>
            <w:bottom w:val="none" w:sz="0" w:space="0" w:color="auto"/>
            <w:right w:val="none" w:sz="0" w:space="0" w:color="auto"/>
          </w:divBdr>
        </w:div>
        <w:div w:id="840900363">
          <w:marLeft w:val="0"/>
          <w:marRight w:val="0"/>
          <w:marTop w:val="0"/>
          <w:marBottom w:val="101"/>
          <w:divBdr>
            <w:top w:val="none" w:sz="0" w:space="0" w:color="auto"/>
            <w:left w:val="none" w:sz="0" w:space="0" w:color="auto"/>
            <w:bottom w:val="none" w:sz="0" w:space="0" w:color="auto"/>
            <w:right w:val="none" w:sz="0" w:space="0" w:color="auto"/>
          </w:divBdr>
        </w:div>
        <w:div w:id="1963151484">
          <w:marLeft w:val="0"/>
          <w:marRight w:val="0"/>
          <w:marTop w:val="0"/>
          <w:marBottom w:val="101"/>
          <w:divBdr>
            <w:top w:val="none" w:sz="0" w:space="0" w:color="auto"/>
            <w:left w:val="none" w:sz="0" w:space="0" w:color="auto"/>
            <w:bottom w:val="none" w:sz="0" w:space="0" w:color="auto"/>
            <w:right w:val="none" w:sz="0" w:space="0" w:color="auto"/>
          </w:divBdr>
        </w:div>
        <w:div w:id="933127866">
          <w:marLeft w:val="0"/>
          <w:marRight w:val="0"/>
          <w:marTop w:val="0"/>
          <w:marBottom w:val="101"/>
          <w:divBdr>
            <w:top w:val="none" w:sz="0" w:space="0" w:color="auto"/>
            <w:left w:val="none" w:sz="0" w:space="0" w:color="auto"/>
            <w:bottom w:val="none" w:sz="0" w:space="0" w:color="auto"/>
            <w:right w:val="none" w:sz="0" w:space="0" w:color="auto"/>
          </w:divBdr>
        </w:div>
        <w:div w:id="570315717">
          <w:marLeft w:val="0"/>
          <w:marRight w:val="0"/>
          <w:marTop w:val="0"/>
          <w:marBottom w:val="101"/>
          <w:divBdr>
            <w:top w:val="none" w:sz="0" w:space="0" w:color="auto"/>
            <w:left w:val="none" w:sz="0" w:space="0" w:color="auto"/>
            <w:bottom w:val="none" w:sz="0" w:space="0" w:color="auto"/>
            <w:right w:val="none" w:sz="0" w:space="0" w:color="auto"/>
          </w:divBdr>
        </w:div>
        <w:div w:id="1567448959">
          <w:marLeft w:val="0"/>
          <w:marRight w:val="0"/>
          <w:marTop w:val="0"/>
          <w:marBottom w:val="101"/>
          <w:divBdr>
            <w:top w:val="none" w:sz="0" w:space="0" w:color="auto"/>
            <w:left w:val="none" w:sz="0" w:space="0" w:color="auto"/>
            <w:bottom w:val="none" w:sz="0" w:space="0" w:color="auto"/>
            <w:right w:val="none" w:sz="0" w:space="0" w:color="auto"/>
          </w:divBdr>
        </w:div>
        <w:div w:id="1077092880">
          <w:marLeft w:val="0"/>
          <w:marRight w:val="0"/>
          <w:marTop w:val="0"/>
          <w:marBottom w:val="101"/>
          <w:divBdr>
            <w:top w:val="none" w:sz="0" w:space="0" w:color="auto"/>
            <w:left w:val="none" w:sz="0" w:space="0" w:color="auto"/>
            <w:bottom w:val="none" w:sz="0" w:space="0" w:color="auto"/>
            <w:right w:val="none" w:sz="0" w:space="0" w:color="auto"/>
          </w:divBdr>
        </w:div>
        <w:div w:id="1143812291">
          <w:marLeft w:val="0"/>
          <w:marRight w:val="0"/>
          <w:marTop w:val="0"/>
          <w:marBottom w:val="101"/>
          <w:divBdr>
            <w:top w:val="none" w:sz="0" w:space="0" w:color="auto"/>
            <w:left w:val="none" w:sz="0" w:space="0" w:color="auto"/>
            <w:bottom w:val="none" w:sz="0" w:space="0" w:color="auto"/>
            <w:right w:val="none" w:sz="0" w:space="0" w:color="auto"/>
          </w:divBdr>
        </w:div>
        <w:div w:id="1205022686">
          <w:marLeft w:val="0"/>
          <w:marRight w:val="0"/>
          <w:marTop w:val="0"/>
          <w:marBottom w:val="101"/>
          <w:divBdr>
            <w:top w:val="none" w:sz="0" w:space="0" w:color="auto"/>
            <w:left w:val="none" w:sz="0" w:space="0" w:color="auto"/>
            <w:bottom w:val="none" w:sz="0" w:space="0" w:color="auto"/>
            <w:right w:val="none" w:sz="0" w:space="0" w:color="auto"/>
          </w:divBdr>
        </w:div>
        <w:div w:id="1823620512">
          <w:marLeft w:val="0"/>
          <w:marRight w:val="0"/>
          <w:marTop w:val="0"/>
          <w:marBottom w:val="101"/>
          <w:divBdr>
            <w:top w:val="none" w:sz="0" w:space="0" w:color="auto"/>
            <w:left w:val="none" w:sz="0" w:space="0" w:color="auto"/>
            <w:bottom w:val="none" w:sz="0" w:space="0" w:color="auto"/>
            <w:right w:val="none" w:sz="0" w:space="0" w:color="auto"/>
          </w:divBdr>
        </w:div>
        <w:div w:id="954479802">
          <w:marLeft w:val="0"/>
          <w:marRight w:val="0"/>
          <w:marTop w:val="0"/>
          <w:marBottom w:val="101"/>
          <w:divBdr>
            <w:top w:val="none" w:sz="0" w:space="0" w:color="auto"/>
            <w:left w:val="none" w:sz="0" w:space="0" w:color="auto"/>
            <w:bottom w:val="none" w:sz="0" w:space="0" w:color="auto"/>
            <w:right w:val="none" w:sz="0" w:space="0" w:color="auto"/>
          </w:divBdr>
        </w:div>
        <w:div w:id="980815875">
          <w:marLeft w:val="0"/>
          <w:marRight w:val="0"/>
          <w:marTop w:val="0"/>
          <w:marBottom w:val="101"/>
          <w:divBdr>
            <w:top w:val="none" w:sz="0" w:space="0" w:color="auto"/>
            <w:left w:val="none" w:sz="0" w:space="0" w:color="auto"/>
            <w:bottom w:val="none" w:sz="0" w:space="0" w:color="auto"/>
            <w:right w:val="none" w:sz="0" w:space="0" w:color="auto"/>
          </w:divBdr>
        </w:div>
        <w:div w:id="1275753031">
          <w:marLeft w:val="0"/>
          <w:marRight w:val="0"/>
          <w:marTop w:val="0"/>
          <w:marBottom w:val="101"/>
          <w:divBdr>
            <w:top w:val="none" w:sz="0" w:space="0" w:color="auto"/>
            <w:left w:val="none" w:sz="0" w:space="0" w:color="auto"/>
            <w:bottom w:val="none" w:sz="0" w:space="0" w:color="auto"/>
            <w:right w:val="none" w:sz="0" w:space="0" w:color="auto"/>
          </w:divBdr>
        </w:div>
        <w:div w:id="1212231003">
          <w:marLeft w:val="0"/>
          <w:marRight w:val="0"/>
          <w:marTop w:val="0"/>
          <w:marBottom w:val="101"/>
          <w:divBdr>
            <w:top w:val="none" w:sz="0" w:space="0" w:color="auto"/>
            <w:left w:val="none" w:sz="0" w:space="0" w:color="auto"/>
            <w:bottom w:val="none" w:sz="0" w:space="0" w:color="auto"/>
            <w:right w:val="none" w:sz="0" w:space="0" w:color="auto"/>
          </w:divBdr>
        </w:div>
        <w:div w:id="547837856">
          <w:marLeft w:val="0"/>
          <w:marRight w:val="0"/>
          <w:marTop w:val="0"/>
          <w:marBottom w:val="101"/>
          <w:divBdr>
            <w:top w:val="none" w:sz="0" w:space="0" w:color="auto"/>
            <w:left w:val="none" w:sz="0" w:space="0" w:color="auto"/>
            <w:bottom w:val="none" w:sz="0" w:space="0" w:color="auto"/>
            <w:right w:val="none" w:sz="0" w:space="0" w:color="auto"/>
          </w:divBdr>
        </w:div>
        <w:div w:id="901989392">
          <w:marLeft w:val="0"/>
          <w:marRight w:val="0"/>
          <w:marTop w:val="0"/>
          <w:marBottom w:val="101"/>
          <w:divBdr>
            <w:top w:val="none" w:sz="0" w:space="0" w:color="auto"/>
            <w:left w:val="none" w:sz="0" w:space="0" w:color="auto"/>
            <w:bottom w:val="none" w:sz="0" w:space="0" w:color="auto"/>
            <w:right w:val="none" w:sz="0" w:space="0" w:color="auto"/>
          </w:divBdr>
        </w:div>
        <w:div w:id="1010569578">
          <w:marLeft w:val="0"/>
          <w:marRight w:val="0"/>
          <w:marTop w:val="0"/>
          <w:marBottom w:val="101"/>
          <w:divBdr>
            <w:top w:val="none" w:sz="0" w:space="0" w:color="auto"/>
            <w:left w:val="none" w:sz="0" w:space="0" w:color="auto"/>
            <w:bottom w:val="none" w:sz="0" w:space="0" w:color="auto"/>
            <w:right w:val="none" w:sz="0" w:space="0" w:color="auto"/>
          </w:divBdr>
        </w:div>
        <w:div w:id="250433786">
          <w:marLeft w:val="0"/>
          <w:marRight w:val="0"/>
          <w:marTop w:val="0"/>
          <w:marBottom w:val="101"/>
          <w:divBdr>
            <w:top w:val="none" w:sz="0" w:space="0" w:color="auto"/>
            <w:left w:val="none" w:sz="0" w:space="0" w:color="auto"/>
            <w:bottom w:val="none" w:sz="0" w:space="0" w:color="auto"/>
            <w:right w:val="none" w:sz="0" w:space="0" w:color="auto"/>
          </w:divBdr>
        </w:div>
        <w:div w:id="842823683">
          <w:marLeft w:val="0"/>
          <w:marRight w:val="0"/>
          <w:marTop w:val="101"/>
          <w:marBottom w:val="101"/>
          <w:divBdr>
            <w:top w:val="none" w:sz="0" w:space="0" w:color="auto"/>
            <w:left w:val="none" w:sz="0" w:space="0" w:color="auto"/>
            <w:bottom w:val="none" w:sz="0" w:space="0" w:color="auto"/>
            <w:right w:val="none" w:sz="0" w:space="0" w:color="auto"/>
          </w:divBdr>
        </w:div>
        <w:div w:id="737438098">
          <w:marLeft w:val="0"/>
          <w:marRight w:val="0"/>
          <w:marTop w:val="0"/>
          <w:marBottom w:val="101"/>
          <w:divBdr>
            <w:top w:val="none" w:sz="0" w:space="0" w:color="auto"/>
            <w:left w:val="none" w:sz="0" w:space="0" w:color="auto"/>
            <w:bottom w:val="none" w:sz="0" w:space="0" w:color="auto"/>
            <w:right w:val="none" w:sz="0" w:space="0" w:color="auto"/>
          </w:divBdr>
        </w:div>
        <w:div w:id="1081220825">
          <w:marLeft w:val="0"/>
          <w:marRight w:val="0"/>
          <w:marTop w:val="0"/>
          <w:marBottom w:val="101"/>
          <w:divBdr>
            <w:top w:val="none" w:sz="0" w:space="0" w:color="auto"/>
            <w:left w:val="none" w:sz="0" w:space="0" w:color="auto"/>
            <w:bottom w:val="none" w:sz="0" w:space="0" w:color="auto"/>
            <w:right w:val="none" w:sz="0" w:space="0" w:color="auto"/>
          </w:divBdr>
        </w:div>
        <w:div w:id="198011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2022-04-05T13:47:00Z</dcterms:created>
  <dcterms:modified xsi:type="dcterms:W3CDTF">2022-04-05T13:50:00Z</dcterms:modified>
</cp:coreProperties>
</file>