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cs="Verdana Bold"/>
          <w:b/>
          <w:bCs/>
          <w:color w:val="5B9BD5" w:themeColor="accent1"/>
          <w:sz w:val="52"/>
          <w:szCs w:val="52"/>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actualizan las cuotas que se especifican en materia del impuesto especial sobre producción y servicios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w:t>
      </w:r>
      <w:bookmarkStart w:id="0" w:name="_GoBack"/>
      <w:bookmarkEnd w:id="0"/>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HACIENDA.- Secretaría de Hacienda y Crédito Público.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Acuerdo 138/2020</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Acuerdo por el que se actualizan las cuotas que se especifican en materia del impuesto especial</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0"/>
          <w:szCs w:val="20"/>
          <w:shd w:val="clear" w:fill="FFFFFF"/>
          <w:lang w:val="en-US" w:eastAsia="zh-CN" w:bidi="ar"/>
        </w:rPr>
        <w:t>sobre producción y servicios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ARTURO HERRERA GUTIÉRREZ, Secretario de Hacienda y Crédito Público, con fundamento en los artículos 31, fracción XXXII de la Ley Orgánica de la Administración Pública Federal; 2o., fracción I, incisos C), D), G), H), y 2o.-A de la Ley del Impuesto Especial sobre Producción y Servicios; y 4o. del Reglamento Interior de la Secretaría de Hacienda y Crédito Público,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dispuesto en los artículos 2o., fracción I, incisos C), D), G) y H), y 2o.-A de la Ley del Impuesto Especial sobre Producción y Servicios, las cuotas aplicables a los tabacos labrados, combustibles automotrices, bebidas saborizadas, combustibles fósiles y las cuotas aplicables a las gasolinas y al diésel que se destinan a las entidades federativas, se actualizarán anualmente y entrarán en vigor a partir del 1 de enero de cada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actualización se llevará a cabo aplicando el factor de actualización correspondiente al período comprendido desde el mes de diciembre del penúltimo año hasta el mes de diciembre inmediato anterior a aquél por el que se efectúa la actualización, factor que se obtendrá de conformidad con lo dispuesto por el artículo 17-A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cuotas aplicables a los tabacos labrados, combustibles automotrices, bebidas saborizadas, combustibles fósiles y las cuotas aplicables a las gasolinas y al diésel que se destinan a las entidades federativas fueron actualizadas por última vez mediante el "Acuerdo por el que se actualizan las cuotas que se especifican en materia del impuesto especial sobre producción y servicios" publicado en el Diario Oficial de la Federación el 24 de diciembre de 2019;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Secretaría de Hacienda y Crédito Público publicará el factor de actualización en el Diario Oficial de la Federación durante el mes de diciembre de cada año;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base en lo anterior, se actualizan las cuotas aplicables a los tabacos labrados, combustibles automotrices, bebidas saborizadas, combustibles fósiles, así como las cuotas aplicables a las gasolinas y el diésel destinadas a las entidades federativas, por lo que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factor de actualización aplicable para el año de 2021 a las cuotas a las que se refieren los artículos 2o., fracción I, incisos C), segundo párrafo; D), G), segundo párrafo; H), y 2o.-A, fracciones I, II y III de la Ley del Impuesto Especial sobre Producción y Servicios, es de 1.0333, resultado de dividir el Índice Nacional de Precios al Consumidor del mes de noviembre de 2020, publicado en el Diario Oficial de la Federación el 10 de diciembre de 2020 que fue de 108.856 puntos, y el Índice Nacional de Precios al Consumidor correspondiente al mes de noviembre de 2019, publicado en el Diario Oficial de la Federación el 10 de diciembre de 2019 que fue de 105.346 puntos, procedimiento establecido conforme a lo dispuesto por el artículo 17-A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Conforme al factor de actualización mencionado en el artículo Primero de este Acuerdo, la cuota por cigarro aplicable a tabacos labrados a que se refiere el artículo 2o., fracción I, inciso C), segundo párrafo de la Ley del Impuesto Especial sobre Producción y Servicios, que estará vigente a partir del 1 de enero de 2021, es de $0.5108 por cigarro.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Conforme al factor de actualización mencionado en el artículo Primero de este Acuerdo, las cuotas aplicables a los combustibles automotrices a que se refiere el artículo 2o., fracción I, inciso D) de la Ley del Impuesto Especial sobre Producción y Servicios, que estarán vigentes a partir del 1 de enero de 2021, son las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Combustibles fósiles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Cuota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Unidad de medida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Gasolina menor a 91 octanos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5.1148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pesos por litro.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Gasolina mayor o igual a 91 octanos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4.3192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pesos por litro.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Diésel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5.6212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pesos por litro.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Combustibles no fósiles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4.3192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pesos por litro.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CUARTO.-</w:t>
      </w:r>
      <w:r>
        <w:rPr>
          <w:rFonts w:hint="default" w:ascii="Verdana Regular" w:hAnsi="Verdana Regular" w:eastAsia="SimSun" w:cs="Verdana Regular"/>
          <w:i w:val="0"/>
          <w:caps w:val="0"/>
          <w:color w:val="2F2F2F"/>
          <w:spacing w:val="0"/>
          <w:kern w:val="0"/>
          <w:sz w:val="20"/>
          <w:szCs w:val="20"/>
          <w:shd w:val="clear" w:fill="FFFFFF"/>
          <w:lang w:val="en-US" w:eastAsia="zh-CN" w:bidi="ar"/>
        </w:rPr>
        <w:t> Conforme al factor de actualización mencionado en el artículo Primero de este Acuerdo, la cuota por litro aplicable a bebidas saborizadas a que se refiere el artículo 2o., fracción I, inciso G), segundo párrafo de la Ley del Impuesto Especial sobre Producción y Servicios, que estará vigente a partir del 1 de enero de 2021, es de $1.3036 por litro.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QUINTO.-</w:t>
      </w:r>
      <w:r>
        <w:rPr>
          <w:rFonts w:hint="default" w:ascii="Verdana Regular" w:hAnsi="Verdana Regular" w:eastAsia="SimSun" w:cs="Verdana Regular"/>
          <w:i w:val="0"/>
          <w:caps w:val="0"/>
          <w:color w:val="2F2F2F"/>
          <w:spacing w:val="0"/>
          <w:kern w:val="0"/>
          <w:sz w:val="20"/>
          <w:szCs w:val="20"/>
          <w:shd w:val="clear" w:fill="FFFFFF"/>
          <w:lang w:val="en-US" w:eastAsia="zh-CN" w:bidi="ar"/>
        </w:rPr>
        <w:t> Conforme al factor de actualización mencionado en el artículo Primero de este Acuerdo, las cuotas aplicables a los combustibles fósiles a que se refiere el artículo 2o., fracción I, inciso H) de la Ley del Impuesto Especial sobre Producción y Servicios, que estarán vigentes a partir del 1 de enero de 2021, son las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Combustibles Fósiles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Cuota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Unidad de medida</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27"/>
        <w:gridCol w:w="1519"/>
        <w:gridCol w:w="3226"/>
      </w:tblGrid>
      <w:tr>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w:t>
            </w:r>
            <w:r>
              <w:rPr>
                <w:rFonts w:hint="default" w:ascii="Verdana Regular" w:hAnsi="Verdana Regular" w:eastAsia="SimSun" w:cs="Verdana Regular"/>
                <w:i w:val="0"/>
                <w:caps w:val="0"/>
                <w:color w:val="000000"/>
                <w:spacing w:val="0"/>
                <w:kern w:val="0"/>
                <w:sz w:val="20"/>
                <w:szCs w:val="20"/>
                <w:lang w:val="en-US" w:eastAsia="zh-CN" w:bidi="ar"/>
              </w:rPr>
              <w:t>. Propano</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7.7291</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2</w:t>
            </w:r>
            <w:r>
              <w:rPr>
                <w:rFonts w:hint="default" w:ascii="Verdana Regular" w:hAnsi="Verdana Regular" w:eastAsia="SimSun" w:cs="Verdana Regular"/>
                <w:i w:val="0"/>
                <w:caps w:val="0"/>
                <w:color w:val="000000"/>
                <w:spacing w:val="0"/>
                <w:kern w:val="0"/>
                <w:sz w:val="20"/>
                <w:szCs w:val="20"/>
                <w:lang w:val="en-US" w:eastAsia="zh-CN" w:bidi="ar"/>
              </w:rPr>
              <w:t>. Butano</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10.0023</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3</w:t>
            </w:r>
            <w:r>
              <w:rPr>
                <w:rFonts w:hint="default" w:ascii="Verdana Regular" w:hAnsi="Verdana Regular" w:eastAsia="SimSun" w:cs="Verdana Regular"/>
                <w:i w:val="0"/>
                <w:caps w:val="0"/>
                <w:color w:val="000000"/>
                <w:spacing w:val="0"/>
                <w:kern w:val="0"/>
                <w:sz w:val="20"/>
                <w:szCs w:val="20"/>
                <w:lang w:val="en-US" w:eastAsia="zh-CN" w:bidi="ar"/>
              </w:rPr>
              <w:t>. Gasolinas y gasavión</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13.5569</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4</w:t>
            </w:r>
            <w:r>
              <w:rPr>
                <w:rFonts w:hint="default" w:ascii="Verdana Regular" w:hAnsi="Verdana Regular" w:eastAsia="SimSun" w:cs="Verdana Regular"/>
                <w:i w:val="0"/>
                <w:caps w:val="0"/>
                <w:color w:val="000000"/>
                <w:spacing w:val="0"/>
                <w:kern w:val="0"/>
                <w:sz w:val="20"/>
                <w:szCs w:val="20"/>
                <w:lang w:val="en-US" w:eastAsia="zh-CN" w:bidi="ar"/>
              </w:rPr>
              <w:t>.Turbosina y otros kerosenos .</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16.1918</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5</w:t>
            </w:r>
            <w:r>
              <w:rPr>
                <w:rFonts w:hint="default" w:ascii="Verdana Regular" w:hAnsi="Verdana Regular" w:eastAsia="SimSun" w:cs="Verdana Regular"/>
                <w:i w:val="0"/>
                <w:caps w:val="0"/>
                <w:color w:val="000000"/>
                <w:spacing w:val="0"/>
                <w:kern w:val="0"/>
                <w:sz w:val="20"/>
                <w:szCs w:val="20"/>
                <w:lang w:val="en-US" w:eastAsia="zh-CN" w:bidi="ar"/>
              </w:rPr>
              <w:t>. Diésel</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16.4501</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6</w:t>
            </w:r>
            <w:r>
              <w:rPr>
                <w:rFonts w:hint="default" w:ascii="Verdana Regular" w:hAnsi="Verdana Regular" w:eastAsia="SimSun" w:cs="Verdana Regular"/>
                <w:i w:val="0"/>
                <w:caps w:val="0"/>
                <w:color w:val="000000"/>
                <w:spacing w:val="0"/>
                <w:kern w:val="0"/>
                <w:sz w:val="20"/>
                <w:szCs w:val="20"/>
                <w:lang w:val="en-US" w:eastAsia="zh-CN" w:bidi="ar"/>
              </w:rPr>
              <w:t>. Combustóleo</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17.5558</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centavos por litro.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7</w:t>
            </w:r>
            <w:r>
              <w:rPr>
                <w:rFonts w:hint="default" w:ascii="Verdana Regular" w:hAnsi="Verdana Regular" w:eastAsia="SimSun" w:cs="Verdana Regular"/>
                <w:i w:val="0"/>
                <w:caps w:val="0"/>
                <w:color w:val="000000"/>
                <w:spacing w:val="0"/>
                <w:kern w:val="0"/>
                <w:sz w:val="20"/>
                <w:szCs w:val="20"/>
                <w:lang w:val="en-US" w:eastAsia="zh-CN" w:bidi="ar"/>
              </w:rPr>
              <w:t>. Coque de petróleo</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20.3767</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pesos por tonelada.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8</w:t>
            </w:r>
            <w:r>
              <w:rPr>
                <w:rFonts w:hint="default" w:ascii="Verdana Regular" w:hAnsi="Verdana Regular" w:eastAsia="SimSun" w:cs="Verdana Regular"/>
                <w:i w:val="0"/>
                <w:caps w:val="0"/>
                <w:color w:val="000000"/>
                <w:spacing w:val="0"/>
                <w:kern w:val="0"/>
                <w:sz w:val="20"/>
                <w:szCs w:val="20"/>
                <w:lang w:val="en-US" w:eastAsia="zh-CN" w:bidi="ar"/>
              </w:rPr>
              <w:t>. Coque de carbón</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47.7695</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pesos por tonelada.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7"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9</w:t>
            </w:r>
            <w:r>
              <w:rPr>
                <w:rFonts w:hint="default" w:ascii="Verdana Regular" w:hAnsi="Verdana Regular" w:eastAsia="SimSun" w:cs="Verdana Regular"/>
                <w:i w:val="0"/>
                <w:caps w:val="0"/>
                <w:color w:val="000000"/>
                <w:spacing w:val="0"/>
                <w:kern w:val="0"/>
                <w:sz w:val="20"/>
                <w:szCs w:val="20"/>
                <w:lang w:val="en-US" w:eastAsia="zh-CN" w:bidi="ar"/>
              </w:rPr>
              <w:t>. Carbón mineral</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35.9692</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pesos por tonelada.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33" w:hRule="atLeast"/>
        </w:trPr>
        <w:tc>
          <w:tcPr>
            <w:tcW w:w="3794"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b/>
                <w:i w:val="0"/>
                <w:caps w:val="0"/>
                <w:color w:val="000000"/>
                <w:spacing w:val="0"/>
                <w:kern w:val="0"/>
                <w:sz w:val="20"/>
                <w:szCs w:val="20"/>
                <w:lang w:val="en-US" w:eastAsia="zh-CN" w:bidi="ar"/>
              </w:rPr>
              <w:t>10</w:t>
            </w:r>
            <w:r>
              <w:rPr>
                <w:rFonts w:hint="default" w:ascii="Verdana Regular" w:hAnsi="Verdana Regular" w:eastAsia="SimSun" w:cs="Verdana Regular"/>
                <w:i w:val="0"/>
                <w:caps w:val="0"/>
                <w:color w:val="000000"/>
                <w:spacing w:val="0"/>
                <w:kern w:val="0"/>
                <w:sz w:val="20"/>
                <w:szCs w:val="20"/>
                <w:lang w:val="en-US" w:eastAsia="zh-CN" w:bidi="ar"/>
              </w:rPr>
              <w:t>. Otros combustibles fósiles</w:t>
            </w:r>
          </w:p>
        </w:tc>
        <w:tc>
          <w:tcPr>
            <w:tcW w:w="1561"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51.9957</w:t>
            </w:r>
          </w:p>
        </w:tc>
        <w:tc>
          <w:tcPr>
            <w:tcW w:w="3357" w:type="dxa"/>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caps w:val="0"/>
                <w:color w:val="000000"/>
                <w:spacing w:val="0"/>
                <w:sz w:val="20"/>
                <w:szCs w:val="20"/>
              </w:rPr>
            </w:pPr>
            <w:r>
              <w:rPr>
                <w:rFonts w:hint="default" w:ascii="Verdana Regular" w:hAnsi="Verdana Regular" w:eastAsia="SimSun" w:cs="Verdana Regular"/>
                <w:i w:val="0"/>
                <w:caps w:val="0"/>
                <w:color w:val="000000"/>
                <w:spacing w:val="0"/>
                <w:kern w:val="0"/>
                <w:sz w:val="20"/>
                <w:szCs w:val="20"/>
                <w:lang w:val="en-US" w:eastAsia="zh-CN" w:bidi="ar"/>
              </w:rPr>
              <w:t>pesos por tonelada de carbono que contenga el combustible.</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SEXTO.- </w:t>
      </w:r>
      <w:r>
        <w:rPr>
          <w:rFonts w:hint="default" w:ascii="Verdana Regular" w:hAnsi="Verdana Regular" w:eastAsia="SimSun" w:cs="Verdana Regular"/>
          <w:i w:val="0"/>
          <w:caps w:val="0"/>
          <w:color w:val="2F2F2F"/>
          <w:spacing w:val="0"/>
          <w:kern w:val="0"/>
          <w:sz w:val="20"/>
          <w:szCs w:val="20"/>
          <w:shd w:val="clear" w:fill="FFFFFF"/>
          <w:lang w:val="en-US" w:eastAsia="zh-CN" w:bidi="ar"/>
        </w:rPr>
        <w:t>Conforme al factor de actualización mencionado en el artículo Primero de este Acuerdo, las cuotas aplicables a las gasolinas y el diésel previstas en el artículo 2o.-A, fracciones I, II y III de la Ley del Impuesto Especial sobre Producción y Servicios, que estarán vigentes a partir del 1 de enero de 2021, son las siguientes:</w:t>
      </w:r>
    </w:p>
    <w:p>
      <w:pPr>
        <w:keepNext w:val="0"/>
        <w:keepLines w:val="0"/>
        <w:widowControl/>
        <w:suppressLineNumbers w:val="0"/>
        <w:shd w:val="clear" w:fill="FFFFFF"/>
        <w:spacing w:after="101" w:afterAutospacing="0"/>
        <w:ind w:left="4050" w:hanging="333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Combustibles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Cuota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Unidad de medida</w:t>
      </w:r>
    </w:p>
    <w:p>
      <w:pPr>
        <w:keepNext w:val="0"/>
        <w:keepLines w:val="0"/>
        <w:widowControl/>
        <w:suppressLineNumbers w:val="0"/>
        <w:shd w:val="clear" w:fill="FFFFFF"/>
        <w:spacing w:after="101" w:afterAutospacing="0"/>
        <w:ind w:left="4050" w:hanging="333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Gasolina menor a 91 octanos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45.1449 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centavos por litro.</w:t>
      </w:r>
    </w:p>
    <w:p>
      <w:pPr>
        <w:keepNext w:val="0"/>
        <w:keepLines w:val="0"/>
        <w:widowControl/>
        <w:suppressLineNumbers w:val="0"/>
        <w:shd w:val="clear" w:fill="FFFFFF"/>
        <w:spacing w:after="101" w:afterAutospacing="0"/>
        <w:ind w:left="4050" w:hanging="333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Gasolina mayor o igual a 91 octanos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55.0852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centavos por litro.</w:t>
      </w:r>
    </w:p>
    <w:p>
      <w:pPr>
        <w:keepNext w:val="0"/>
        <w:keepLines w:val="0"/>
        <w:widowControl/>
        <w:suppressLineNumbers w:val="0"/>
        <w:shd w:val="clear" w:fill="FFFFFF"/>
        <w:spacing w:after="101" w:afterAutospacing="0"/>
        <w:ind w:left="4050" w:hanging="333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Diésel </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37.4675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centavos por litro.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1 de enero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Ciudad de México, a 18 de diciembre de 2020.- </w:t>
      </w:r>
      <w:r>
        <w:rPr>
          <w:rFonts w:hint="default" w:ascii="Verdana Regular" w:hAnsi="Verdana Regular" w:eastAsia="SimSun" w:cs="Verdana Regular"/>
          <w:i w:val="0"/>
          <w:caps w:val="0"/>
          <w:color w:val="2F2F2F"/>
          <w:spacing w:val="0"/>
          <w:kern w:val="0"/>
          <w:sz w:val="20"/>
          <w:szCs w:val="20"/>
          <w:shd w:val="clear" w:fill="FFFFFF"/>
          <w:lang w:val="en-US" w:eastAsia="zh-CN" w:bidi="ar"/>
        </w:rPr>
        <w:t>En ausencia del Secretario de Hacienda y Crédito Público y con fundamento en el artículo 105 del Reglamento Interior de esta Secretaría, el Subsecretario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Gabriel Yorio González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jc w:val="cente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3C3F"/>
    <w:rsid w:val="6D5F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2020-12-24T09:55:00Z</dcterms:created>
  <dc:creator>allanmorgan</dc:creator>
  <cp:lastModifiedBy>allanmorgan</cp:lastModifiedBy>
  <dcterms:modified xsi:type="dcterms:W3CDTF">2020-12-24T09:57:09Z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