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1"/>
          <w:szCs w:val="21"/>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ecreto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modifica y prorroga el diverso por el que se regula la im</w:t>
      </w:r>
      <w:bookmarkStart w:id="0" w:name="_GoBack"/>
      <w:bookmarkEnd w:id="0"/>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portación definitiva de vehículos usados</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Presidencia de la República.</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caps w:val="0"/>
          <w:color w:val="2F2F2F"/>
          <w:spacing w:val="0"/>
          <w:kern w:val="0"/>
          <w:sz w:val="20"/>
          <w:szCs w:val="20"/>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131, párrafo segundo de la propia Constitución; 31 y 34 de la Ley Orgánica de la Administración Pública Federal; 39, fracción II del Código Fiscal de la Federación, y 4o., fracción I de la Ley de Comercio Exterior, y</w:t>
      </w:r>
    </w:p>
    <w:p>
      <w:pPr>
        <w:keepNext w:val="0"/>
        <w:keepLines w:val="0"/>
        <w:widowControl/>
        <w:suppressLineNumbers w:val="0"/>
        <w:shd w:val="clear" w:fill="FFFFFF"/>
        <w:spacing w:before="101" w:beforeAutospacing="0" w:after="6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 de julio de 2011, se publicó en el Diario Oficial de la Federación el "Decreto por el que se regula la importación definitiva de vehículos usados", con el objeto de regular la importación definitiva de vehículos usados de procedencia extranjera al territorio nacional, el cual fue modificado mediante diversos publicados en el mismo órgano de difusión oficial el 31 de enero de 2013; 30 de enero de 2014; 31 de diciembre de 2014; 31 de diciembre de 2015; 26 de diciembre de 2016; 28 de diciembre de 2017; 29 de marzo de 2019, y 31 de diciembre de 2019;</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Poder Judicial de la Federación se ha pronunciado respecto de la constitucionalidad de las medidas contenidas en el Decreto que se menciona en el considerando anterior, señalando que no violan las garantías de igualdad, de audiencia previa, de irretroactividad, a la libertad de trabajo ni al libre comercio; además de que existe jurisprudencia indicando que es acorde con el Tratado de Libre Comercio de América del Norte y, consecuentemente no es violatorio del artículo 133 de la Constitución Política de los Estados Unidos Mexicanos;</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de igual forma en la Jurisprudencia 2a./J.3/2013(10a) de la Segunda Sala de la Suprema Corte de Justicia de la Nación, se concluyó que es improcedente conceder la suspensión contra la aplicación del citado Decreto, dado que la citada medida cautelar no puede tener el efecto de permitir la importación de vehículos usados al territorio nacional sin respetar las regulaciones y restricciones establecidas por el Presidente de la República en dicho Decreto, ya que el Estado Mexicano está interesado en que no se afecte la economía nacional mediante la introducción indiscriminada de vehículos realizada por personas físicas o morales que no cumplan con los requisitos o condiciones establecidos por el Ejecutivo Federal, de ahí que se afectaría en un grado mayor a la colectividad con la concesión de la medida;</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29 de junio de 2020, se publicó en el Diario Oficial de la Federación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mismo que entró en vigor el 1 de julio de 2020;</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Apéndice denominado "Disposiciones Relacionadas con las Reglas de Origen Específicas por Producto para Mercancías Automotrices" del Capítulo 4 denominado "Reglas de Origen" del Tratado entre los Estados Unidos Mexicanos, los Estados Unidos de América y Canadá (T-MEC), establece las disposiciones aplicables a las reglas de origen de vehículos;</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a partir del 1 de julio de 2020, fecha en la que entró en vigor el T-MEC, el origen se acredita conforme a lo establecido en el ANEXO 5-A, denominado "Elementos Mínimos de Información" del Capítulo 5 "Procedimientos de Origen", el cual establece los elementos mínimos de información que deberá contener una certificación de origen que sea la base para efectuar una solicitud de trato arancelario preferencial conforme a dicho Tratado;</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para determinar si un vehículo es originario del territorio de una o más de las Partes del T-MEC, resulta indispensable contar con la información sobre la producción del vehículo, y derivado de que es necesario que el importador cuente con una certificación de origen basada en información fehaciente de que dicho vehículo cumple con la regla de origen, es preciso allegarse de información del productor del mismo;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artículo 2.11 denominado "Restricciones a la Importación y a la Exportación", numeral 9 del T-MEC, establece que, para mayor certeza, ninguna Parte adoptará o mantendrá una prohibición o restricción a la importación de vehículos usados originarios del territorio de otra Parte. Este artículo no impide a una Parte exigir la aplicación de las medidas de seguridad y de emisiones para vehículos automotores, o requisitos de</w:t>
      </w:r>
    </w:p>
    <w:p>
      <w:pPr>
        <w:keepNext w:val="0"/>
        <w:keepLines w:val="0"/>
        <w:widowControl/>
        <w:suppressLineNumbers w:val="0"/>
        <w:shd w:val="clear" w:fill="FFFFFF"/>
        <w:spacing w:after="100"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registro vehicular, de aplicación general para los vehículos usados originarios de manera que sea compatible con dicho Tratado</w:t>
      </w:r>
      <w:r>
        <w:rPr>
          <w:rFonts w:hint="default" w:ascii="Verdana Regular" w:hAnsi="Verdana Regular" w:eastAsia="SimSun" w:cs="Verdana Regular"/>
          <w:i/>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las condiciones que motivaron la emisión del Decreto por el que se regula la importación definitiva de vehículos usados aún se encuentran presentes, aunado a que el Gobierno de México continúa implementando estrategias que permitan mejorar el bienestar de la población, la seguridad y proteger el patrimonio familiar;</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derivado de lo anterior, y al estar próximo a vencer el Decreto citado en el considerando anterior, se estima urgente y necesario prorrogar la vigencia del mismo al 30 de septiembre de 2024, a fin de contar con un marco regulatorio que otorgue certeza y seguridad jurídica a los importadores de vehículos automotores usados;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 de julio de 2020, se publicó en el Diario Oficial de la Federación el Decreto por el que se expide la Ley de los Impuestos Generales de Importación y de Exportación, y se reforman y adicionan diversas disposiciones de la Ley Aduanera;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Decreto antes mencionado instrumenta la "Sexta Enmienda al Sistema Armonizado de Designación y Codificación de Mercancías", aprobada por el Consejo de Cooperación Aduanera de la Organización Mundial de Aduanas, el cual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28 de agosto de 2020, se publicó en el Diario Oficial de la Federación el Acuerdo por el que se establece la metodología para la creación y modificación de los números de identificación comercial, mediante el cual se establece la metodología para la creación y modificación de los números de identificación comercial en los que se clasificarán las mercancías en función de las fracciones arancelarias;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 con el objeto de facilitar la aplicación de la nomenclatura arancelaria;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derivado de lo anterior, diversas fracciones arancelarias referentes a vehículos usados del Capítulo 87 "Vehículos automóviles, tractores, velocípedos y demás vehículos terrestres; sus partes y accesorios", de la TIGIE fueron modificadas, por lo que es necesario ajustarlas conforme a la nueva nomenclatura arancelaria, y</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conforme a lo dispuesto en la Ley de Comercio Exterior, las medidas a que se refiere el presente Decreto cuentan con la opinión de la Comisión de Comercio Exterior, he tenido a bien expedir el siguiente</w:t>
      </w:r>
    </w:p>
    <w:p>
      <w:pPr>
        <w:keepNext w:val="0"/>
        <w:keepLines w:val="0"/>
        <w:widowControl/>
        <w:suppressLineNumbers w:val="0"/>
        <w:shd w:val="clear" w:fill="FFFFFF"/>
        <w:spacing w:before="101" w:beforeAutospacing="0" w:after="10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DECRETO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Se</w:t>
      </w:r>
      <w:r>
        <w:rPr>
          <w:rFonts w:hint="default" w:ascii="Verdana Regular" w:hAnsi="Verdana Regular" w:eastAsia="SimSun" w:cs="Verdana Regular"/>
          <w:b/>
          <w:i w:val="0"/>
          <w:caps w:val="0"/>
          <w:color w:val="2F2F2F"/>
          <w:spacing w:val="0"/>
          <w:kern w:val="0"/>
          <w:sz w:val="20"/>
          <w:szCs w:val="20"/>
          <w:shd w:val="clear" w:fill="FFFFFF"/>
          <w:lang w:val="en-US" w:eastAsia="zh-CN" w:bidi="ar"/>
        </w:rPr>
        <w:t> modifican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artículos 2, fracción V; el primer párrafo de los artículos 4, 5, 7 y 10, y el Transitorio Primero del Decreto por el que se regula la importación definitiva de vehículos usados, publicado en el Diario Oficial de la Federación el 1 de julio de 2011 y sus posteriores modificaciones, para quedar como siguen:</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2.- </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IV. ...</w:t>
      </w:r>
    </w:p>
    <w:p>
      <w:pPr>
        <w:keepNext w:val="0"/>
        <w:keepLines w:val="0"/>
        <w:widowControl/>
        <w:suppressLineNumbers w:val="0"/>
        <w:shd w:val="clear" w:fill="FFFFFF"/>
        <w:spacing w:after="100"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Vehículo usado: las mercancías clasificadas, conforme a la Tarifa de la Ley de los Impuestos Generales de Importación y de Exportación, en las fracciones arancelarias 8701.20.02, 8702.10.05, 8702.20.05, 8702.30.05, 8702.90.06, 8703.21.02, 8703.22.02, 8703.23.02, 8703.24.02, 8703.31.02, 8703.32.02, 8703.33.02, 8703.40.02, 8703.50.02, 8703.60.02, 8703.70.02, 8703.90.02, 8704.21.04, 8704.22.07, 8704.23.02, 8704.31.05, 8704.32.07 u 8705.40.02.</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4.-</w:t>
      </w:r>
      <w:r>
        <w:rPr>
          <w:rFonts w:hint="default" w:ascii="Verdana Regular" w:hAnsi="Verdana Regular" w:eastAsia="SimSun" w:cs="Verdana Regular"/>
          <w:i w:val="0"/>
          <w:caps w:val="0"/>
          <w:color w:val="2F2F2F"/>
          <w:spacing w:val="0"/>
          <w:kern w:val="0"/>
          <w:sz w:val="20"/>
          <w:szCs w:val="20"/>
          <w:shd w:val="clear" w:fill="FFFFFF"/>
          <w:lang w:val="en-US" w:eastAsia="zh-CN" w:bidi="ar"/>
        </w:rPr>
        <w:t> Los vehículos usados cuyo Número de Identificación Vehicular corresponda al de fabricación o ensamble del vehículo en México, Estados Unidos de América o Canadá y se clasifiquen conforme a la Tarifa de la Ley de los Impuestos Generales de Importación y de Exportación en las fracciones</w:t>
      </w:r>
    </w:p>
    <w:p>
      <w:pPr>
        <w:keepNext w:val="0"/>
        <w:keepLines w:val="0"/>
        <w:widowControl/>
        <w:suppressLineNumbers w:val="0"/>
        <w:shd w:val="clear" w:fill="FFFFFF"/>
        <w:spacing w:after="60"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arancelarias: 8702.10.05, 8702.20.05, 8702.30.05, 8702.90.06, 8703.21.02, 8703.22.02, 8703.23.02, 8703.24.02, 8703.31.02, 8703.32.02, 8703.33.02, 8703.40.02, 8703.50.02, 8703.60.02, 8703.70.02 u 8703.90.02, tratándose de vehículos para el transporte de hasta quince personas; 8704.21.04, 8704.22.07, 8704.23.02, 8704.31.05 u 8704.32.07, tratándose de vehículos para el transporte de mercancías; 8702.10.05, 8702.20.05, 8702.30.05 u 8702.90.06, tratándose de vehículos para el transporte de dieciséis o más personas; 8701.20.02, tratándose de tractores de carretera para semirremolques, u 8705.40.02, tratándose de camiones hormigonera, podrán ser importados definitivamente al territorio nacional, estableciéndose un arancel </w:t>
      </w:r>
      <w:r>
        <w:rPr>
          <w:rFonts w:hint="default" w:ascii="Verdana Regular" w:hAnsi="Verdana Regular" w:eastAsia="SimSun" w:cs="Verdana Regular"/>
          <w:i/>
          <w:caps w:val="0"/>
          <w:color w:val="2F2F2F"/>
          <w:spacing w:val="0"/>
          <w:kern w:val="0"/>
          <w:sz w:val="20"/>
          <w:szCs w:val="20"/>
          <w:shd w:val="clear" w:fill="FFFFFF"/>
          <w:lang w:val="en-US" w:eastAsia="zh-CN" w:bidi="ar"/>
        </w:rPr>
        <w:t>Ad-valorem</w:t>
      </w:r>
      <w:r>
        <w:rPr>
          <w:rFonts w:hint="default" w:ascii="Verdana Regular" w:hAnsi="Verdana Regular" w:eastAsia="SimSun" w:cs="Verdana Regular"/>
          <w:i w:val="0"/>
          <w:caps w:val="0"/>
          <w:color w:val="2F2F2F"/>
          <w:spacing w:val="0"/>
          <w:kern w:val="0"/>
          <w:sz w:val="20"/>
          <w:szCs w:val="20"/>
          <w:shd w:val="clear" w:fill="FFFFFF"/>
          <w:lang w:val="en-US" w:eastAsia="zh-CN" w:bidi="ar"/>
        </w:rPr>
        <w:t> de 10%, sin que se requiera certificado o certificación de origen ni permiso previo de la Secretaría de Economía, siempre y cuando su año-modelo sea de ocho a nueve años anteriores al año en que se realice la importación.</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5.-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vehículos usados cuyo Número de Identificación Vehicular corresponda al de fabricación o ensamble del vehículo en México, Estados Unidos de América o Canadá y se clasifiquen conforme a la Tarifa de la Ley de los Impuestos Generales de Importación y de Exportación en las fracciones arancelarias: 8702.10.05, 8702.20.05, 8702.30.05, 8702.90.06, 8703.21.02, 8703.22.02, 8703.23.02, 8703.24.02, 8703.31.02, 8703.32.02, 8703.33.02, 8703.40.02, 8703.50.02, 8703.60.02, 8703.70.02 u 8703.90.02, tratándose de vehículos para el transporte de personas u 8704.21.04, 8704.22.07, 8704.31.05 u 8704.32.07, tratándose de vehículos para el transporte de mercancías con peso total con carga máxima de hasta 11,793 Kg., podrán ser importados definitivamente por residentes en la franja fronteriza norte, en los Estados de Baja California y Baja California Sur, en la región parcial del estado de Sonora y en los municipios de Cananea y Caborca en el estado de Sonora, para permanecer en dichas zonas, sin que se requiera certificado o certificación de origen ni permiso previo de la Secretaría de Economía, de conformidad con lo siguiente:</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caps w:val="0"/>
          <w:color w:val="2F2F2F"/>
          <w:spacing w:val="0"/>
          <w:kern w:val="0"/>
          <w:sz w:val="20"/>
          <w:szCs w:val="20"/>
          <w:shd w:val="clear" w:fill="FFFFFF"/>
          <w:lang w:val="en-US" w:eastAsia="zh-CN" w:bidi="ar"/>
        </w:rPr>
        <w:t>y </w:t>
      </w:r>
      <w:r>
        <w:rPr>
          <w:rFonts w:hint="default" w:ascii="Verdana Regular" w:hAnsi="Verdana Regular" w:eastAsia="SimSun" w:cs="Verdana Regular"/>
          <w:b/>
          <w:i w:val="0"/>
          <w:caps w:val="0"/>
          <w:color w:val="2F2F2F"/>
          <w:spacing w:val="0"/>
          <w:kern w:val="0"/>
          <w:sz w:val="20"/>
          <w:szCs w:val="20"/>
          <w:shd w:val="clear" w:fill="FFFFFF"/>
          <w:lang w:val="en-US" w:eastAsia="zh-CN" w:bidi="ar"/>
        </w:rPr>
        <w:t>II. ...</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7.-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interesados podrán efectuar la importación definitiva de un vehículo usado que se clasifique conforme a la Tarifa de la Ley de los Impuestos Generales de Importación y de Exportación en las fracciones arancelarias: 8702.10.05, 8702.20.05, 8702.30.05, 8702.90.06, 8703.21.02, 8703.22.02, 8703.23.02, 8703.24.02, 8703.31.02, 8703.32.02, 8703.33.02, 8703.40.02, 8703.50.02, 8703.60.02, 8703.70.02 u 8703.90.02, tratándose de vehículos para el transporte de hasta quince personas u, 8704.21.04 u 8704.31.05, tratándose de vehículos para el transporte de mercancías, en cada periodo de doce meses, sin que se requiera su inscripción en el Padrón de Importadores.</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10.-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vehículos usados susceptibles de importarse conforme al artículo 4 del presente Decreto, así como aquellos de diez o más años anteriores al año en que se realice la importación cuyo Número de Identificación Vehicular corresponda al de fabricación o ensamble del vehículo en México, Estados Unidos de América o Canadá, y que en ambos casos se clasifiquen en las fracciones arancelarias: 8702.10.05, 8702.20.05, 8702.30.05, 8702.90.06, 8703.21.02, 8703.22.02, 8703.23.02, 8703.24.02, 8703.31.02, 8703.32.02, 8703.33.02, 8703.40.02, 8703.50.02, 8703.60.02, 8703.70.02 u 8703.90.02, tratándose de vehículos para el transporte de hasta quince personas, u 8704.21.04 u 8704.31.05, tratándose de vehículos para el transporte de mercancía, que se encuentren en el país en importación temporal a partir de la entrada en vigor del mismo, podrán importarse en forma definitiva siempre que se encuentren dentro del plazo de la importación temporal, pagando el impuesto general de importación correspondiente actualizado de conformidad con el artículo 17-A del Código Fiscal de la Federación, desde la fecha en que se importaron temporalmente y hasta que se efectúe el pago, así como las demás contribuciones que se causen con motivo de la importación definitiva.</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60" w:afterAutospacing="0"/>
        <w:ind w:left="0" w:firstLine="0"/>
        <w:jc w:val="center"/>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Decreto estará vigente hasta el 30 de septiembre de 2024."</w:t>
      </w:r>
    </w:p>
    <w:p>
      <w:pPr>
        <w:keepNext w:val="0"/>
        <w:keepLines w:val="0"/>
        <w:widowControl/>
        <w:suppressLineNumbers w:val="0"/>
        <w:shd w:val="clear" w:fill="FFFFFF"/>
        <w:spacing w:before="0" w:beforeAutospacing="0" w:after="6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Decreto entrará en vigor el 28 de diciembre de 2020.</w:t>
      </w:r>
    </w:p>
    <w:p>
      <w:pPr>
        <w:keepNext w:val="0"/>
        <w:keepLines w:val="0"/>
        <w:widowControl/>
        <w:suppressLineNumbers w:val="0"/>
        <w:shd w:val="clear" w:fill="FFFFFF"/>
        <w:spacing w:after="6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Dado en la residencia del Poder Ejecutivo Federal, en la Ciudad de México, a 23 de diciembre de 2020.-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El Secretario de Hacienda y Crédito Público,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Arturo Herrera Gutiérrez</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Graciela Márquez Colín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200" w:afterAutospacing="0"/>
        <w:ind w:left="0" w:firstLine="0"/>
        <w:jc w:val="both"/>
        <w:rPr>
          <w:rFonts w:hint="default" w:ascii="Verdana Regular" w:hAnsi="Verdana Regular" w:eastAsia="serif" w:cs="Verdana Regular"/>
          <w:i w:val="0"/>
          <w:caps w:val="0"/>
          <w:color w:val="2F2F2F"/>
          <w:spacing w:val="0"/>
          <w:sz w:val="20"/>
          <w:szCs w:val="20"/>
        </w:rPr>
      </w:pPr>
      <w:r>
        <w:rPr>
          <w:rFonts w:hint="default" w:ascii="Verdana Regular" w:hAnsi="Verdana Regular" w:eastAsia="serif" w:cs="Verdana Regular"/>
          <w:i w:val="0"/>
          <w:caps w:val="0"/>
          <w:color w:val="2F2F2F"/>
          <w:spacing w:val="0"/>
          <w:kern w:val="0"/>
          <w:sz w:val="20"/>
          <w:szCs w:val="20"/>
          <w:shd w:val="clear" w:fill="FFFFFF"/>
          <w:lang w:val="en-US" w:eastAsia="zh-CN" w:bidi="ar"/>
        </w:rPr>
        <w:t> </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E4508"/>
    <w:rsid w:val="1BFE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2020-12-24T10:34:00Z</dcterms:created>
  <dc:creator>allanmorgan</dc:creator>
  <cp:lastModifiedBy>allanmorgan</cp:lastModifiedBy>
  <dcterms:modified xsi:type="dcterms:W3CDTF">2020-12-24T10:35:48Z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