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para la actualización de los montos establecidos en los artículos 1067 Bis fracción II, 1253 fracción VI, 1339, 1340 y 1390 Bis 33 del Código de Comercio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27 de diciembre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34, fracción XXXIII de la Ley Orgánica de la Administración Pública Federal; 1067 Bis, fracción II, 1253, fracción VI, 1339, 1340 y 1390 Bis 33 del Código de Comercio; 4 de la Ley Federal de Procedimiento Administrativo, y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 entre la últim</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actualización de dicho monto y el mes de noviembre del año en cuestión;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10 de diciembre de 2021 se publicó en el Diario Oficial de la Federación el Índice Nacional de Precios al Consumidor del mes de noviembre de 2021, mismo que corresponde a 116.884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30 de diciembre de 2021 se publicó en el Diario Oficial de la Federación el Acuerdo para la actualización de los montos establecidos en los artículos 1067 Bis fracción II, 1253 fracción VI, 1339, 1340 y 1390 Bis 33 del Código de Comercio, el cual entró en vigor el 1 de enero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9 de diciembre de 2022 se publicó en el Diario Oficial de la Federación el Índice Nacional de Precios al Consumidor del mes de noviembre de 2022, mismo que corresponde a 125.997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la inflación anual acumulada de noviembre de 2021 a noviembre de 2022 fue de 7.80 por ciento,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PARA LA ACTUALIZACIÓN DE LOS MONTOS ESTABLECIDOS EN LOS ARTÍCULOS 1067</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BIS FRACCIÓN II, 1253 FRACCIÓN VI, 1339, 1340 Y 1390 BIS 33 DEL CÓDIGO DE COMERCIO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montos actualizados correspondientes a los artículos 1067 Bis, fracción II; 1253 fracción VI; 1339; 1340 y 1390 Bis 33 del Código de Comercio, son los siguientes: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1067 Bis, fracción II: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$9,797.28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(Nueve mil setecientos noventa y siete pesos 28/100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1253, fracción VI: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$4,898.64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(Cuatro mil ochocientos noventa y ocho pesos 64/100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1339: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$816,439.97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(Ochocientos dieciséis mil cuatrocientos treinta y nueve pesos 97/100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1340: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$816,439.97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(Ochocientos dieciséis mil cuatrocientos treinta y nueve pesos 97/100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1390 Bis 33: de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$2,750.29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(Dos mil setecientos cincuenta pesos 29/100 M.N.)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$8,906.91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(Ocho mil novecientos seis pesos 91/100 M.N.)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Acuerdo entrará en vigor el 1 de enero de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19 de diciembre de 2022.- La Secretaria de Economía,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Raquel Buenrostro Sánchez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1146"/>
    <w:rsid w:val="37B6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2022-12-27T08:46:00Z</dcterms:created>
  <dc:creator>Allan Morgan Hernández</dc:creator>
  <cp:lastModifiedBy>Allan Morgan Hernández</cp:lastModifiedBy>
  <dcterms:modified xsi:type="dcterms:W3CDTF">2022-12-27T08:47:25Z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