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Regular" w:hAnsi="Verdana Regular" w:eastAsia="Times" w:cs="Verdana Regular"/>
          <w:b/>
          <w:bCs/>
          <w:i w:val="0"/>
          <w:iCs w:val="0"/>
          <w:caps w:val="0"/>
          <w:color w:val="5B9BD5" w:themeColor="accent1"/>
          <w:spacing w:val="0"/>
          <w:sz w:val="20"/>
          <w:szCs w:val="20"/>
          <w14:textFill>
            <w14:solidFill>
              <w14:schemeClr w14:val="accent1"/>
            </w14:solidFill>
          </w14:textFill>
        </w:rPr>
      </w:pP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C</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onvenio</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de Coordinación para el otorgamiento de recursos disponibles del subsidio para la Tercera Etapa de Implementación de la Reforma al Sistema de Justicia Laboral, que celebran la Secretaría del Trabajo y Previsión Social y el Estado de Hidalgo</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(DOF 3 de octubre de 2022)</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cs="Verdana Regular"/>
          <w:i w:val="0"/>
          <w:iCs w:val="0"/>
          <w:caps w:val="0"/>
          <w:color w:val="2F2F2F"/>
          <w:spacing w:val="0"/>
          <w:sz w:val="20"/>
          <w:szCs w:val="20"/>
          <w:shd w:val="clear" w:fill="FFFFFF"/>
        </w:rPr>
        <w:t>Al margen un sello con el Escudo Nacional, que dice: Estados Unidos Mexicanos.- TRABAJO.- Secretaría del Trabajo y Previsión Social.</w:t>
      </w:r>
    </w:p>
    <w:p>
      <w:pPr>
        <w:keepNext w:val="0"/>
        <w:keepLines w:val="0"/>
        <w:widowControl/>
        <w:suppressLineNumbers w:val="0"/>
        <w:shd w:val="clear" w:fill="FFFFFF"/>
        <w:spacing w:after="6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CONVENIO DE COORDINACIÓN PARA EL OTORGAMIENTO DE RECURSOS DISPONIBLES DEL SUBSIDIO PARA LA "</w:t>
      </w:r>
      <w:r>
        <w:rPr>
          <w:rFonts w:hint="default" w:ascii="Verdana Regular" w:hAnsi="Verdana Regular" w:eastAsia="SimSun" w:cs="Verdana Regular"/>
          <w:i/>
          <w:iCs/>
          <w:caps w:val="0"/>
          <w:color w:val="2F2F2F"/>
          <w:spacing w:val="0"/>
          <w:kern w:val="0"/>
          <w:sz w:val="20"/>
          <w:szCs w:val="20"/>
          <w:shd w:val="clear" w:fill="FFFFFF"/>
          <w:lang w:val="en-US" w:eastAsia="zh-CN" w:bidi="ar"/>
        </w:rPr>
        <w:t>TERCERA ETAPA DE IMPLEMENTACIÓN DE LA REFORMA AL SISTE</w:t>
      </w:r>
      <w:bookmarkStart w:id="0" w:name="_GoBack"/>
      <w:bookmarkEnd w:id="0"/>
      <w:r>
        <w:rPr>
          <w:rFonts w:hint="default" w:ascii="Verdana Regular" w:hAnsi="Verdana Regular" w:eastAsia="SimSun" w:cs="Verdana Regular"/>
          <w:i/>
          <w:iCs/>
          <w:caps w:val="0"/>
          <w:color w:val="2F2F2F"/>
          <w:spacing w:val="0"/>
          <w:kern w:val="0"/>
          <w:sz w:val="20"/>
          <w:szCs w:val="20"/>
          <w:shd w:val="clear" w:fill="FFFFFF"/>
          <w:lang w:val="en-US" w:eastAsia="zh-CN" w:bidi="ar"/>
        </w:rPr>
        <w:t>MA DE JUSTICIA LABORAL"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DE HIDALGO, EN ADELANTE "EL GOBIERNO DEL ESTADO", A TRAVÉS DE LA SECRETARÍA DE GOBIERNO, REPRESENTADA POR EL LICENCIADO GUILLERMO OLIVARES REYNA, ASISTIDO POR LA SECRETARÍA DE FINANZAS PÚBLICAS REPRESENTADA POR LA MAESTRA MARÍA ESTHER RAMÍREZ VARGAS, LA SECRETARÍA DEL TRABAJO Y PREVISIÓN SOCIAL, REPRESENTADA POR EL LICENCIADO OSCAR JAVIER GONZÁLEZ HERNÁNDEZ Y POR LA MAGISTRADA REBECA STELLA ALADRO ECHEVERRÍA, PRESIDENTA DEL TRIBUNAL SUPERIOR DE JUSTICIA, DEL CONSEJO DE LA JUDICATURA Y REPRESENTANTE DEL PODER JUDICIAL DEL ESTADO DE HIDALGO; A QUIENES CUANDO ACTÚEN CONJUNTAMENTE SE LES DESIGNARÁ COMO "LAS PARTES", AL TENOR DE LOS SIGUIENTES ANTECEDENTES, DECLARACIONES Y CLÁUSULAS:</w:t>
      </w:r>
    </w:p>
    <w:p>
      <w:pPr>
        <w:keepNext w:val="0"/>
        <w:keepLines w:val="0"/>
        <w:widowControl/>
        <w:suppressLineNumbers w:val="0"/>
        <w:shd w:val="clear" w:fill="FFFFFF"/>
        <w:spacing w:before="101" w:beforeAutospacing="0" w:after="66"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ANTECEDENTES</w:t>
      </w:r>
    </w:p>
    <w:p>
      <w:pPr>
        <w:keepNext w:val="0"/>
        <w:keepLines w:val="0"/>
        <w:widowControl/>
        <w:suppressLineNumbers w:val="0"/>
        <w:shd w:val="clear" w:fill="FFFFFF"/>
        <w:spacing w:after="6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fecha 24 de febrero de 2017, se publicó en el Diario Oficial de la Federación (DOF) el "</w:t>
      </w:r>
      <w:r>
        <w:rPr>
          <w:rFonts w:hint="default" w:ascii="Verdana Regular" w:hAnsi="Verdana Regular" w:eastAsia="SimSun" w:cs="Verdana Regular"/>
          <w:i/>
          <w:iCs/>
          <w:caps w:val="0"/>
          <w:color w:val="2F2F2F"/>
          <w:spacing w:val="0"/>
          <w:kern w:val="0"/>
          <w:sz w:val="20"/>
          <w:szCs w:val="20"/>
          <w:shd w:val="clear" w:fill="FFFFFF"/>
          <w:lang w:val="en-US" w:eastAsia="zh-CN" w:bidi="ar"/>
        </w:rPr>
        <w:t>Decreto por el que se declaran reformadas y adicionadas diversas disposiciones de los artículos 107 y 123 de la Constitución Política de los Estados Unidos Mexicanos, en materia de Justicia Laboral"</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pPr>
        <w:keepNext w:val="0"/>
        <w:keepLines w:val="0"/>
        <w:widowControl/>
        <w:suppressLineNumbers w:val="0"/>
        <w:shd w:val="clear" w:fill="FFFFFF"/>
        <w:spacing w:after="6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pPr>
        <w:keepNext w:val="0"/>
        <w:keepLines w:val="0"/>
        <w:widowControl/>
        <w:suppressLineNumbers w:val="0"/>
        <w:shd w:val="clear" w:fill="FFFFFF"/>
        <w:spacing w:after="6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fecha 1° de mayo de 2019, se publicó en el DOF </w:t>
      </w:r>
      <w:r>
        <w:rPr>
          <w:rFonts w:hint="default" w:ascii="Verdana Regular" w:hAnsi="Verdana Regular" w:eastAsia="SimSun" w:cs="Verdana Regular"/>
          <w:i/>
          <w:iCs/>
          <w:caps w:val="0"/>
          <w:color w:val="2F2F2F"/>
          <w:spacing w:val="0"/>
          <w:kern w:val="0"/>
          <w:sz w:val="20"/>
          <w:szCs w:val="20"/>
          <w:shd w:val="clear" w:fill="FFFFFF"/>
          <w:lang w:val="en-US" w:eastAsia="zh-CN" w:bidi="ar"/>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con el cual se establecen las reglas relativas al procedimiento de conciliación prejudicial obligatoria para la resolución de problemas de orden laboral.</w:t>
      </w:r>
    </w:p>
    <w:p>
      <w:pPr>
        <w:keepNext w:val="0"/>
        <w:keepLines w:val="0"/>
        <w:widowControl/>
        <w:suppressLineNumbers w:val="0"/>
        <w:shd w:val="clear" w:fill="FFFFFF"/>
        <w:spacing w:after="6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pPr>
        <w:keepNext w:val="0"/>
        <w:keepLines w:val="0"/>
        <w:widowControl/>
        <w:suppressLineNumbers w:val="0"/>
        <w:shd w:val="clear" w:fill="FFFFFF"/>
        <w:spacing w:after="6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pPr>
        <w:keepNext w:val="0"/>
        <w:keepLines w:val="0"/>
        <w:widowControl/>
        <w:suppressLineNumbers w:val="0"/>
        <w:shd w:val="clear" w:fill="FFFFFF"/>
        <w:spacing w:after="6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pPr>
        <w:keepNext w:val="0"/>
        <w:keepLines w:val="0"/>
        <w:widowControl/>
        <w:suppressLineNumbers w:val="0"/>
        <w:shd w:val="clear" w:fill="FFFFFF"/>
        <w:spacing w:after="6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Entre sus atribuciones, el Consejo de Coordinación coadyuvará con las Legislaturas de las Entidades Federativas, en el seguimiento y evaluación de los recursos presupuestales ejercidos en la implementación y operación del Sistema de Justicia Laboral.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este orden de ideas, detalló que la implementación se realizaría en tres etapas, iniciando la primera de ellas el 18 de noviembre de 2020 en 8 Entidades Federativas.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29 de noviembre de 2021, se publicó en el DOF el Presupuesto de Egresos de la Federación para el Ejercicio Fiscal 2022; en el cual se asignaron a la Secretaría del Trabajo y Previsión Social los recursos suficientes para atender su estructura programática, dentro la cual se encuentra el </w:t>
      </w:r>
      <w:r>
        <w:rPr>
          <w:rFonts w:hint="default" w:ascii="Verdana Regular" w:hAnsi="Verdana Regular" w:eastAsia="SimSun" w:cs="Verdana Regular"/>
          <w:b/>
          <w:bCs/>
          <w:i/>
          <w:iCs/>
          <w:caps w:val="0"/>
          <w:color w:val="2F2F2F"/>
          <w:spacing w:val="0"/>
          <w:kern w:val="0"/>
          <w:sz w:val="20"/>
          <w:szCs w:val="20"/>
          <w:shd w:val="clear" w:fill="FFFFFF"/>
          <w:lang w:val="en-US" w:eastAsia="zh-CN" w:bidi="ar"/>
        </w:rPr>
        <w:t>"Programa Presupuestario U 100 Subsidios a las Entidades Federativas para la implementación de la Reforma al Sistema de Justicia Laboral"</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el cual se consideran recursos para coadyuvar con las Entidades Federativas que forman parte de la tercera etapa de implementación de la Reforma al Sistema de Justicia Laboral.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Derivado de la fracción anterior, el 17 de diciembre de 2021 se publicaron en el DOF los </w:t>
      </w:r>
      <w:r>
        <w:rPr>
          <w:rFonts w:hint="default" w:ascii="Verdana Regular" w:hAnsi="Verdana Regular" w:eastAsia="SimSun" w:cs="Verdana Regular"/>
          <w:b/>
          <w:bCs/>
          <w:i/>
          <w:iCs/>
          <w:caps w:val="0"/>
          <w:color w:val="2F2F2F"/>
          <w:spacing w:val="0"/>
          <w:kern w:val="0"/>
          <w:sz w:val="20"/>
          <w:szCs w:val="20"/>
          <w:shd w:val="clear" w:fill="FFFFFF"/>
          <w:lang w:val="en-US" w:eastAsia="zh-CN" w:bidi="ar"/>
        </w:rPr>
        <w:t>Lineamientos por los que se establecen las bases y requisitos que deberán cumplir las Entidades Federativas para acceder al subsidio destinado a la tercera etapa de la implementación de la Reforma al Sistema de Justicia Laboral (Lineamientos).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fundamento en lo que establece el numeral Cuadragésimo séptimo de los</w:t>
      </w:r>
      <w:r>
        <w:rPr>
          <w:rFonts w:hint="default" w:ascii="Verdana Regular" w:hAnsi="Verdana Regular" w:eastAsia="SimSun" w:cs="Verdana Regular"/>
          <w:b/>
          <w:bCs/>
          <w:i/>
          <w:iCs/>
          <w:caps w:val="0"/>
          <w:color w:val="2F2F2F"/>
          <w:spacing w:val="0"/>
          <w:kern w:val="0"/>
          <w:sz w:val="20"/>
          <w:szCs w:val="20"/>
          <w:shd w:val="clear" w:fill="FFFFFF"/>
          <w:lang w:val="en-US" w:eastAsia="zh-CN" w:bidi="ar"/>
        </w:rPr>
        <w:t> Lineamientos por los que se establecen las bases y requisitos que deberán cumplir las Entidades Federativas para acceder al subsidio destinado a la tercera etapa de la implementación de la Reforma al Sistema de Justicia Laboral,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4 de julio del 2022 la UERSJL realizó a través de la circular STPS/UERSJL/C/001/2022 la invitación a las entidades interesadas en acceder al recurso disponible de la tercera etapa de implementación de la Reforma al Sistema de Justicia Laboral, a presentar sus proyectos</w:t>
      </w:r>
      <w:r>
        <w:rPr>
          <w:rFonts w:hint="default" w:ascii="Verdana Regular" w:hAnsi="Verdana Regular" w:eastAsia="SimSun" w:cs="Verdana Regular"/>
          <w:b/>
          <w:bCs/>
          <w:i/>
          <w:iCs/>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fecha 31 de mayo de 2021, se suscribió el Convenio de Coordinación para el otorgamiento del subsidio para la Segunda Etapa de Implementación de la Reforma al Sistema de Justicia Laboral, que celebran la Secretaría del Trabajo y Previsión Social y el Estado de Hidalgo, publicado en el Diario Oficial de la Federación el pasado 23 de junio de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fecha 08 de agosto de 2022 el Estado de Hidalgo, a través del Poder Judicial presentó la solicitud de acceso a los recursos disponibles mediante oficio PJEH-1.01*8C.17.2/PRES/203/2022 así como la documentación correspondiente al proyecto de Tribunales Laborales.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del cumplimiento en tiempo y forma de los requisitos señalados en los Lineamientos, el Comité de Evaluación determinó aprobar el Proyecto presentado por el Poder Judicial del Estado de Hidalgo, por lo que autorizó la cantidad de $2´399,995.73 (dos millones trescientos noventa y nueve mil novecientos noventa y cinco pesos 73/100 M.N.) para la instalación de los Tribunales Laborales.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Dicha situación se notificó al Poder Judicial de la Entidad Federativa mediante resolución del Comité de Evaluación el 01 de septiembre de 2022, por lo que, en cumplimiento con lo establecido en el numeral Décimo noveno, Vigésimo tercero y Vigésimo cuarto de los Lineamientos, se celebra el presente instrumento para la transferencia de los recursos referidos en la fracción anterior.</w:t>
      </w:r>
    </w:p>
    <w:p>
      <w:pPr>
        <w:keepNext w:val="0"/>
        <w:keepLines w:val="0"/>
        <w:widowControl/>
        <w:suppressLineNumbers w:val="0"/>
        <w:shd w:val="clear" w:fill="FFFFFF"/>
        <w:spacing w:before="101" w:beforeAutospacing="0" w:after="70"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before="101" w:beforeAutospacing="0" w:after="70"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DECLARACIONES</w:t>
      </w:r>
    </w:p>
    <w:p>
      <w:pPr>
        <w:keepNext w:val="0"/>
        <w:keepLines w:val="0"/>
        <w:widowControl/>
        <w:suppressLineNumbers w:val="0"/>
        <w:shd w:val="clear" w:fill="FFFFFF"/>
        <w:spacing w:after="7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"LA SECRETARÍA" declara que:</w:t>
      </w:r>
    </w:p>
    <w:p>
      <w:pPr>
        <w:keepNext w:val="0"/>
        <w:keepLines w:val="0"/>
        <w:widowControl/>
        <w:suppressLineNumbers w:val="0"/>
        <w:shd w:val="clear" w:fill="FFFFFF"/>
        <w:spacing w:after="7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pPr>
        <w:keepNext w:val="0"/>
        <w:keepLines w:val="0"/>
        <w:widowControl/>
        <w:suppressLineNumbers w:val="0"/>
        <w:shd w:val="clear" w:fill="FFFFFF"/>
        <w:spacing w:after="7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pPr>
        <w:keepNext w:val="0"/>
        <w:keepLines w:val="0"/>
        <w:widowControl/>
        <w:suppressLineNumbers w:val="0"/>
        <w:shd w:val="clear" w:fill="FFFFFF"/>
        <w:spacing w:after="7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pPr>
        <w:keepNext w:val="0"/>
        <w:keepLines w:val="0"/>
        <w:widowControl/>
        <w:suppressLineNumbers w:val="0"/>
        <w:shd w:val="clear" w:fill="FFFFFF"/>
        <w:spacing w:after="7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pPr>
        <w:keepNext w:val="0"/>
        <w:keepLines w:val="0"/>
        <w:widowControl/>
        <w:suppressLineNumbers w:val="0"/>
        <w:shd w:val="clear" w:fill="FFFFFF"/>
        <w:spacing w:after="7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dar cumplimiento al presente Convenio de Coordinación, cuenta con los recursos económicos suficientes para la implementación de la tercera etapa de la Reforma en Materia de Justicia Laboral, Libertad Sindical y Negociación Colectiva, publicada en el DOF el 1º de mayo de 2019, para crear los Centros de Conciliación Locales y Tribunales Laborales Locales.</w:t>
      </w:r>
    </w:p>
    <w:p>
      <w:pPr>
        <w:keepNext w:val="0"/>
        <w:keepLines w:val="0"/>
        <w:widowControl/>
        <w:suppressLineNumbers w:val="0"/>
        <w:shd w:val="clear" w:fill="FFFFFF"/>
        <w:spacing w:after="7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efectos derivados del presente Convenio, señala como su domicilio el ubicado en Boulevard Adolfo López Mateos número 1968, Los Alpes, Álvaro Obregón, 01010 Ciudad de México, en la Ciudad de México.</w:t>
      </w:r>
    </w:p>
    <w:p>
      <w:pPr>
        <w:keepNext w:val="0"/>
        <w:keepLines w:val="0"/>
        <w:widowControl/>
        <w:suppressLineNumbers w:val="0"/>
        <w:shd w:val="clear" w:fill="FFFFFF"/>
        <w:spacing w:after="7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"EL GOBIERNO DEL ESTADO" declara que:</w:t>
      </w:r>
    </w:p>
    <w:p>
      <w:pPr>
        <w:keepNext w:val="0"/>
        <w:keepLines w:val="0"/>
        <w:widowControl/>
        <w:suppressLineNumbers w:val="0"/>
        <w:shd w:val="clear" w:fill="FFFFFF"/>
        <w:spacing w:after="7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fundamento en los artículos 40, 41 primer párrafo, 42, fracción I, 43 y 116 de la Constitución Política de los Estados Unidos Mexicanos; así como el artículo 1 de la Constitución Política del Estado de Hidalgo, es un Estado libre y soberano en todo lo concerniente a su régimen interior y forma parte integrante de la Federación.</w:t>
      </w:r>
    </w:p>
    <w:p>
      <w:pPr>
        <w:keepNext w:val="0"/>
        <w:keepLines w:val="0"/>
        <w:widowControl/>
        <w:suppressLineNumbers w:val="0"/>
        <w:shd w:val="clear" w:fill="FFFFFF"/>
        <w:spacing w:after="7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Asiste en la suscripción del presente Convenio de Coordinación el Titular de la Secretaría de Gobierno, el Lic. Guillermo Olivares Reyna, con fundamento en los artículos 73 y 81 de la Constitución Política del Estado Libre y Soberano de Hidalgo; 3, 13 fracción I de la Ley Orgánica de la Administración Pública del Estado de Hidalgo y 12 del Reglamento Interior de la Secretaría de Gobierno.</w:t>
      </w:r>
    </w:p>
    <w:p>
      <w:pPr>
        <w:keepNext w:val="0"/>
        <w:keepLines w:val="0"/>
        <w:widowControl/>
        <w:suppressLineNumbers w:val="0"/>
        <w:shd w:val="clear" w:fill="FFFFFF"/>
        <w:spacing w:after="7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conformidad con lo dispuesto en los artículos 73, 81 de la Constitución Política del Estado Libre y Soberano de Hidalgo 3, y 13 fracción II de la Ley Orgánica de la Administración Pública del Estado de Hidalgo; 14, fracción XXXVIII del Reglamento Interior de la Secretaría de Finanzas Públicas, la Maestra María Esther Ramírez Vargas, en su carácter de Secretaria de Finanzas Públicas del Estado de Hidalgo, se encuentra facultada para suscribir el presente Convenio.</w:t>
      </w:r>
    </w:p>
    <w:p>
      <w:pPr>
        <w:keepNext w:val="0"/>
        <w:keepLines w:val="0"/>
        <w:widowControl/>
        <w:suppressLineNumbers w:val="0"/>
        <w:shd w:val="clear" w:fill="FFFFFF"/>
        <w:spacing w:after="7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conformidad con lo dispuesto en los artículos 73, 81 de la Constitución Política del Estado Libre y Soberano de Hidalgo; 3, y 13 fracción XIV y 37 fracción I de la Ley Orgánica de la Administración Pública del Estado de Hidalgo; 10, fracción III del Reglamento Interior de la Secretaría de Trabajo, el Licenciado Oscar Javier González Hernández</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su carácter de Secretario de Trabajo del Estado de Hidalgo, se encuentra facultado para asistir a la suscripción el presente Convenio y fungirá como Instancia Estatal Responsable del gobierno local, encargado de la implementación del Nuevo Sistema de Justicia Laboral.</w:t>
      </w:r>
    </w:p>
    <w:p>
      <w:pPr>
        <w:keepNext w:val="0"/>
        <w:keepLines w:val="0"/>
        <w:widowControl/>
        <w:suppressLineNumbers w:val="0"/>
        <w:shd w:val="clear" w:fill="FFFFFF"/>
        <w:spacing w:after="7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Magistrada Presidenta Rebeca Stella Aladro Echeverria, representante del Poder Judicial del Estado de Hidalgo, cuenta con facultades para suscribir el presente instrumento jurídico en términos de lo dispuesto en los artículos 93 y 100, de la Constitución Política del Estado Libre y Soberano de Hidalgo, 20 de la Ley Orgánica del Poder Judicial, que para los efectos del presente instrumento, tiene su domicilio en Carretera México-Pachuca, km. 84.5, Sector Primario, C.P. 42080, Pachuca de Soto, Hidalgo.</w:t>
      </w:r>
    </w:p>
    <w:p>
      <w:pPr>
        <w:keepNext w:val="0"/>
        <w:keepLines w:val="0"/>
        <w:widowControl/>
        <w:suppressLineNumbers w:val="0"/>
        <w:shd w:val="clear" w:fill="FFFFFF"/>
        <w:spacing w:after="7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Cuenta con la capacidad económica presupuestal para que, de ser el caso, aporte recursos que serán destinados a la Implementación de la Reforma al Sistema de Justicia Laboral, para la creación de los Tribunales Laborales locales de esa Entidad Federativa, materia del presente Convenio, en los términos y hasta donde las disposiciones administrativas y presupuestales lo permitan.</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del presente instrumento, tiene como domicilio legal el ubicado en Carretera México Pachuca Kilómetro 84.5, Sector Primario código postal 42080 cuarenta y dos mil ochenta, Pachuca de Soto, Hidalgo.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 "LAS PARTES" declaran que: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Reconocen en forma recíproca la personalidad con la que se ostentan y comparecen a la suscripción de este Convenio.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 su voluntad conjuntar esfuerzos en sus respectivos ámbitos de gobierno, para impulsar y ejecutar acciones que tengan como eje central la implementación de la Reforma al Sistema de Justicia Laboral.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Están convencidas de la importancia de instrumentar, con prioridad, los mecanismos necesarios para la creación de los nuevos Tribunales Laborales Locales de la Entidad Federativa, a fin de otorgar la sustanciación de juicios laborales en la instancia judicial, tal y como lo refiere el artículo 123, apartado A, fracción XX de la Constitución Federal.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Tribunales Laborales Locales.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obligan al cumplimiento de los preceptos establecidos en los Lineamientos y las leyes aplicables en la materia. Expuesto lo anterior, "LAS PARTES" sujetan su compromiso a la forma y términos que se establecen en las siguientes:</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CLÁUSULAS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PRIMERA.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OBJETO. El presente Convenio de Coordinación tiene por objeto el otorgamiento de los recursos autorizados al Estado de Hidalgo para la Implementación de la Reforma al Sistema de Justicia Laboral, a través de la creación de los Tribunales Laborales Locales, especializados e imparciales; con personalidad jurídica y patrimonio propios, autonomía técnica, operativa, presupuestaria, de decisión y de gestión.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SEGUNDA.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ASIGNACIÓN DE LOS RECURSOS. Para el cumplimiento del objeto señalado en la cláusula anterior, "LA SECRETARÍA" asignará la cantidad de $2´399,995.73 (dos millones trescientos noventa y nueve mil novecientos noventa y cinco pesos 73/100 M.N.) correspondiente al recurso autorizado por el Comité de Evaluación, de los cuales serán destinados para la creación de los Tribunales Laborales Locales.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ejecución del Proyecto y el ejercicio de los recursos serán responsabilidad del Poder Judicial del Estado, según corresponda.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recursos federales se radicarán a "EL GOBIERNO DEL ESTADO", a través de su Secretaría de Finanzas Públicas,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085"/>
        <w:gridCol w:w="5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9" w:hRule="atLeast"/>
        </w:trPr>
        <w:tc>
          <w:tcPr>
            <w:tcW w:w="33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Número de Plaza:</w:t>
            </w:r>
          </w:p>
        </w:tc>
        <w:tc>
          <w:tcPr>
            <w:tcW w:w="56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82" w:hRule="atLeast"/>
        </w:trPr>
        <w:tc>
          <w:tcPr>
            <w:tcW w:w="33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Entidad bancaria:</w:t>
            </w:r>
          </w:p>
        </w:tc>
        <w:tc>
          <w:tcPr>
            <w:tcW w:w="56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Banco Mercantil del Norte, 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82" w:hRule="atLeast"/>
        </w:trPr>
        <w:tc>
          <w:tcPr>
            <w:tcW w:w="33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Cuenta bancaria número:</w:t>
            </w:r>
          </w:p>
        </w:tc>
        <w:tc>
          <w:tcPr>
            <w:tcW w:w="56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1202645381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82" w:hRule="atLeast"/>
        </w:trPr>
        <w:tc>
          <w:tcPr>
            <w:tcW w:w="33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CLABE:</w:t>
            </w:r>
          </w:p>
        </w:tc>
        <w:tc>
          <w:tcPr>
            <w:tcW w:w="56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072290012026453810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82" w:hRule="atLeast"/>
        </w:trPr>
        <w:tc>
          <w:tcPr>
            <w:tcW w:w="33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RFC:</w:t>
            </w:r>
          </w:p>
        </w:tc>
        <w:tc>
          <w:tcPr>
            <w:tcW w:w="56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GEH690116NV7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08" w:hRule="atLeast"/>
        </w:trPr>
        <w:tc>
          <w:tcPr>
            <w:tcW w:w="33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Domicilio fiscal:</w:t>
            </w:r>
          </w:p>
        </w:tc>
        <w:tc>
          <w:tcPr>
            <w:tcW w:w="56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Plaza Juárez, sin número Colonia Centro, C.P. 42000, Pachuca de Soto, Hidalgo.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841" w:hRule="atLeast"/>
        </w:trPr>
        <w:tc>
          <w:tcPr>
            <w:tcW w:w="33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Nombre del Proyecto:</w:t>
            </w:r>
          </w:p>
        </w:tc>
        <w:tc>
          <w:tcPr>
            <w:tcW w:w="56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iCs/>
                <w:caps w:val="0"/>
                <w:color w:val="000000"/>
                <w:spacing w:val="0"/>
                <w:kern w:val="0"/>
                <w:sz w:val="20"/>
                <w:szCs w:val="20"/>
                <w:lang w:val="en-US" w:eastAsia="zh-CN" w:bidi="ar"/>
              </w:rPr>
              <w:t>"Creación de los Tribunales Laborales para el Estado de Hidalgo (Creación de la Sala de Oralidad para Asuntos Colectivos del Tribunal Laboral del Poder Judicial del Estado de Hidalgo)"</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conforme a lo que dispone el numeral Tercero de los Lineamientos, el Poder Judicial de la Entidad Federativa será beneficiario de los recursos otorgados cuando se haya presentado un Proyecto para la creación de Tribunales Laborales. Por lo anterior, la Secretaría de Finanzas Públicas del Estado se compromete a transferir al Poder Judicial del Estado, la cantidad requerida en un plazo máximo de 5 días hábiles, en la cuenta que aperturó conforme a lo que establece el numeral Vigésimo segundo, inciso b, y que se identifica con los siguientes datos: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163"/>
        <w:gridCol w:w="5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2" w:hRule="atLeast"/>
        </w:trPr>
        <w:tc>
          <w:tcPr>
            <w:tcW w:w="33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Número de Plaza:</w:t>
            </w:r>
          </w:p>
        </w:tc>
        <w:tc>
          <w:tcPr>
            <w:tcW w:w="55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5" w:hRule="atLeast"/>
        </w:trPr>
        <w:tc>
          <w:tcPr>
            <w:tcW w:w="33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Entidad bancaria:</w:t>
            </w:r>
          </w:p>
        </w:tc>
        <w:tc>
          <w:tcPr>
            <w:tcW w:w="55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Banco Nacional de México, 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5" w:hRule="atLeast"/>
        </w:trPr>
        <w:tc>
          <w:tcPr>
            <w:tcW w:w="33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Cuenta bancaria número:</w:t>
            </w:r>
          </w:p>
        </w:tc>
        <w:tc>
          <w:tcPr>
            <w:tcW w:w="55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70167736503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5" w:hRule="atLeast"/>
        </w:trPr>
        <w:tc>
          <w:tcPr>
            <w:tcW w:w="33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CLABE:</w:t>
            </w:r>
          </w:p>
        </w:tc>
        <w:tc>
          <w:tcPr>
            <w:tcW w:w="55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002290701677365036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5" w:hRule="atLeast"/>
        </w:trPr>
        <w:tc>
          <w:tcPr>
            <w:tcW w:w="33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RFC:</w:t>
            </w:r>
          </w:p>
        </w:tc>
        <w:tc>
          <w:tcPr>
            <w:tcW w:w="55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PJE980509IP4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35" w:hRule="atLeast"/>
        </w:trPr>
        <w:tc>
          <w:tcPr>
            <w:tcW w:w="33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Domicilio fiscal:</w:t>
            </w:r>
          </w:p>
        </w:tc>
        <w:tc>
          <w:tcPr>
            <w:tcW w:w="55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Carretera México-Pachuca, kilómetro 84.5, Sector Primario, código postal 42080, Pachuca de Soto, Hidalgo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762" w:hRule="atLeast"/>
        </w:trPr>
        <w:tc>
          <w:tcPr>
            <w:tcW w:w="33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Nombre del Proyecto:</w:t>
            </w:r>
          </w:p>
        </w:tc>
        <w:tc>
          <w:tcPr>
            <w:tcW w:w="55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iCs/>
                <w:caps w:val="0"/>
                <w:color w:val="000000"/>
                <w:spacing w:val="0"/>
                <w:kern w:val="0"/>
                <w:sz w:val="20"/>
                <w:szCs w:val="20"/>
                <w:lang w:val="en-US" w:eastAsia="zh-CN" w:bidi="ar"/>
              </w:rPr>
              <w:t>"Creación de los Tribunales Laborales para el Estado de Hidalgo (Creación de la Sala de Oralidad para Asuntos Colectivos del Tribunal Laboral del Poder Judicial del Estado de Hidalgo)"</w:t>
            </w:r>
          </w:p>
        </w:tc>
      </w:tr>
    </w:tbl>
    <w:p>
      <w:pPr>
        <w:keepNext w:val="0"/>
        <w:keepLines w:val="0"/>
        <w:widowControl/>
        <w:suppressLineNumbers w:val="0"/>
        <w:shd w:val="clear" w:fill="FFFFFF"/>
        <w:spacing w:after="68"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8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 un requisito indispensable que "EL GOBIERNO DEL ESTADO" remita, a través de su Secretaría de Finanzas, a "LA SECRETARÍA" la solicitud de transferencia de recursos con los requisitos señalados en el numeral Vigésimo quinto, de los Lineamientos.</w:t>
      </w:r>
    </w:p>
    <w:p>
      <w:pPr>
        <w:keepNext w:val="0"/>
        <w:keepLines w:val="0"/>
        <w:widowControl/>
        <w:suppressLineNumbers w:val="0"/>
        <w:shd w:val="clear" w:fill="FFFFFF"/>
        <w:spacing w:after="8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Posteriormente, dentro de los diez días naturales siguientes a la transferencia de los recursos "EL GOBIERNO DEL ESTADO" deberá emitir el recibo electrónico correspondiente por el monto depositado, mismo que deberá estar validado por el Secretario de Finanzas Públicas, cumplir con los requisitos establecidos en el artículo 29-A del Código Fiscal de la Federación y enviarlo a "LA SECRETARÍA" vía correo electrónico a la dirección reforma.laboral@stps.gob.mx , así como adjuntarlo en la Plataforma.</w:t>
      </w:r>
    </w:p>
    <w:p>
      <w:pPr>
        <w:keepNext w:val="0"/>
        <w:keepLines w:val="0"/>
        <w:widowControl/>
        <w:suppressLineNumbers w:val="0"/>
        <w:shd w:val="clear" w:fill="FFFFFF"/>
        <w:spacing w:after="8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"LA SECRETARÍA", la radicación de los recursos federales genera los momentos contables del gasto devengado, ejercido y pagado, en términos del artículo 4, fracciones XIV, XV, XVI y XVII de la Ley General de Contabilidad Gubernamental.</w:t>
      </w:r>
    </w:p>
    <w:p>
      <w:pPr>
        <w:keepNext w:val="0"/>
        <w:keepLines w:val="0"/>
        <w:widowControl/>
        <w:suppressLineNumbers w:val="0"/>
        <w:shd w:val="clear" w:fill="FFFFFF"/>
        <w:spacing w:after="8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pPr>
        <w:keepNext w:val="0"/>
        <w:keepLines w:val="0"/>
        <w:widowControl/>
        <w:suppressLineNumbers w:val="0"/>
        <w:shd w:val="clear" w:fill="FFFFFF"/>
        <w:spacing w:after="8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recursos asignados a la Entidad Federativa se encuentran sujetos a la disponibilidad de estos en términos del Presupuesto de Egresos de la Federación 2022,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pPr>
        <w:keepNext w:val="0"/>
        <w:keepLines w:val="0"/>
        <w:widowControl/>
        <w:suppressLineNumbers w:val="0"/>
        <w:shd w:val="clear" w:fill="FFFFFF"/>
        <w:spacing w:after="8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pPr>
        <w:keepNext w:val="0"/>
        <w:keepLines w:val="0"/>
        <w:widowControl/>
        <w:suppressLineNumbers w:val="0"/>
        <w:shd w:val="clear" w:fill="FFFFFF"/>
        <w:spacing w:after="8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pPr>
        <w:keepNext w:val="0"/>
        <w:keepLines w:val="0"/>
        <w:widowControl/>
        <w:suppressLineNumbers w:val="0"/>
        <w:shd w:val="clear" w:fill="FFFFFF"/>
        <w:spacing w:after="8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TERCERA.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COMPROMISO DE "LAS PARTES". Además de lo previsto en los Lineamientos, para la realización del objeto del presente Convenio, "LAS PARTES" se comprometen a lo siguiente:</w:t>
      </w:r>
    </w:p>
    <w:p>
      <w:pPr>
        <w:keepNext w:val="0"/>
        <w:keepLines w:val="0"/>
        <w:widowControl/>
        <w:suppressLineNumbers w:val="0"/>
        <w:shd w:val="clear" w:fill="FFFFFF"/>
        <w:spacing w:after="8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Otorgar todas las facilidades para la rendición de cuentas, respecto a la utilización de los recursos aportados por el Gobierno Federal, así como de la planeación, asistencia técnica y, en su caso, los recursos aportados por el Gobierno Estatal.</w:t>
      </w:r>
    </w:p>
    <w:p>
      <w:pPr>
        <w:keepNext w:val="0"/>
        <w:keepLines w:val="0"/>
        <w:widowControl/>
        <w:suppressLineNumbers w:val="0"/>
        <w:shd w:val="clear" w:fill="FFFFFF"/>
        <w:spacing w:after="8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Apegarse a lo establecido en la LFPRH, su Reglamento y demás legislación aplicable en materia de subsidios.</w:t>
      </w:r>
    </w:p>
    <w:p>
      <w:pPr>
        <w:keepNext w:val="0"/>
        <w:keepLines w:val="0"/>
        <w:widowControl/>
        <w:suppressLineNumbers w:val="0"/>
        <w:shd w:val="clear" w:fill="FFFFFF"/>
        <w:spacing w:after="8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Atender todos los acuerdos del CCIRSJL y los que deriven de las Reuniones de coordinación para la tercera etapa de la implementación de la reforma al Sistema de Justicia Laboral.</w:t>
      </w:r>
    </w:p>
    <w:p>
      <w:pPr>
        <w:keepNext w:val="0"/>
        <w:keepLines w:val="0"/>
        <w:widowControl/>
        <w:suppressLineNumbers w:val="0"/>
        <w:shd w:val="clear" w:fill="FFFFFF"/>
        <w:spacing w:after="8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CUARTA.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COMPROMISOS DE "LA SECRETARÍA". "LA SECRETARÍA", a través de la UERSJL, se obliga a:</w:t>
      </w:r>
    </w:p>
    <w:p>
      <w:pPr>
        <w:keepNext w:val="0"/>
        <w:keepLines w:val="0"/>
        <w:widowControl/>
        <w:suppressLineNumbers w:val="0"/>
        <w:shd w:val="clear" w:fill="FFFFFF"/>
        <w:spacing w:after="8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w:t>
      </w:r>
    </w:p>
    <w:p>
      <w:pPr>
        <w:keepNext w:val="0"/>
        <w:keepLines w:val="0"/>
        <w:widowControl/>
        <w:suppressLineNumbers w:val="0"/>
        <w:shd w:val="clear" w:fill="FFFFFF"/>
        <w:spacing w:after="84"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siguientes al envío de la solicitud de transferencia de recursos, conforme a lo dispuesto en el numeral Vigésimo séptimo de los Lineamientos.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Realizar los registros correspondientes en la Cuenta Pública Federal y en los demás informes sobre el ejercicio del gasto público, a efecto de informar sobre la aplicación de los subsidios otorgados en el marco del presente instrumento.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sobre los resultados obtenidos con la aplicación de los recursos presupuestarios federales que se proporcionarán en el marco de este instrumento.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Publicar en el DOF el presente Convenio, una vez firmado por "LAS PARTES", para los efectos legales conducentes.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QUINTA.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COMPROMISOS DE "EL GOBIERNO DEL ESTADO". "EL GOBIERNO DEL ESTADO", en el ámbito de sus respectivas competencias, se compromete 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Destinar por conducto del Poder Judicial del Estado, los recursos asignados vía subsidio exclusivamente para los fines previstos en las CLÁUSULAS PRIMERA y SEGUNDA.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Ejercer el recurso federal de conformidad con lo establecido en los Proyectos presentados, a más tardar el 31 de diciembre de 2022.</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Iniciar las acciones para dar cumplimiento a los objetivos y metas definidas en los Proyectos presentados y en el Plan calendarizado, una vez que se firme el presente Convenio.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Realizar por conducto del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g.</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Recabar, resguardar y conservar la documentación justificativa y comprobatoria de las erogaciones cubiertas con los recursos federales que le sean entregados por concepto de subsidios.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h.</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Realizar los registros correspondientes en la contabilidad y en la Cuenta Pública local, conforme sean devengados y ejercidos los recursos, y dar cumplimiento a las disposiciones federales aplicables respecto de la administración de estos.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Integrar y resguardar los expedientes relacionados con la ejecución y comprobación de los Proyectos financiados con los recursos otorgados objeto del presente instrumento.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j.</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Reportar trimestralmente por rubro, conforme al Plan calendarizado lo siguiente:</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información sobre el ejercicio, destino y resultados obtenidos con los recursos del subsidio;</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disponibilidad financiera con la que cuente y el recurso del subsidio autorizado, comprometido, devengado, ejercido, pagado y disponible el cual deberá ser validado por la Secretaría de Finanzas Públicas de la Entidad Federativa o su equivalente, y soportado con la documentación inherente al Proyecto que corresponda (instalación de Tribunales Laborales).</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instrumentos contractuales correspondientes a los procesos de adjudicación realizados en el periodo reportado.</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comprobantes fiscales en términos de las leyes aplicables y la verificación de estos en la página de Sistema de Administración Tributaria (SAT).</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estados de cuenta bancarios del periodo reportado.</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6.</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grado de avance de los Proyectos medidos con base en las metas e indicadores que se muestren en el formato de la Plataforma que "LA SECRETARÍA" habilite para tal fin.</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reportes también deberán hacer mención del avance del Proyecto con su debido soporte documental</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k.</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Proporcionar a "LA SECRETARÍA" toda la información y documentación requerida para la</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comprobación de la correcta aplicación del subsidio, así como de las acciones implementadas para la ejecución de los Proyectos, la cual deberán remitir en formato electrónico y físico, según corresponda conforme a lo señalado en los Lineamientos.</w:t>
      </w:r>
    </w:p>
    <w:p>
      <w:pPr>
        <w:keepNext w:val="0"/>
        <w:keepLines w:val="0"/>
        <w:widowControl/>
        <w:suppressLineNumbers w:val="0"/>
        <w:shd w:val="clear" w:fill="FFFFFF"/>
        <w:spacing w:after="90"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términos de los Lineamientos, presentar a "LA SECRETARÍA", a más tardar el 15 de diciembre de 2022, el Acta de cierre del Proyecto, firmada por las autoridades responsables, la cual deberá cumplir con los requisitos que se establecen en el numeral Trigésimo octavo, inciso p, de los Lineamientos.</w:t>
      </w:r>
    </w:p>
    <w:p>
      <w:pPr>
        <w:keepNext w:val="0"/>
        <w:keepLines w:val="0"/>
        <w:widowControl/>
        <w:suppressLineNumbers w:val="0"/>
        <w:shd w:val="clear" w:fill="FFFFFF"/>
        <w:spacing w:after="90"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a "LA SECRETARÍA" el cambio de los servidores públicos con injerencia directa en la aplicación de los Lineamientos, que se realice en la Entidad Federativa hasta el 15 de diciembre de 2022,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pPr>
        <w:keepNext w:val="0"/>
        <w:keepLines w:val="0"/>
        <w:widowControl/>
        <w:suppressLineNumbers w:val="0"/>
        <w:shd w:val="clear" w:fill="FFFFFF"/>
        <w:spacing w:after="90"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Notificar a la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pPr>
        <w:keepNext w:val="0"/>
        <w:keepLines w:val="0"/>
        <w:widowControl/>
        <w:suppressLineNumbers w:val="0"/>
        <w:shd w:val="clear" w:fill="FFFFFF"/>
        <w:spacing w:after="90"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Cumplir y observar en todo momento las disposiciones de la LFPRH, el RLFPRH, el Presupuesto de Egresos de la Federación 2022, y demás legislación aplicable a la materia.</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SEXTA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ENLACES. Las o los servidores públicos que fungirán como enlaces entre "LAS PARTES" serán, por "EL GOBIERNO DEL ESTADO" el designado por el Presidente del Tribunal Superior de Justicia del Estado, y por "LA SECRETARÍA" la persona designada por la UERSJL.</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través de las personas enlaces se efectuarán todas las comunicaciones derivadas de la operación del presente Convenio de Coordinación, quienes serán responsables internos de las actividades encomendadas.</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efectos del seguimiento y evaluación, "LAS PARTES" acuerdan que las y/o los responsables podrán a su vez, designar a los funcionarios o personal del nivel jerárquico inmediato inferior, para que los asistan en las funciones encomendadas.</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SÉPTIMA.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REPORTES TRIMESTRALES. "EL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 anterior deberá atender lo dispuesto en el numeral Trigésimo octavo, inciso f, de los Lineamientos.</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caso de no recibir los reportes de acuerdo con su plan calendarizado "LA SECRETARÍA", a través de la UERSJL, solicitará a la Entidad Federativa, que cumpla con esta obligación en un plazo no mayor a 3 días hábiles.</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OCTAVA.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rendimientos financieros que se obtengan en la cuenta productiva a la cual se transferirá el subsidio en el ejercicio fiscal 2022, deberán ser reintegrados a la Tesorería de la Federación en términos de lo dispuesto en el capítulo X de los Lineamientos.</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NOVENA.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Poder Judicial.</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el caso de "LA SECRETARÍA", la documentación original que deberá conservar y que estará bajo su resguardo es la que señalan los numerales Quinto, Décimo cuarto, Décimo sexto, Vigésimo quinto, Trigésimo octavo, incisos f y p, de los Lineamientos.</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DÉCIMA.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REINTEGRO DE LOS RECURSOS. En caso de que "EL GOBIERNO DEL ESTADO", a través del Poder Judicial, no erogue los recursos federales asignados, los recursos remanentes o saldos disponibles que presente al 30 de noviembre de 2022, deberá de notificarlo por escrito a la UERSJL de "LA SECRETARÍA" a más tardar el 01 de diciembre de 2022, especificando el monto a reintegrar y estableciendo</w:t>
      </w:r>
    </w:p>
    <w:p>
      <w:pPr>
        <w:keepNext w:val="0"/>
        <w:keepLines w:val="0"/>
        <w:widowControl/>
        <w:suppressLineNumbers w:val="0"/>
        <w:shd w:val="clear" w:fill="FFFFFF"/>
        <w:spacing w:after="90"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forma diferenciada la cantidad correspondiente a los recursos del subsidio disponibles. Por lo que respecta a los rendimientos financieros deberán de informarlos antes del 15 de diciembre de 2022, con la finalidad de realizar las gestiones necesarias para la obtención de las líneas de captura para realizar el reintegro correspondiente.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efectos de lo dispuesto en el párrafo anterior, "EL GOBIERNO DEL ESTADO", a través del Poder Judicial, deberá solicitar por escrito signado por el Enlace designado por el Poder Judicial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2022, a través de los medios señalados en los Lineamientos.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"EL GOBIERNO DEL ESTADO" estará obligado a reintegrar a la Tesorería de la Federación aquellos recursos que no sean aplicados a los fines para los que le fueron autorizados.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reintegro de los recursos a la Tesorería de la Federación se regirá conforme a lo dispuesto en el capítulo X de los Lineamientos, la LFPRH, el RLFPRH y las demás disposiciones aplicables en la materia.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DÉCIMA PRIMERA.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DÉCIMA SEGUNDA.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DÉCIMA TERCERA.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DÉCIMA CUARTA.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DÉCIMA QUINTA.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MODIFICACIONES O ADICIONES. "EL GOBIERNO DEL ESTADO" podrá solicitar a la UERSJL de "LA SECRETARÍA", se someta a consideración del Comité de Evaluación, la modificación del presente instrumento conforme a lo dispuesto en el numeral Vigésimo sexto de los Lineamientos.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modificaciones a los Convenios de Coordinación que "EL GOBIERNO DEL ESTADO" pretenda realizar solo podrán llevarse a cabo bajo los siguientes supuestos: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adición o eliminación de algún rubro en los Proyectos;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modificación de los montos destinados a cada rubro de los diferentes Proyectos. Asimismo, deberán contemplar los objetivos establecidos en la Solicitud de acceso al subsidio.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DÉCIMA SEXTA.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TERMINACIÓN ANTICIPADA. El presente Convenio de Coordinación podrá darse por terminado anticipadamente, cuando se presente alguno de los siguientes supuestos:</w:t>
      </w:r>
    </w:p>
    <w:p>
      <w:pPr>
        <w:keepNext w:val="0"/>
        <w:keepLines w:val="0"/>
        <w:widowControl/>
        <w:suppressLineNumbers w:val="0"/>
        <w:shd w:val="clear" w:fill="FFFFFF"/>
        <w:spacing w:after="90"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estar satisfecho el objeto para el que fue celebrado, siempre que no existan obligaciones pendientes de cumplir por "LAS PARTES" y, en su caso, se haya realizado el reintegro de los recursos y rendimientos financieros que procedan.</w:t>
      </w:r>
    </w:p>
    <w:p>
      <w:pPr>
        <w:keepNext w:val="0"/>
        <w:keepLines w:val="0"/>
        <w:widowControl/>
        <w:suppressLineNumbers w:val="0"/>
        <w:shd w:val="clear" w:fill="FFFFFF"/>
        <w:spacing w:after="90"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caso de que no se subsanen las inconsistencias que haya detectado "LA SECRETARÍA" a través de la UERSJL en los reportes trimestrales que presente "EL GOBIERNO DEL ESTADO".</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DÉCIMA SÉPTIMA.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VIGENCIA. El presente Convenio entrará en vigor a partir del día de su firma y permanecerá vigente hasta el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31 de diciembre de 2022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DÉCIMA OCTAVA.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DÉCIMA NOVENA.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TRANSPARENCIA. "LAS PARTES" se comprometen a cumplir con las disposiciones que establece la Ley General de Transparencia y Acceso a la Información Pública, la Ley Federal de Transparencia y Acceso a la Información Pública y su Reglamento.</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mismos.</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VIGÉSIMA.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Cualquier cambio de domicilio que "LAS PARTES" efectúen en lo sucesivo, lo deberán notificar por escrito y en forma indubitable a la otra Parte, por lo menos con 10 días de anticipación.</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Leído y ratificado el presente instrumento jurídico y enteradas las partes de su contenido, alcance y fuerza legal, lo suscriben en 6 ejemplares en la Ciudad de México, a los 9 nueve días del mes de septiembre de dos mil veintidós.- Poder Ejecutivo STPS: Titular de la Unidad de Enlace para la Reforma al Sistema de Justicia Laboral,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Esteban Martínez Mejía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 Titular de la Unidad de Administración y Finanzas,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Marco Antonio Hernández Martínez</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 Gobierno el Estado: Titular de la Secretaría de Gobierno del Estado de Hidalgo, Licenciado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Guillermo Olivares Reyna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 Secretaría de Finanzas Públicas del Gobierno</w:t>
      </w:r>
    </w:p>
    <w:p>
      <w:pPr>
        <w:keepNext w:val="0"/>
        <w:keepLines w:val="0"/>
        <w:widowControl/>
        <w:suppressLineNumbers w:val="0"/>
        <w:shd w:val="clear" w:fill="FFFFFF"/>
        <w:spacing w:after="90"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del Estado de Hidalgo, Maestra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María Esther Ramírez Vargas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 Secretaría del Trabajo y Previsión Social del Gobierno del Estado de Hidalgo e Instancia Estatal Responsable, Licenciado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Oscar Javier González Hernández</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 Presidenta del Tribunal Superior de Justicia, del Consejo de la Judicatura y Representante del Poder Judicial del Estado de Hidalgo, Magistrada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Rebeca Stella Aladro Echeverría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w:panose1 w:val="0000050000000002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ED67B"/>
    <w:rsid w:val="5FFED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2022-10-03T07:00:00Z</dcterms:created>
  <dc:creator>Allan Morgan Hernández</dc:creator>
  <cp:lastModifiedBy>Allan Morgan Hernández</cp:lastModifiedBy>
  <dcterms:modified xsi:type="dcterms:W3CDTF">2022-10-03T07:01:19Z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