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Veracruz Ignacio de la Llave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VERACRUZ DE IGNACIO DE LA LLAVE.</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Veracruz de Ignacio de la Llave</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w:t>
      </w:r>
      <w:r w:rsidDel="00000000" w:rsidR="00000000" w:rsidRPr="00000000">
        <w:rPr>
          <w:rFonts w:ascii="Verdana" w:cs="Verdana" w:eastAsia="Verdana" w:hAnsi="Verdana"/>
          <w:b w:val="1"/>
          <w:color w:val="2f2f2f"/>
          <w:sz w:val="20"/>
          <w:szCs w:val="20"/>
          <w:rtl w:val="0"/>
        </w:rPr>
        <w:t xml:space="preserve"> Veracruz de Ignacio de la Llave</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42, 49, fracción XVII y 50 de la Constitución Política del Estado de Veracruz de Ignacio de la Llave; 1, 9, fracciones I y III, 12, fracciones II y VI, 17, 18, 19 y 20 de la Ley Orgánica del Poder Ejecutivo del Estado de Veracruz de Ignacio de la Llave; 2 y 14, fracciones XXX y XXXI del Reglamento Interior de la Secretaría de Finanzas y Planeación del Estado de Veracruz de Ignacio de la Llave, y 15, fracciones XXXV y XXXVI del Reglamento Interior de la Secretaría de Gobierno del Estado de Veracruz de Ignacio de la Llave, ambas partes</w:t>
      </w:r>
    </w:p>
    <w:p w:rsidR="00000000" w:rsidDel="00000000" w:rsidP="00000000" w:rsidRDefault="00000000" w:rsidRPr="00000000" w14:paraId="0000000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w:t>
      </w:r>
      <w:r w:rsidDel="00000000" w:rsidR="00000000" w:rsidRPr="00000000">
        <w:rPr>
          <w:rFonts w:ascii="Verdana" w:cs="Verdana" w:eastAsia="Verdana" w:hAnsi="Verdana"/>
          <w:b w:val="1"/>
          <w:color w:val="2f2f2f"/>
          <w:sz w:val="20"/>
          <w:szCs w:val="20"/>
          <w:rtl w:val="0"/>
        </w:rPr>
        <w:t xml:space="preserve"> Veracruz de Ignacio de la Llave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 de abril de 2020.- Por el Estado: el Gobernador Constitucional, </w:t>
      </w:r>
      <w:r w:rsidDel="00000000" w:rsidR="00000000" w:rsidRPr="00000000">
        <w:rPr>
          <w:rFonts w:ascii="Verdana" w:cs="Verdana" w:eastAsia="Verdana" w:hAnsi="Verdana"/>
          <w:b w:val="1"/>
          <w:color w:val="2f2f2f"/>
          <w:sz w:val="20"/>
          <w:szCs w:val="20"/>
          <w:rtl w:val="0"/>
        </w:rPr>
        <w:t xml:space="preserve">Cuitláhuac García Jiménez</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Eric Patrocinio Cisneros Burgos</w:t>
      </w:r>
      <w:r w:rsidDel="00000000" w:rsidR="00000000" w:rsidRPr="00000000">
        <w:rPr>
          <w:rFonts w:ascii="Verdana" w:cs="Verdana" w:eastAsia="Verdana" w:hAnsi="Verdana"/>
          <w:color w:val="2f2f2f"/>
          <w:sz w:val="20"/>
          <w:szCs w:val="20"/>
          <w:rtl w:val="0"/>
        </w:rPr>
        <w:t xml:space="preserve">.- Rúbrica.- El Secretario de Finanzas y Planeación, </w:t>
      </w:r>
      <w:r w:rsidDel="00000000" w:rsidR="00000000" w:rsidRPr="00000000">
        <w:rPr>
          <w:rFonts w:ascii="Verdana" w:cs="Verdana" w:eastAsia="Verdana" w:hAnsi="Verdana"/>
          <w:b w:val="1"/>
          <w:color w:val="2f2f2f"/>
          <w:sz w:val="20"/>
          <w:szCs w:val="20"/>
          <w:rtl w:val="0"/>
        </w:rPr>
        <w:t xml:space="preserve">José Luis Lima Franco</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