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la Secretaría de Economía emite reglas y criterios de carácter general en materia de Comercio Exterior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y XXXIII de la Ley Orgánica de la Administración Pública Federal; 4o. fracción III, 5o. fracciones III y XII de la Ley de Comercio Exterior; 36-A fracción I inciso c) de la Ley Aduanera; 5 fracción XVII del Reglamento Interior de la Secretaría de Economía,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Acuerdo por el que la Secretaría de Economía emite reglas y criterios de carácter general en materia de Comercio Exterior (Acuerdo), publicado en el Diario Oficial de la Federación (DOF) el 31 de diciembre de 2012 y sus diversas modificaciones, tiene por objeto dar a conocer las reglas que establecen disposiciones de carácter general y los criterios necesarios para el cumplimiento de las leyes, acuerdos o tratados comerciales internacionales, reglamentos, decretos, acuerdos y demás ordenamientos generales competencia de esta Secretaría de Economía (Secretaría), agrupándolos de modo que faciliten al usuario su aplicación.</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24 de diciembre de 2008, se publicó en el DOF el Decreto por el que se establece el impuesto general de importación para la región fronteriza y la franja fronteriza norte, con la finalidad de continuar con el proceso de convergencia en la franja fronteriza norte y la región fronteriza, al esquema general del país y facilitar la supervisión y operación de las importaciones para el desarrollo de las actividades comerciales y de servicios, mediante reglas claras y transparentes que facilitan las operaciones de comercio exterior en dichas regiones, el cual ha sido modificado mediante diversos publicados en el mismo órgano de difusión oficial.</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12 de diciembre de 2019 se publicó en el DOF el Plan Nacional de Desarrollo 2019-2024 y el Decreto por el que se aprueba el mismo, el cual establece en su apartado III. Economía, que una de las tareas centrales del actual gobierno federal es impulsar la reactivación económica y lograr que la economía vuelva a crecer a tasas aceptables, para lo cual el sector público debe fomentar la creación de empleos mediante programas sectoriales y proyectos regionales, entre otros.</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es política del Gobierno Federal establecer mecanismos que fortalezcan el crecimiento económico del país, por lo que es necesario fortalecer el comercio internacional a través de regiones fronterizas con la finalidad de acrecentar la inversión y la productividad y con ello crear fuentes de empleo.</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virtud de lo anterior, con fecha 31 de diciembre de 2020, se publicó en el DOF el Decreto de la zona libre de Chetumal, con el objeto de establecer la Región Fronteriza de Chetumal, en la localidad de Chetumal en el municipio de Othón P. Blanco del estado de Quintana Roo, para otorgar los estímulos fiscales establecidos en el mismo.</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4 del Decreto por el que se establece el impuesto general de importación para la región fronteriza y la franja fronteriza norte, establece que para obtener el Registro como Empresa de la Frontera, los interesados deberán presentar por escrito ante la Secretaría de Economía la solicitud correspondiente, en el formato y con los requisitos que al efecto se establezcan.</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8 del Decreto al que se refiere el párrafo anterior, establece que la Secretaría de Economía y la Secretaría de Hacienda y Crédito Público establecerán, en la esfera de sus competencias, las medidas necesarias para la aplicación de dicho Decreto.</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Cuarto del Decreto de la zona libre de Chetumal, establece que, para obtener el Registro como Empresa de la Región, los interesados deberán presentar por escrito ante la Secretaría de Economía la solicitud correspondiente, en el formato y con los requisitos que al efecto se establezcan.</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Artículo Décimo del Decreto al que se refiere el párrafo anterior, establece que se faculta a la Secretaría de Economía y al Servicio de Administración Tributaria para expedir, dentro de sus respectivas competencias, las disposiciones de carácter general necesarias para la debida aplicación y el cumplimiento de dicho Decreto.</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por lo anterior, y a efecto de brindar certeza jurídica a los particulares, resulta necesario establecer mediante Acuerdo, los requisitos que deben cumplir aquellos que deseen obtener el Registro como Empresa</w:t>
      </w:r>
    </w:p>
    <w:p w:rsidR="00000000" w:rsidDel="00000000" w:rsidP="00000000" w:rsidRDefault="00000000" w:rsidRPr="00000000" w14:paraId="00000011">
      <w:pPr>
        <w:shd w:fill="ffffff" w:val="clear"/>
        <w:spacing w:after="80" w:lineRule="auto"/>
        <w:jc w:val="both"/>
        <w:rPr>
          <w:color w:val="2f2f2f"/>
          <w:sz w:val="18"/>
          <w:szCs w:val="18"/>
        </w:rPr>
      </w:pPr>
      <w:r w:rsidDel="00000000" w:rsidR="00000000" w:rsidRPr="00000000">
        <w:rPr>
          <w:color w:val="2f2f2f"/>
          <w:sz w:val="18"/>
          <w:szCs w:val="18"/>
          <w:rtl w:val="0"/>
        </w:rPr>
        <w:t xml:space="preserve">de la Frontera y el Registro como Empresa de la Región.</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se modifica el costo de cumplimiento de los particulares para la importación definitiva de mercancías clasificadas en las fracciones arancelarias establecidas en el Artículo Quinto del Decreto de la zona libre de Chetumal, exentando a aquellos que obtengan el Registro como Empresa de la Región del pago del Impuesto General de Importación y otorgándoles un estímulo fiscal consistente en un crédito equivalente al 100% del derecho de trámite aduanero que corresponda de conformidad con el artículo 49 de la Ley Federal de Derechos, así como por la reexpedición de las mercancías que dichas empresas efectúen en términos de la Ley Aduanera, siempre que la importación definitiva se realice a la Región Fronteriza de Chetumal o la extracción se realice de dicha Región al resto del territorio nacional, de conformidad con lo señalado en el citado Decreto.</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4">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LA SECRETARÍA DE ECONOMÍA EMITE</w:t>
      </w:r>
    </w:p>
    <w:p w:rsidR="00000000" w:rsidDel="00000000" w:rsidP="00000000" w:rsidRDefault="00000000" w:rsidRPr="00000000" w14:paraId="0000001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Y CRITERIOS DE CARÁCTER GENERAL EN MATERIA DE COMERCIO EXTERIOR</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el Capítulo 2.7 Registros, reglas 2.7.1 y 2.7.2, al TÍTULO 2 y la denominación del citado capítulo al ÍNDICE, así como las fracciones XX, XLIX y L, recorriendo a las demás en su orden, a la regla 1.2.1 del Acuerdo por el que la Secretaría de Economía emite reglas y criterios de carácter general en materia de Comercio Exterior, publicado en el Diario Oficial de la Federación el 31 de diciembre de 2012 y sus posteriores modificaciones, como a continuación se indica:</w:t>
      </w:r>
    </w:p>
    <w:p w:rsidR="00000000" w:rsidDel="00000000" w:rsidP="00000000" w:rsidRDefault="00000000" w:rsidRPr="00000000" w14:paraId="0000001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"INDICE</w:t>
      </w:r>
    </w:p>
    <w:p w:rsidR="00000000" w:rsidDel="00000000" w:rsidP="00000000" w:rsidRDefault="00000000" w:rsidRPr="00000000" w14:paraId="00000018">
      <w:pPr>
        <w:shd w:fill="ffffff" w:val="clear"/>
        <w:spacing w:after="80" w:lineRule="auto"/>
        <w:ind w:left="2880" w:hanging="1300"/>
        <w:jc w:val="both"/>
        <w:rPr>
          <w:b w:val="1"/>
          <w:color w:val="2f2f2f"/>
          <w:sz w:val="18"/>
          <w:szCs w:val="18"/>
        </w:rPr>
      </w:pPr>
      <w:r w:rsidDel="00000000" w:rsidR="00000000" w:rsidRPr="00000000">
        <w:rPr>
          <w:b w:val="1"/>
          <w:color w:val="2f2f2f"/>
          <w:sz w:val="18"/>
          <w:szCs w:val="18"/>
          <w:rtl w:val="0"/>
        </w:rPr>
        <w:t xml:space="preserve">TITULO 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80" w:lineRule="auto"/>
        <w:ind w:left="2880" w:hanging="1300"/>
        <w:jc w:val="both"/>
        <w:rPr>
          <w:b w:val="1"/>
          <w:color w:val="2f2f2f"/>
          <w:sz w:val="18"/>
          <w:szCs w:val="18"/>
        </w:rPr>
      </w:pPr>
      <w:r w:rsidDel="00000000" w:rsidR="00000000" w:rsidRPr="00000000">
        <w:rPr>
          <w:b w:val="1"/>
          <w:color w:val="2f2f2f"/>
          <w:sz w:val="18"/>
          <w:szCs w:val="18"/>
          <w:rtl w:val="0"/>
        </w:rPr>
        <w:t xml:space="preserve">TITULO 2.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80" w:lineRule="auto"/>
        <w:ind w:left="2880" w:hanging="1300"/>
        <w:jc w:val="both"/>
        <w:rPr>
          <w:b w:val="1"/>
          <w:color w:val="2f2f2f"/>
          <w:sz w:val="18"/>
          <w:szCs w:val="18"/>
        </w:rPr>
      </w:pPr>
      <w:r w:rsidDel="00000000" w:rsidR="00000000" w:rsidRPr="00000000">
        <w:rPr>
          <w:b w:val="1"/>
          <w:color w:val="2f2f2f"/>
          <w:sz w:val="18"/>
          <w:szCs w:val="18"/>
          <w:rtl w:val="0"/>
        </w:rPr>
        <w:t xml:space="preserve">Capítulo 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w:t>
      </w:r>
      <w:r w:rsidDel="00000000" w:rsidR="00000000" w:rsidRPr="00000000">
        <w:rPr>
          <w:b w:val="1"/>
          <w:color w:val="2f2f2f"/>
          <w:sz w:val="18"/>
          <w:szCs w:val="18"/>
          <w:rtl w:val="0"/>
        </w:rPr>
        <w:t xml:space="preserve"> 2.6. ...</w:t>
      </w:r>
    </w:p>
    <w:p w:rsidR="00000000" w:rsidDel="00000000" w:rsidP="00000000" w:rsidRDefault="00000000" w:rsidRPr="00000000" w14:paraId="0000001B">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Capítulo 2.7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w:t>
      </w:r>
    </w:p>
    <w:p w:rsidR="00000000" w:rsidDel="00000000" w:rsidP="00000000" w:rsidRDefault="00000000" w:rsidRPr="00000000" w14:paraId="0000001C">
      <w:pPr>
        <w:shd w:fill="ffffff" w:val="clear"/>
        <w:spacing w:after="80" w:lineRule="auto"/>
        <w:ind w:left="2880" w:hanging="1300"/>
        <w:jc w:val="both"/>
        <w:rPr>
          <w:b w:val="1"/>
          <w:color w:val="2f2f2f"/>
          <w:sz w:val="18"/>
          <w:szCs w:val="18"/>
        </w:rPr>
      </w:pPr>
      <w:r w:rsidDel="00000000" w:rsidR="00000000" w:rsidRPr="00000000">
        <w:rPr>
          <w:b w:val="1"/>
          <w:color w:val="2f2f2f"/>
          <w:sz w:val="18"/>
          <w:szCs w:val="18"/>
          <w:rtl w:val="0"/>
        </w:rPr>
        <w:t xml:space="preserve">TITULO 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TITULO 5.</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ANEXOS</w:t>
      </w:r>
    </w:p>
    <w:p w:rsidR="00000000" w:rsidDel="00000000" w:rsidP="00000000" w:rsidRDefault="00000000" w:rsidRPr="00000000" w14:paraId="0000001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F">
      <w:pPr>
        <w:shd w:fill="ffffff" w:val="clear"/>
        <w:spacing w:after="80" w:lineRule="auto"/>
        <w:ind w:left="2880" w:hanging="1300"/>
        <w:jc w:val="both"/>
        <w:rPr>
          <w:b w:val="1"/>
          <w:color w:val="2f2f2f"/>
          <w:sz w:val="18"/>
          <w:szCs w:val="18"/>
        </w:rPr>
      </w:pPr>
      <w:r w:rsidDel="00000000" w:rsidR="00000000" w:rsidRPr="00000000">
        <w:rPr>
          <w:b w:val="1"/>
          <w:color w:val="2f2f2f"/>
          <w:sz w:val="18"/>
          <w:szCs w:val="18"/>
          <w:rtl w:val="0"/>
        </w:rPr>
        <w:t xml:space="preserve">1.2.1.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80" w:lineRule="auto"/>
        <w:ind w:left="2880" w:hanging="130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XIX. ...</w:t>
      </w:r>
    </w:p>
    <w:p w:rsidR="00000000" w:rsidDel="00000000" w:rsidP="00000000" w:rsidRDefault="00000000" w:rsidRPr="00000000" w14:paraId="00000021">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Empresa de la Región, </w:t>
      </w:r>
      <w:r w:rsidDel="00000000" w:rsidR="00000000" w:rsidRPr="00000000">
        <w:rPr>
          <w:color w:val="2f2f2f"/>
          <w:sz w:val="18"/>
          <w:szCs w:val="18"/>
          <w:rtl w:val="0"/>
        </w:rPr>
        <w:t xml:space="preserve">a las personas físicas o morales dedicadas a la comercialización de alimentos y abarrotes; tiendas de autoservicio; comercialización de ropa, bisutería y accesorios de vestir; comercialización de productos farmacéuticos, lentes y artículos ortopédicos; comercialización de maquinaria y equipo; comercialización de materiales para la construcción; restaurantes y otros establecimientos de preparación de alimentos y bebidas; hotelería, moteles y otros servicios de alojamiento temporal; servicios educativos; servicios médicos y hospitalarios; servicios de esparcimiento culturales y deportivos, así como recreativos; servicios de reparación y mantenimiento de automóviles; alquiler de bienes inmuebles, maquinaria y equipo; según la clasificación del Catálogo de Actividades Económicas que da a conocer el SAT mediante reglas de carácter general, que se ubiquen y comercialicen bienes o servicios en la Región Fronteriza de Chetumal, que cuenten con el registro vigente expedido por la Secretaría;</w:t>
      </w:r>
    </w:p>
    <w:p w:rsidR="00000000" w:rsidDel="00000000" w:rsidP="00000000" w:rsidRDefault="00000000" w:rsidRPr="00000000" w14:paraId="00000022">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E.firma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firma electrónica avanzada;</w:t>
      </w:r>
    </w:p>
    <w:p w:rsidR="00000000" w:rsidDel="00000000" w:rsidP="00000000" w:rsidRDefault="00000000" w:rsidRPr="00000000" w14:paraId="00000023">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Fracción arancelaria</w:t>
      </w:r>
      <w:r w:rsidDel="00000000" w:rsidR="00000000" w:rsidRPr="00000000">
        <w:rPr>
          <w:color w:val="2f2f2f"/>
          <w:sz w:val="18"/>
          <w:szCs w:val="18"/>
          <w:rtl w:val="0"/>
        </w:rPr>
        <w:t xml:space="preserve">, a las fracciones arancelarias establecidas en la Tarifa de la Ley de los Impuestos Generales de Importación y de Exportación;</w:t>
      </w:r>
    </w:p>
    <w:p w:rsidR="00000000" w:rsidDel="00000000" w:rsidP="00000000" w:rsidRDefault="00000000" w:rsidRPr="00000000" w14:paraId="00000024">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Franja fronteriza norte</w:t>
      </w:r>
      <w:r w:rsidDel="00000000" w:rsidR="00000000" w:rsidRPr="00000000">
        <w:rPr>
          <w:color w:val="2f2f2f"/>
          <w:sz w:val="18"/>
          <w:szCs w:val="18"/>
          <w:rtl w:val="0"/>
        </w:rPr>
        <w:t xml:space="preserve">, al territorio comprendido entre la línea divisoria internacional del</w:t>
      </w:r>
    </w:p>
    <w:p w:rsidR="00000000" w:rsidDel="00000000" w:rsidP="00000000" w:rsidRDefault="00000000" w:rsidRPr="00000000" w14:paraId="00000025">
      <w:pPr>
        <w:shd w:fill="ffffff" w:val="clear"/>
        <w:spacing w:after="80" w:lineRule="auto"/>
        <w:ind w:left="1580" w:firstLine="0"/>
        <w:jc w:val="both"/>
        <w:rPr>
          <w:color w:val="2f2f2f"/>
          <w:sz w:val="18"/>
          <w:szCs w:val="18"/>
        </w:rPr>
      </w:pPr>
      <w:r w:rsidDel="00000000" w:rsidR="00000000" w:rsidRPr="00000000">
        <w:rPr>
          <w:color w:val="2f2f2f"/>
          <w:sz w:val="18"/>
          <w:szCs w:val="18"/>
          <w:rtl w:val="0"/>
        </w:rPr>
        <w:t xml:space="preserve">norte del país y la línea paralela a una distancia de 20 kilómetros hacia el interior del país en el tramo comprendido entre el límite de la región parcial del Estado de Sonora y el Golfo de México, así como el municipio fronterizo de Cananea, Sonora;</w:t>
      </w:r>
    </w:p>
    <w:p w:rsidR="00000000" w:rsidDel="00000000" w:rsidP="00000000" w:rsidRDefault="00000000" w:rsidRPr="00000000" w14:paraId="00000026">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Franja fronteriza sur colindante con Guatemala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zona comprendida por el territorio de 20 kilómetros paralelo a la línea divisoria internacional del sur del país, en el tramo comprendido entre el municipio Unión Juárez y la desembocadura del río Suchiate en el Océano Pacífico, dentro del cual se encuentra el municipio de Tapachula, Chiapas, con los límites que geográficamente le corresponden;</w:t>
      </w:r>
    </w:p>
    <w:p w:rsidR="00000000" w:rsidDel="00000000" w:rsidP="00000000" w:rsidRDefault="00000000" w:rsidRPr="00000000" w14:paraId="00000027">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INEGI</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Instituto Nacional de Estadística y Geografía;</w:t>
      </w:r>
    </w:p>
    <w:p w:rsidR="00000000" w:rsidDel="00000000" w:rsidP="00000000" w:rsidRDefault="00000000" w:rsidRPr="00000000" w14:paraId="00000028">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Ley Aduanera;</w:t>
      </w:r>
    </w:p>
    <w:p w:rsidR="00000000" w:rsidDel="00000000" w:rsidP="00000000" w:rsidRDefault="00000000" w:rsidRPr="00000000" w14:paraId="00000029">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LCE</w:t>
      </w:r>
      <w:r w:rsidDel="00000000" w:rsidR="00000000" w:rsidRPr="00000000">
        <w:rPr>
          <w:color w:val="2f2f2f"/>
          <w:sz w:val="18"/>
          <w:szCs w:val="18"/>
          <w:rtl w:val="0"/>
        </w:rPr>
        <w:t xml:space="preserve">, a la Ley de Comercio Exterior;</w:t>
      </w:r>
    </w:p>
    <w:p w:rsidR="00000000" w:rsidDel="00000000" w:rsidP="00000000" w:rsidRDefault="00000000" w:rsidRPr="00000000" w14:paraId="0000002A">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LFMN,</w:t>
      </w:r>
      <w:r w:rsidDel="00000000" w:rsidR="00000000" w:rsidRPr="00000000">
        <w:rPr>
          <w:color w:val="2f2f2f"/>
          <w:sz w:val="18"/>
          <w:szCs w:val="18"/>
          <w:rtl w:val="0"/>
        </w:rPr>
        <w:t xml:space="preserve"> a la Ley Federal sobre Metrología y Normalización;</w:t>
      </w:r>
    </w:p>
    <w:p w:rsidR="00000000" w:rsidDel="00000000" w:rsidP="00000000" w:rsidRDefault="00000000" w:rsidRPr="00000000" w14:paraId="0000002B">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LFPA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Ley Federal de Procedimiento Administrativo;</w:t>
      </w:r>
    </w:p>
    <w:p w:rsidR="00000000" w:rsidDel="00000000" w:rsidP="00000000" w:rsidRDefault="00000000" w:rsidRPr="00000000" w14:paraId="0000002C">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LIC, </w:t>
      </w:r>
      <w:r w:rsidDel="00000000" w:rsidR="00000000" w:rsidRPr="00000000">
        <w:rPr>
          <w:color w:val="2f2f2f"/>
          <w:sz w:val="18"/>
          <w:szCs w:val="18"/>
          <w:rtl w:val="0"/>
        </w:rPr>
        <w:t xml:space="preserve">a la Ley de Infraestructura de la Calidad;</w:t>
      </w:r>
    </w:p>
    <w:p w:rsidR="00000000" w:rsidDel="00000000" w:rsidP="00000000" w:rsidRDefault="00000000" w:rsidRPr="00000000" w14:paraId="0000002D">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LIEG</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Ley del Sistema Nacional de Información Estadística y Geográfica;</w:t>
      </w:r>
    </w:p>
    <w:p w:rsidR="00000000" w:rsidDel="00000000" w:rsidP="00000000" w:rsidRDefault="00000000" w:rsidRPr="00000000" w14:paraId="0000002E">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a la Ley de los Impuestos Generales de Importación y de Exportación;</w:t>
      </w:r>
    </w:p>
    <w:p w:rsidR="00000000" w:rsidDel="00000000" w:rsidP="00000000" w:rsidRDefault="00000000" w:rsidRPr="00000000" w14:paraId="0000002F">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LISR</w:t>
      </w:r>
      <w:r w:rsidDel="00000000" w:rsidR="00000000" w:rsidRPr="00000000">
        <w:rPr>
          <w:color w:val="2f2f2f"/>
          <w:sz w:val="18"/>
          <w:szCs w:val="18"/>
          <w:rtl w:val="0"/>
        </w:rPr>
        <w:t xml:space="preserve">, a la Ley del Impuesto Sobre la Renta;</w:t>
      </w:r>
    </w:p>
    <w:p w:rsidR="00000000" w:rsidDel="00000000" w:rsidP="00000000" w:rsidRDefault="00000000" w:rsidRPr="00000000" w14:paraId="00000030">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Lote</w:t>
      </w:r>
      <w:r w:rsidDel="00000000" w:rsidR="00000000" w:rsidRPr="00000000">
        <w:rPr>
          <w:color w:val="2f2f2f"/>
          <w:sz w:val="18"/>
          <w:szCs w:val="18"/>
          <w:rtl w:val="0"/>
        </w:rPr>
        <w:t xml:space="preserve">, a uno o más diamantes en bruto embalados en conjunto;</w:t>
      </w:r>
    </w:p>
    <w:p w:rsidR="00000000" w:rsidDel="00000000" w:rsidP="00000000" w:rsidRDefault="00000000" w:rsidRPr="00000000" w14:paraId="00000031">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LGTAIP</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Ley General de Transparencia y Acceso a la Información Pública;</w:t>
      </w:r>
    </w:p>
    <w:p w:rsidR="00000000" w:rsidDel="00000000" w:rsidP="00000000" w:rsidRDefault="00000000" w:rsidRPr="00000000" w14:paraId="00000032">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de la Regla 8a.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las que se refieren los incisos a) y b) de la Regla 8a. de las Complementarias para la aplicación de la Tarifa de la Ley de los Impuestos Generales de Importación y de Exportación, tales como insumos, materiales, partes, componentes, maquinaria y equipo, inclusive material de empaque y embalaje y, en general, aquellos para la elaboración de los productos finales establecidos en el Decreto que establece diversos Programas de Promoción Sectorial;</w:t>
      </w:r>
    </w:p>
    <w:p w:rsidR="00000000" w:rsidDel="00000000" w:rsidP="00000000" w:rsidRDefault="00000000" w:rsidRPr="00000000" w14:paraId="00000033">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NOMs</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las Normas Oficiales Mexicanas;</w:t>
      </w:r>
    </w:p>
    <w:p w:rsidR="00000000" w:rsidDel="00000000" w:rsidP="00000000" w:rsidRDefault="00000000" w:rsidRPr="00000000" w14:paraId="00000034">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NICO, </w:t>
      </w:r>
      <w:r w:rsidDel="00000000" w:rsidR="00000000" w:rsidRPr="00000000">
        <w:rPr>
          <w:color w:val="2f2f2f"/>
          <w:sz w:val="18"/>
          <w:szCs w:val="18"/>
          <w:rtl w:val="0"/>
        </w:rPr>
        <w:t xml:space="preserve">número o números de identificación comercial, de conformidad con lo establecido en el Artículo 2o, fracción II, Regla Complementaria 10a de la Ley de los Impuestos Generales de Importación y de Exportación;</w:t>
      </w:r>
    </w:p>
    <w:p w:rsidR="00000000" w:rsidDel="00000000" w:rsidP="00000000" w:rsidRDefault="00000000" w:rsidRPr="00000000" w14:paraId="00000035">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XXXIX.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Oficinas de Representación, </w:t>
      </w:r>
      <w:r w:rsidDel="00000000" w:rsidR="00000000" w:rsidRPr="00000000">
        <w:rPr>
          <w:color w:val="2f2f2f"/>
          <w:sz w:val="18"/>
          <w:szCs w:val="18"/>
          <w:rtl w:val="0"/>
        </w:rPr>
        <w:t xml:space="preserve">a las Oficinas de Representación en las entidades federativas de la Secretaría de Economía, ubicadas en la República Mexicana;</w:t>
      </w:r>
    </w:p>
    <w:p w:rsidR="00000000" w:rsidDel="00000000" w:rsidP="00000000" w:rsidRDefault="00000000" w:rsidRPr="00000000" w14:paraId="00000036">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con discapacidad</w:t>
      </w:r>
      <w:r w:rsidDel="00000000" w:rsidR="00000000" w:rsidRPr="00000000">
        <w:rPr>
          <w:color w:val="2f2f2f"/>
          <w:sz w:val="18"/>
          <w:szCs w:val="18"/>
          <w:rtl w:val="0"/>
        </w:rPr>
        <w:t xml:space="preserve">, a aquella que padece, sufre o registra la pérdida o anormalidad de una estructura o función anatómica, acreditada con constancia expedida por institución de salud pública o privada con autorización oficial;</w:t>
      </w:r>
    </w:p>
    <w:p w:rsidR="00000000" w:rsidDel="00000000" w:rsidP="00000000" w:rsidRDefault="00000000" w:rsidRPr="00000000" w14:paraId="00000037">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IMMEX</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programa autorizado al amparo del Decreto para el Fomento de la Industria Manufacturera, Maquiladora y de Servicios de Exportación, publicado en el Diario Oficial de la Federación el 1 de noviembre de 2006, y sus reformas;</w:t>
      </w:r>
    </w:p>
    <w:p w:rsidR="00000000" w:rsidDel="00000000" w:rsidP="00000000" w:rsidRDefault="00000000" w:rsidRPr="00000000" w14:paraId="00000038">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Maquila</w:t>
      </w:r>
      <w:r w:rsidDel="00000000" w:rsidR="00000000" w:rsidRPr="00000000">
        <w:rPr>
          <w:color w:val="2f2f2f"/>
          <w:sz w:val="18"/>
          <w:szCs w:val="18"/>
          <w:rtl w:val="0"/>
        </w:rPr>
        <w:t xml:space="preserve">, al programa aprobado al amparo del Decreto para el Fomento y Operación de la Industria Maquiladora de Exportación, publicado en el Diario Oficial de la Federación el 1 de junio de 1998, y sus reformas;</w:t>
      </w:r>
    </w:p>
    <w:p w:rsidR="00000000" w:rsidDel="00000000" w:rsidP="00000000" w:rsidRDefault="00000000" w:rsidRPr="00000000" w14:paraId="00000039">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 PITEX,</w:t>
      </w:r>
      <w:r w:rsidDel="00000000" w:rsidR="00000000" w:rsidRPr="00000000">
        <w:rPr>
          <w:color w:val="2f2f2f"/>
          <w:sz w:val="18"/>
          <w:szCs w:val="18"/>
          <w:rtl w:val="0"/>
        </w:rPr>
        <w:t xml:space="preserve"> Programa PITEX, al programa autorizado al amparo del Decreto que establece Programas de Importación Temporal para Producir Artículos de Exportación, publicado en el Diario Oficial de la Federación el 3 de mayo de 1990, y sus reformas;</w:t>
      </w:r>
    </w:p>
    <w:p w:rsidR="00000000" w:rsidDel="00000000" w:rsidP="00000000" w:rsidRDefault="00000000" w:rsidRPr="00000000" w14:paraId="0000003A">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PROSEC</w:t>
      </w:r>
      <w:r w:rsidDel="00000000" w:rsidR="00000000" w:rsidRPr="00000000">
        <w:rPr>
          <w:color w:val="2f2f2f"/>
          <w:sz w:val="18"/>
          <w:szCs w:val="18"/>
          <w:rtl w:val="0"/>
        </w:rPr>
        <w:t xml:space="preserve">, al programa autorizado al amparo del Decreto por el que se establecen diversos Programas de Promoción Sectorial, publicado en el Diario Oficial de la Federación el 2 de agosto de 2002, y sus reformas;</w:t>
      </w:r>
    </w:p>
    <w:p w:rsidR="00000000" w:rsidDel="00000000" w:rsidP="00000000" w:rsidRDefault="00000000" w:rsidRPr="00000000" w14:paraId="0000003B">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Quilates</w:t>
      </w:r>
      <w:r w:rsidDel="00000000" w:rsidR="00000000" w:rsidRPr="00000000">
        <w:rPr>
          <w:color w:val="2f2f2f"/>
          <w:sz w:val="18"/>
          <w:szCs w:val="18"/>
          <w:rtl w:val="0"/>
        </w:rPr>
        <w:t xml:space="preserve">, a la unidad de medida equivalente a 0.2 gramos;</w:t>
      </w:r>
    </w:p>
    <w:p w:rsidR="00000000" w:rsidDel="00000000" w:rsidP="00000000" w:rsidRDefault="00000000" w:rsidRPr="00000000" w14:paraId="0000003C">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Régimen Aduanero, </w:t>
      </w:r>
      <w:r w:rsidDel="00000000" w:rsidR="00000000" w:rsidRPr="00000000">
        <w:rPr>
          <w:color w:val="2f2f2f"/>
          <w:sz w:val="18"/>
          <w:szCs w:val="18"/>
          <w:rtl w:val="0"/>
        </w:rPr>
        <w:t xml:space="preserve">los señalados en el artículo 90 de la Ley Aduanera;</w:t>
      </w:r>
    </w:p>
    <w:p w:rsidR="00000000" w:rsidDel="00000000" w:rsidP="00000000" w:rsidRDefault="00000000" w:rsidRPr="00000000" w14:paraId="0000003D">
      <w:pPr>
        <w:shd w:fill="ffffff" w:val="clear"/>
        <w:spacing w:after="80" w:lineRule="auto"/>
        <w:ind w:left="2880" w:hanging="130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Región fronteriza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los Estados de Baja California, Baja California Sur, Quintana Roo y la región parcial del Estado de Sonora; la franja fronteriza sur colindante con Guatemala y los municipios de Caborca, Sonora; Comitán de Domínguez, Chiapas; Salina Cruz, Oaxaca y Tenosique, Tabasco;</w:t>
      </w:r>
    </w:p>
    <w:p w:rsidR="00000000" w:rsidDel="00000000" w:rsidP="00000000" w:rsidRDefault="00000000" w:rsidRPr="00000000" w14:paraId="0000003F">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Región Parcial del Estado de Sonora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zona comprendida en los siguientes límites: al norte, la línea divisoria internacional desde el cauce actual del Río Colorado hasta el punto 7 situado en esa línea a 10 kilómetros al oeste de Sonoyta, de ese punto, una línea recta hasta llegar a la costa a un punto situado a 10 kilómetros al este de Puerto Peñasco; de allí, siguiendo el cauce de ese río, hacia el norte hasta encontrar la línea divisoria internacional;</w:t>
      </w:r>
    </w:p>
    <w:p w:rsidR="00000000" w:rsidDel="00000000" w:rsidP="00000000" w:rsidRDefault="00000000" w:rsidRPr="00000000" w14:paraId="00000040">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XLIX.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como Empresa de la Frontera, </w:t>
      </w:r>
      <w:r w:rsidDel="00000000" w:rsidR="00000000" w:rsidRPr="00000000">
        <w:rPr>
          <w:color w:val="2f2f2f"/>
          <w:sz w:val="18"/>
          <w:szCs w:val="18"/>
          <w:rtl w:val="0"/>
        </w:rPr>
        <w:t xml:space="preserve">al Registro que otorga la Secretaría de Economía de conformidad con el Artículo 4 del Decreto por el que se establece el impuesto general de importación para la región fronteriza y la franja fronteriza norte, publicado en el Diario Oficial de la Federación el 24 de diciembre de 2008 y sus posteriores modificaciones;</w:t>
      </w:r>
    </w:p>
    <w:p w:rsidR="00000000" w:rsidDel="00000000" w:rsidP="00000000" w:rsidRDefault="00000000" w:rsidRPr="00000000" w14:paraId="00000041">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como Empresa de la Región, </w:t>
      </w:r>
      <w:r w:rsidDel="00000000" w:rsidR="00000000" w:rsidRPr="00000000">
        <w:rPr>
          <w:color w:val="2f2f2f"/>
          <w:sz w:val="18"/>
          <w:szCs w:val="18"/>
          <w:rtl w:val="0"/>
        </w:rPr>
        <w:t xml:space="preserve">al Registro que otorga la Secretaría de Economía de conformidad con el Artículo Cuarto del Decreto de la zona libre de Chetumal, publicado en el Diario Oficial de la Federación el 31 de diciembre de 2020;</w:t>
      </w:r>
    </w:p>
    <w:p w:rsidR="00000000" w:rsidDel="00000000" w:rsidP="00000000" w:rsidRDefault="00000000" w:rsidRPr="00000000" w14:paraId="00000042">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 2.</w:t>
      </w:r>
      <w:r w:rsidDel="00000000" w:rsidR="00000000" w:rsidRPr="00000000">
        <w:rPr>
          <w:color w:val="2f2f2f"/>
          <w:sz w:val="18"/>
          <w:szCs w:val="18"/>
          <w:rtl w:val="0"/>
        </w:rPr>
        <w:t xml:space="preserve">, a la Regla 2. de las Generales de la fracción I del artículo 2o. de la Ley de los Impuestos Generales de Importación y de Exportación para la aplicación e interpretación de la Tarifa de dicha Ley;</w:t>
      </w:r>
    </w:p>
    <w:p w:rsidR="00000000" w:rsidDel="00000000" w:rsidP="00000000" w:rsidRDefault="00000000" w:rsidRPr="00000000" w14:paraId="00000043">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 8a.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Regla 8a. de las Complementarias de la fracción II deI artículo 2o. de la Ley de los Impuestos Generales de Importación y de Exportación para la aplicación e interpretación de la Tarifa de dicha Ley;</w:t>
      </w:r>
    </w:p>
    <w:p w:rsidR="00000000" w:rsidDel="00000000" w:rsidP="00000000" w:rsidRDefault="00000000" w:rsidRPr="00000000" w14:paraId="00000044">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Reglas del SAT</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las Reglas Generales de Comercio Exterior que publica el Servicio de Administración Tributaria;</w:t>
      </w:r>
    </w:p>
    <w:p w:rsidR="00000000" w:rsidDel="00000000" w:rsidP="00000000" w:rsidRDefault="00000000" w:rsidRPr="00000000" w14:paraId="00000045">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Remesa</w:t>
      </w:r>
      <w:r w:rsidDel="00000000" w:rsidR="00000000" w:rsidRPr="00000000">
        <w:rPr>
          <w:color w:val="2f2f2f"/>
          <w:sz w:val="18"/>
          <w:szCs w:val="18"/>
          <w:rtl w:val="0"/>
        </w:rPr>
        <w:t xml:space="preserve">, a uno o más lotes de diamantes en bruto;</w:t>
      </w:r>
    </w:p>
    <w:p w:rsidR="00000000" w:rsidDel="00000000" w:rsidP="00000000" w:rsidRDefault="00000000" w:rsidRPr="00000000" w14:paraId="00000046">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clave del Registro Federal de Contribuyentes;</w:t>
      </w:r>
    </w:p>
    <w:p w:rsidR="00000000" w:rsidDel="00000000" w:rsidP="00000000" w:rsidRDefault="00000000" w:rsidRPr="00000000" w14:paraId="00000047">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RFTS</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Registro Federal de Trámites y Servicios;</w:t>
      </w:r>
    </w:p>
    <w:p w:rsidR="00000000" w:rsidDel="00000000" w:rsidP="00000000" w:rsidRDefault="00000000" w:rsidRPr="00000000" w14:paraId="00000048">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RISE</w:t>
      </w:r>
      <w:r w:rsidDel="00000000" w:rsidR="00000000" w:rsidRPr="00000000">
        <w:rPr>
          <w:color w:val="2f2f2f"/>
          <w:sz w:val="18"/>
          <w:szCs w:val="18"/>
          <w:rtl w:val="0"/>
        </w:rPr>
        <w:t xml:space="preserve">, al Reglamento Interior de la Secretaría de Economía, publicado en el Diario Oficial de la Federación el 17 de octubre de 2019;</w:t>
      </w:r>
    </w:p>
    <w:p w:rsidR="00000000" w:rsidDel="00000000" w:rsidP="00000000" w:rsidRDefault="00000000" w:rsidRPr="00000000" w14:paraId="00000049">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RLCE</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Reglamento de la Ley de Comercio Exterior;</w:t>
      </w:r>
    </w:p>
    <w:p w:rsidR="00000000" w:rsidDel="00000000" w:rsidP="00000000" w:rsidRDefault="00000000" w:rsidRPr="00000000" w14:paraId="0000004A">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SAAI</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Sistema Automatizado Aduanero Integral de la Administración General de Aduanas del Servicio de Administración Tributaria;</w:t>
      </w:r>
    </w:p>
    <w:p w:rsidR="00000000" w:rsidDel="00000000" w:rsidP="00000000" w:rsidRDefault="00000000" w:rsidRPr="00000000" w14:paraId="0000004B">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w:t>
      </w:r>
      <w:r w:rsidDel="00000000" w:rsidR="00000000" w:rsidRPr="00000000">
        <w:rPr>
          <w:color w:val="2f2f2f"/>
          <w:sz w:val="18"/>
          <w:szCs w:val="18"/>
          <w:rtl w:val="0"/>
        </w:rPr>
        <w:t xml:space="preserve">, al Servicio de Administración Tributaria de la Secretaría de Hacienda y Crédito Público;</w:t>
      </w:r>
    </w:p>
    <w:p w:rsidR="00000000" w:rsidDel="00000000" w:rsidP="00000000" w:rsidRDefault="00000000" w:rsidRPr="00000000" w14:paraId="0000004C">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SCPK</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Sistema de Certificación del Proceso Kimberley;</w:t>
      </w:r>
    </w:p>
    <w:p w:rsidR="00000000" w:rsidDel="00000000" w:rsidP="00000000" w:rsidRDefault="00000000" w:rsidRPr="00000000" w14:paraId="0000004D">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w:t>
      </w:r>
      <w:r w:rsidDel="00000000" w:rsidR="00000000" w:rsidRPr="00000000">
        <w:rPr>
          <w:color w:val="2f2f2f"/>
          <w:sz w:val="18"/>
          <w:szCs w:val="18"/>
          <w:rtl w:val="0"/>
        </w:rPr>
        <w:t xml:space="preserve">, a la Secretaría de Economía;</w:t>
      </w:r>
    </w:p>
    <w:p w:rsidR="00000000" w:rsidDel="00000000" w:rsidP="00000000" w:rsidRDefault="00000000" w:rsidRPr="00000000" w14:paraId="0000004E">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Sector</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los comprendidos en el artículo 3 del Decreto por el que se establecen diversos Programas de Promoción Sectorial publicado el 2 de agosto de 2002, en el Diario Oficial de la Federación y sus reformas;</w:t>
      </w:r>
    </w:p>
    <w:p w:rsidR="00000000" w:rsidDel="00000000" w:rsidP="00000000" w:rsidRDefault="00000000" w:rsidRPr="00000000" w14:paraId="0000004F">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SHCP</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Secretaría de Hacienda y Crédito Público;</w:t>
      </w:r>
    </w:p>
    <w:p w:rsidR="00000000" w:rsidDel="00000000" w:rsidP="00000000" w:rsidRDefault="00000000" w:rsidRPr="00000000" w14:paraId="00000050">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SNICE</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Servicio Nacional de Información de Comercio Exterior;</w:t>
      </w:r>
    </w:p>
    <w:p w:rsidR="00000000" w:rsidDel="00000000" w:rsidP="00000000" w:rsidRDefault="00000000" w:rsidRPr="00000000" w14:paraId="00000051">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Tarifa</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Tarifa establecida en el artículo 1o. de la Ley de los Impuestos Generales de Importación y de Exportación;</w:t>
      </w:r>
    </w:p>
    <w:p w:rsidR="00000000" w:rsidDel="00000000" w:rsidP="00000000" w:rsidRDefault="00000000" w:rsidRPr="00000000" w14:paraId="00000052">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T-MEC</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al Tratado entre los Estados Unidos Mexicanos, los Estados Unidos de América y Canadá, y</w:t>
      </w:r>
    </w:p>
    <w:p w:rsidR="00000000" w:rsidDel="00000000" w:rsidP="00000000" w:rsidRDefault="00000000" w:rsidRPr="00000000" w14:paraId="00000053">
      <w:pPr>
        <w:shd w:fill="ffffff" w:val="clear"/>
        <w:spacing w:after="80" w:lineRule="auto"/>
        <w:ind w:left="2880" w:hanging="1300"/>
        <w:jc w:val="both"/>
        <w:rPr>
          <w:color w:val="2f2f2f"/>
          <w:sz w:val="18"/>
          <w:szCs w:val="18"/>
        </w:rPr>
      </w:pPr>
      <w:r w:rsidDel="00000000" w:rsidR="00000000" w:rsidRPr="00000000">
        <w:rPr>
          <w:b w:val="1"/>
          <w:color w:val="2f2f2f"/>
          <w:sz w:val="18"/>
          <w:szCs w:val="18"/>
          <w:rtl w:val="0"/>
        </w:rPr>
        <w:t xml:space="preserve">LXVIII.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Ventanilla Digital</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prevista en el Decreto por el que se establece la Ventanilla Digital Mexicana de Comercio Exterior publicado en el Diario Oficial de la Federación el 14 de enero de 2011, disponible en la página electrónica www.ventanillaunica.gob.mx.</w:t>
      </w:r>
    </w:p>
    <w:p w:rsidR="00000000" w:rsidDel="00000000" w:rsidP="00000000" w:rsidRDefault="00000000" w:rsidRPr="00000000" w14:paraId="00000054">
      <w:pPr>
        <w:shd w:fill="ffffff" w:val="clear"/>
        <w:spacing w:after="8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TITULO 2. ARANCELES Y MEDIDAS DE REGULACION Y RESTRICCION NO ARANCELARIAS DEL</w:t>
      </w:r>
    </w:p>
    <w:p w:rsidR="00000000" w:rsidDel="00000000" w:rsidP="00000000" w:rsidRDefault="00000000" w:rsidRPr="00000000" w14:paraId="0000005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COMERCIO EXTERIOR</w:t>
      </w:r>
    </w:p>
    <w:p w:rsidR="00000000" w:rsidDel="00000000" w:rsidP="00000000" w:rsidRDefault="00000000" w:rsidRPr="00000000" w14:paraId="0000005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2.1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Capítulo 2.6 ...</w:t>
      </w:r>
    </w:p>
    <w:p w:rsidR="00000000" w:rsidDel="00000000" w:rsidP="00000000" w:rsidRDefault="00000000" w:rsidRPr="00000000" w14:paraId="00000058">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2.7</w:t>
      </w:r>
    </w:p>
    <w:p w:rsidR="00000000" w:rsidDel="00000000" w:rsidP="00000000" w:rsidRDefault="00000000" w:rsidRPr="00000000" w14:paraId="00000059">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Registros</w:t>
      </w:r>
    </w:p>
    <w:p w:rsidR="00000000" w:rsidDel="00000000" w:rsidP="00000000" w:rsidRDefault="00000000" w:rsidRPr="00000000" w14:paraId="000000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2.7.1.</w:t>
      </w:r>
      <w:r w:rsidDel="00000000" w:rsidR="00000000" w:rsidRPr="00000000">
        <w:rPr>
          <w:color w:val="2f2f2f"/>
          <w:sz w:val="18"/>
          <w:szCs w:val="18"/>
          <w:rtl w:val="0"/>
        </w:rPr>
        <w:t xml:space="preserve"> Para efectos del Artículo 4 del Decreto por el que se establece el impuesto general de importación para la región fronteriza y la franja fronteriza norte, publicado en el DOF el 24 de diciembre de 2008 y sus posteriores modificaciones, las personas físicas o morales que realicen actividades de comercialización; presten servicios de restaurantes, hoteles, esparcimiento, culturales, recreativos, deportivos, educativos, investigación, médicos y de asistencia social; alquiler de bienes muebles, y servicios prestados a las empresas, según la clasificación del Catálogo de Actividades Económicas que da a conocer el SAT mediante reglas de carácter general, ubicadas en la franja fronteriza norte o región fronteriza, podrán solicitar a través de la Ventanilla Digital el Registro como Empresa de la Frontera, siempre que cumplan con lo siguiente:</w:t>
      </w:r>
    </w:p>
    <w:p w:rsidR="00000000" w:rsidDel="00000000" w:rsidP="00000000" w:rsidRDefault="00000000" w:rsidRPr="00000000" w14:paraId="0000005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inscritos y activos en el padrón de importadores del SAT;</w:t>
      </w:r>
    </w:p>
    <w:p w:rsidR="00000000" w:rsidDel="00000000" w:rsidP="00000000" w:rsidRDefault="00000000" w:rsidRPr="00000000" w14:paraId="0000005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registradas ante el SAT las actividades por las que solicita el Registro;</w:t>
      </w:r>
    </w:p>
    <w:p w:rsidR="00000000" w:rsidDel="00000000" w:rsidP="00000000" w:rsidRDefault="00000000" w:rsidRPr="00000000" w14:paraId="0000005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registrado ante el SAT el domicilio que pretenda dar de alta en su solicitud de Registro como Empresa de la Frontera;</w:t>
      </w:r>
    </w:p>
    <w:p w:rsidR="00000000" w:rsidDel="00000000" w:rsidP="00000000" w:rsidRDefault="00000000" w:rsidRPr="00000000" w14:paraId="0000005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registrados y actualizados en la Ventanilla Digital a los socios y accionistas, en el caso de personas morales, y</w:t>
      </w:r>
    </w:p>
    <w:p w:rsidR="00000000" w:rsidDel="00000000" w:rsidP="00000000" w:rsidRDefault="00000000" w:rsidRPr="00000000" w14:paraId="0000005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 su solicitud los siguientes documentos digitalizados:</w:t>
      </w:r>
    </w:p>
    <w:p w:rsidR="00000000" w:rsidDel="00000000" w:rsidP="00000000" w:rsidRDefault="00000000" w:rsidRPr="00000000" w14:paraId="0000006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libre dirigido a la DGFCCE firmado por el interesado o representante legal de la empresa, mediante el cual manifieste expresamente bajo protesta de decir verdad lo siguiente:</w:t>
      </w:r>
    </w:p>
    <w:p w:rsidR="00000000" w:rsidDel="00000000" w:rsidP="00000000" w:rsidRDefault="00000000" w:rsidRPr="00000000" w14:paraId="00000061">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conoce el contenido del Decreto por el que se establece el impuesto general de importación para la región fronteriza y la franja fronteriza norte, publicado en el DOF el 24 de diciembre de 2008 y sus posteriores modificaciones;</w:t>
      </w:r>
    </w:p>
    <w:p w:rsidR="00000000" w:rsidDel="00000000" w:rsidP="00000000" w:rsidRDefault="00000000" w:rsidRPr="00000000" w14:paraId="00000062">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tributa bajo los regímenes previstos en el Título II, Capítulos VII y VIII, y en el Título IV, Capítulo II, Sección II, de la Ley del Impuesto sobre la Renta;</w:t>
      </w:r>
    </w:p>
    <w:p w:rsidR="00000000" w:rsidDel="00000000" w:rsidP="00000000" w:rsidRDefault="00000000" w:rsidRPr="00000000" w14:paraId="0000006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RFC de los socios y accionistas al momento de presentar su solicitud, en el caso de personas morales;</w:t>
      </w:r>
    </w:p>
    <w:p w:rsidR="00000000" w:rsidDel="00000000" w:rsidP="00000000" w:rsidRDefault="00000000" w:rsidRPr="00000000" w14:paraId="00000064">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domicilio en el que llevará acabo la actividad económica y el estatus de la posesión del inmueble;</w:t>
      </w:r>
    </w:p>
    <w:p w:rsidR="00000000" w:rsidDel="00000000" w:rsidP="00000000" w:rsidRDefault="00000000" w:rsidRPr="00000000" w14:paraId="0000006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Inventario de la maquinaria o equipo, según aplique, mediante el cual realiza la actividad económica por la que solicita el Registro;</w:t>
      </w:r>
    </w:p>
    <w:p w:rsidR="00000000" w:rsidDel="00000000" w:rsidP="00000000" w:rsidRDefault="00000000" w:rsidRPr="00000000" w14:paraId="00000066">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las mercancías a importar al amparo de su Registro, incluyendo su fracción arancelaria y su NICO, así como la descripción del espacio físico donde se almacenarán y/o comercializarán las mismas;</w:t>
      </w:r>
    </w:p>
    <w:p w:rsidR="00000000" w:rsidDel="00000000" w:rsidP="00000000" w:rsidRDefault="00000000" w:rsidRPr="00000000" w14:paraId="00000067">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relacionadas entre las mercancías a importar al amparo de su Registro y su actividad económica, desde el arribo de las mercancías, hasta su almacenamiento, salida y destino;</w:t>
      </w:r>
    </w:p>
    <w:p w:rsidR="00000000" w:rsidDel="00000000" w:rsidP="00000000" w:rsidRDefault="00000000" w:rsidRPr="00000000" w14:paraId="00000068">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empleados contratados y subcontratados en su caso, y el número de empleados que laboran en el domicilio manifestado en su solicitud de Registro como Empresa de la Región, así como la descripción de las actividades que estos últimos realicen;</w:t>
      </w:r>
    </w:p>
    <w:p w:rsidR="00000000" w:rsidDel="00000000" w:rsidP="00000000" w:rsidRDefault="00000000" w:rsidRPr="00000000" w14:paraId="00000069">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efectuará al amparo del Registro, operaciones que en términos de la legislación aduanera se efectúen por o a través de empresas de mensajería y paquetería;</w:t>
      </w:r>
    </w:p>
    <w:p w:rsidR="00000000" w:rsidDel="00000000" w:rsidP="00000000" w:rsidRDefault="00000000" w:rsidRPr="00000000" w14:paraId="0000006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incurrirá directa o indirectamente, por si o por interpósita persona, en actividades que impliquen el incumplimiento de las disposiciones del Decreto por el que se establece el impuesto general de importación para la región fronteriza y la franja fronteriza norte, publicado en el DOF el 24 de diciembre de 2008 y sus posteriores modificaciones;</w:t>
      </w:r>
    </w:p>
    <w:p w:rsidR="00000000" w:rsidDel="00000000" w:rsidP="00000000" w:rsidRDefault="00000000" w:rsidRPr="00000000" w14:paraId="0000006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C">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documentos que se anexan fueron digitalizados de su original o copia certificada, y se presentarán ante la autoridad cuando así se le requiera;</w:t>
      </w:r>
    </w:p>
    <w:p w:rsidR="00000000" w:rsidDel="00000000" w:rsidP="00000000" w:rsidRDefault="00000000" w:rsidRPr="00000000" w14:paraId="0000006D">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información y documentos proporcionados, son lícitos, fidedignos y comprobables, y</w:t>
      </w:r>
    </w:p>
    <w:p w:rsidR="00000000" w:rsidDel="00000000" w:rsidP="00000000" w:rsidRDefault="00000000" w:rsidRPr="00000000" w14:paraId="0000006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está de acuerdo en que lo declarado en su solicitud y los documentos anexos, al ser presentados ante la DGFCCE, surtirán efectos de declaración ante autoridad distinta de la judicial.</w:t>
      </w:r>
    </w:p>
    <w:p w:rsidR="00000000" w:rsidDel="00000000" w:rsidP="00000000" w:rsidRDefault="00000000" w:rsidRPr="00000000" w14:paraId="0000006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personas morales, acta constitutiva, o bien, sus últimas modificaciones, en las que se acredite que el objeto social comprende las actividades por las que solicita el Registro, y de donde se desprenda la estructura accionaria al momento de solicitar el mismo, las cuales deberán contener los datos de inscripción en el Registro Público que corresponda;</w:t>
      </w:r>
    </w:p>
    <w:p w:rsidR="00000000" w:rsidDel="00000000" w:rsidP="00000000" w:rsidRDefault="00000000" w:rsidRPr="00000000" w14:paraId="0000007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del domicilio manifestado en su solicitud de Registro como Empresa de la Frontera a nombre del solicitante, que podrá ser cualquiera de los documentos a que se refiere la regla 1.3.3;</w:t>
      </w:r>
    </w:p>
    <w:p w:rsidR="00000000" w:rsidDel="00000000" w:rsidP="00000000" w:rsidRDefault="00000000" w:rsidRPr="00000000" w14:paraId="0000007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acredite la legal posesión del inmueble a que se refiere la fracción anterior;</w:t>
      </w:r>
    </w:p>
    <w:p w:rsidR="00000000" w:rsidDel="00000000" w:rsidP="00000000" w:rsidRDefault="00000000" w:rsidRPr="00000000" w14:paraId="0000007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acredite la legal posesión de la maquinaria o equipo, según aplique, mediante el cual realiza su actividad económica;</w:t>
      </w:r>
    </w:p>
    <w:p w:rsidR="00000000" w:rsidDel="00000000" w:rsidP="00000000" w:rsidRDefault="00000000" w:rsidRPr="00000000" w14:paraId="0000007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acredite la legal contratación de la totalidad de los empleados (pago de las cuotas obrero patronales ante el Instituto Mexicano del Seguro Social del último bimestre anterior a la fecha de la solicitud). En el caso de que la contratación del personal de la empresa sea a través de un tercero (Outsourcing), deberá proporcionar copia del contrato de prestación de servicios entre el tercero y el solicitante, así como el documento que acredite la legal contratación de los empleados (pago de cuotas obrero patronales ante el Instituto Mexicano del Seguro Social del último bimestre anterior a la fecha de la solicitud), y</w:t>
      </w:r>
    </w:p>
    <w:p w:rsidR="00000000" w:rsidDel="00000000" w:rsidP="00000000" w:rsidRDefault="00000000" w:rsidRPr="00000000" w14:paraId="0000007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positiva de cumplimiento de obligaciones fiscales, vigente, emitida por el SAT, de conformidad con el artículo 32-D del Código Fiscal de la Federación.</w:t>
      </w:r>
    </w:p>
    <w:p w:rsidR="00000000" w:rsidDel="00000000" w:rsidP="00000000" w:rsidRDefault="00000000" w:rsidRPr="00000000" w14:paraId="000000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 a través de la DGFCCE; de los servidores públicos facultados para ello; de las Oficinas de Representación o de aquellas dependencias, entidades u organismos de la Administración Pública federal, estatal o municipal, en su caso, con las que celebre Convenios de Colaboración, podrá llevar a cabo visitas de verificación, así como todos aquellos actos que se consideren necesarios para la determinación, conocimiento y comprobación de los hechos manifestados en la solicitud, y el cumplimiento de las disposiciones legales y reglamentarias durante la vigencia del Registro.</w:t>
      </w:r>
    </w:p>
    <w:p w:rsidR="00000000" w:rsidDel="00000000" w:rsidP="00000000" w:rsidRDefault="00000000" w:rsidRPr="00000000" w14:paraId="000000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Cuando las solicitudes que presenten los interesados no contengan los datos o no cumplan con los requisitos aplicables, se deberá prevenir a los interesados, por escrito y por una sola vez, dentro de los dos días hábiles siguientes a aquel en el que se reciba la solicitud, para que subsanen la omisión dentro del término de cinco días hábiles contados a partir de que haya surtido efectos la notificación del requerimiento; transcurrido el plazo correspondiente sin desahogar la prevención, se desechará el trámite.</w:t>
      </w:r>
    </w:p>
    <w:p w:rsidR="00000000" w:rsidDel="00000000" w:rsidP="00000000" w:rsidRDefault="00000000" w:rsidRPr="00000000" w14:paraId="000000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Oficina de Representación encargada de resolver la solicitud de registro, analizará la documentación e información presentada y emitirá la resolución correspondiente dentro de un plazo máximo de cinco días hábiles, contados a partir del día siguiente a aquél de la presentación de la solicitud. En caso de que medie requerimiento, el plazo para emitir la resolución se computará a partir del día siguiente a aquel en el que haya vencido el plazo para la atención del mismo.</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resolución es favorable para el solicitante, se emitirá una resolución con el Número de Registro autorizado, compuesto por 20 dígitos para personas morales y 21 dígitos para personas físicas, y estará conformado por el RFC, las letras EF y seis números aleatorios irrepetibles. La vigencia del registro se establecerá en el oficio resolutivo emitido, misma que será acorde a la vigencia del Decreto por el que se establece el impuesto general de importación para la región fronteriza y la franja fronteriza norte, publicado en el DOF el 24 de diciembre de 2008 y sus posteriores modificaciones.</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 la resolución es negativa se emitirá la resolución correspondiente indicando los motivos del dictamen.</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otorgará el Registro como Empresa de la Frontera cuando:</w:t>
      </w:r>
    </w:p>
    <w:p w:rsidR="00000000" w:rsidDel="00000000" w:rsidP="00000000" w:rsidRDefault="00000000" w:rsidRPr="00000000" w14:paraId="0000007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personas que tributen bajo los regímenes previstos en el Título II, Capítulos VII y VIII, y en el Título IV, Capítulo II, Sección II, de la Ley del Impuesto sobre la Renta;</w:t>
      </w:r>
    </w:p>
    <w:p w:rsidR="00000000" w:rsidDel="00000000" w:rsidP="00000000" w:rsidRDefault="00000000" w:rsidRPr="00000000" w14:paraId="0000007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las operaciones que en términos de la legislación aduanera se efectúen por o a través de empresas de mensajería y paquetería;</w:t>
      </w:r>
    </w:p>
    <w:p w:rsidR="00000000" w:rsidDel="00000000" w:rsidP="00000000" w:rsidRDefault="00000000" w:rsidRPr="00000000" w14:paraId="0000007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encuentre como no localizado en el domicilio fiscal o en el domicilio registrado en su solicitud de Registro como Empresa de la Frontera, o bien se identifique que dichos domicilios no corresponden al contribuyente;</w:t>
      </w:r>
    </w:p>
    <w:p w:rsidR="00000000" w:rsidDel="00000000" w:rsidP="00000000" w:rsidRDefault="00000000" w:rsidRPr="00000000" w14:paraId="0000007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ubique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SAT a que se refiere el último párrafo del citado artículo, excepto cuando el motivo de la publicación sea lo dispuesto en la fracción VI del mismo y el beneficio señalado en dicho artículo se hubiere aplicado en relación con multas;</w:t>
      </w:r>
    </w:p>
    <w:p w:rsidR="00000000" w:rsidDel="00000000" w:rsidP="00000000" w:rsidRDefault="00000000" w:rsidRPr="00000000" w14:paraId="0000008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ubique en la presunción establecida en el artículo 69-B del Código Fiscal de la Federación; cuando tenga un socio o accionista que se encuentre en el supuesto de dicha presunción, o cuando hubiera realizado operaciones con los contribuyentes a los que se refiere esta fracción, y el SAT les haya emitido una resolución que indique que efectivamente no adquirieron los bienes o recibieron los servicios que amparan los comprobantes fiscales digitales correspondientes, salvo que hayan corregido totalmente su situación fiscal mediante la presentación de las declaraciones complementarias que correspondan, consideren su corrección como definitiva y no hubieran interpuesto algún medio de defensa en contra de la referida resolución o, de haberlo interpuesto, se desistan del mismo;</w:t>
      </w:r>
    </w:p>
    <w:p w:rsidR="00000000" w:rsidDel="00000000" w:rsidP="00000000" w:rsidRDefault="00000000" w:rsidRPr="00000000" w14:paraId="0000008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encuentre en el listado publicado en el DOF y en la página de Internet del SAT a que se refiere el artículo 69-B Bis del Código Fiscal de la Federación;</w:t>
      </w:r>
    </w:p>
    <w:p w:rsidR="00000000" w:rsidDel="00000000" w:rsidP="00000000" w:rsidRDefault="00000000" w:rsidRPr="00000000" w14:paraId="0000008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clave de la actividad económica asentada en la solicitud, no corresponda a alguna de las actividades señaladas en el Artículo 3, primer párrafo, del Decreto por el que se establece el impuesto general de importación para la región fronteriza y la franja fronteriza norte, publicado en el DOF el 24 de diciembre de 2008 y sus posteriores modificaciones; o bien, la clave de actividad económica manifestada en su solicitud de trámite no corresponda a la actividad económica preponderante que pretende realizar al amparo del Registro como Empresa de la Frontera que solicita;</w:t>
      </w:r>
    </w:p>
    <w:p w:rsidR="00000000" w:rsidDel="00000000" w:rsidP="00000000" w:rsidRDefault="00000000" w:rsidRPr="00000000" w14:paraId="0000008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pueda llevar a cabo la visita de verificación por causas imputables al solicitante del Registro, o cuando no se proporcione la información y documentación requerida al momento en que esta se lleve a cabo, o bien, cuando se desprendan inconsistencias entre la información y documentación presentada con la solicitud y la proporcionada en la visita;</w:t>
      </w:r>
    </w:p>
    <w:p w:rsidR="00000000" w:rsidDel="00000000" w:rsidP="00000000" w:rsidRDefault="00000000" w:rsidRPr="00000000" w14:paraId="0000008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personas a las que se les haya cancelado su Registro como Empresa de la Frontera, no podrán obtener otro Registro por un plazo de dos años contados a partir de la fecha en que se canceló su Registro, o</w:t>
      </w:r>
    </w:p>
    <w:p w:rsidR="00000000" w:rsidDel="00000000" w:rsidP="00000000" w:rsidRDefault="00000000" w:rsidRPr="00000000" w14:paraId="0000008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cumpla con la totalidad de los requisitos y condiciones para obtener el Registro.</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 consultará en el portal del SAT y en los listados publicados en el DOF, según corresponda, si el solicitante se encuentra como no localizado en su domicilio fiscal o en alguno de los supuestos señalados en los incisos D, E y F antes referidos y en caso de que así resulte no podrá otorgarse el registro correspondiente.</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Para efectos del Artículo Cuarto del Decreto de la zona libre de Chetumal, publicado el 31 de diciembre de 2020, en el DOF, las personas físicas o morales dedicadas a la comercialización de alimentos y abarrotes; tiendas de autoservicio; comercialización de ropa, bisutería y accesorios de vestir; comercialización de productos farmacéuticos, lentes y artículos ortopédicos; comercialización de maquinaria y equipo; comercialización de materiales para la construcción; restaurantes y otros establecimientos de preparación de alimentos y bebidas; hotelería, moteles y otros servicios de alojamiento temporal; servicios educativos; servicios médicos y hospitalarios; servicios de esparcimiento culturales y deportivos, así como recreativos; servicios de reparación y mantenimiento de automóviles; alquiler de bienes inmuebles, maquinaria y equipo; según la clasificación del Catálogo de Actividades Económicas que da a conocer el SAT mediante reglas de carácter general, que se ubiquen y comercialicen bienes o servicios en la Región Fronteriza de Chetumal, podrán solicitar a través de la Ventanilla Digital el Registro como Empresa de la Región, siempre que cumplan con lo siguiente:</w:t>
      </w:r>
    </w:p>
    <w:p w:rsidR="00000000" w:rsidDel="00000000" w:rsidP="00000000" w:rsidRDefault="00000000" w:rsidRPr="00000000" w14:paraId="0000008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Estar inscritos y activos en el padrón de importadores del SAT;</w:t>
      </w:r>
    </w:p>
    <w:p w:rsidR="00000000" w:rsidDel="00000000" w:rsidP="00000000" w:rsidRDefault="00000000" w:rsidRPr="00000000" w14:paraId="0000008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registradas ante el SAT las actividades por las que solicita el Registro;</w:t>
      </w:r>
    </w:p>
    <w:p w:rsidR="00000000" w:rsidDel="00000000" w:rsidP="00000000" w:rsidRDefault="00000000" w:rsidRPr="00000000" w14:paraId="0000008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registrado ante el SAT el domicilio que pretenda dar de alta en su solicitud de Registro como Empresa de la Región;</w:t>
      </w:r>
    </w:p>
    <w:p w:rsidR="00000000" w:rsidDel="00000000" w:rsidP="00000000" w:rsidRDefault="00000000" w:rsidRPr="00000000" w14:paraId="0000008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Tener registrados y actualizados en la Ventanilla Digital a los socios y accionistas, en el caso de personas morales, y</w:t>
      </w:r>
    </w:p>
    <w:p w:rsidR="00000000" w:rsidDel="00000000" w:rsidP="00000000" w:rsidRDefault="00000000" w:rsidRPr="00000000" w14:paraId="0000008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Anexar a su solicitud los siguientes documentos digitalizados:</w:t>
      </w:r>
    </w:p>
    <w:p w:rsidR="00000000" w:rsidDel="00000000" w:rsidP="00000000" w:rsidRDefault="00000000" w:rsidRPr="00000000" w14:paraId="0000008E">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Escrito libre dirigido a la DGFCCE firmado por el interesado o representante legal de la empresa, mediante el cual manifieste expresamente bajo protesta de decir verdad lo siguiente:</w:t>
      </w:r>
    </w:p>
    <w:p w:rsidR="00000000" w:rsidDel="00000000" w:rsidP="00000000" w:rsidRDefault="00000000" w:rsidRPr="00000000" w14:paraId="0000008F">
      <w:pPr>
        <w:shd w:fill="ffffff" w:val="clear"/>
        <w:spacing w:after="80" w:lineRule="auto"/>
        <w:ind w:left="20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conoce el contenido del Decreto de la zona libre de Chetumal, publicado en el DOF el 31 de diciembre de 2020;</w:t>
      </w:r>
    </w:p>
    <w:p w:rsidR="00000000" w:rsidDel="00000000" w:rsidP="00000000" w:rsidRDefault="00000000" w:rsidRPr="00000000" w14:paraId="0000009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tributa bajo los regímenes previstos en el Título II, Capítulos VI, VII y VIII; Título IV, Capítulo II, Sección II; Título V y Título VII, Capítulos III, IV, V, VI, VII, IX y X de la Ley del Impuesto sobre la Renta, así como las que lleven a cabo operaciones de maquila a que se refieren los artículos 181, 182, 183 y 183-Bis de dicha Ley;</w:t>
      </w:r>
    </w:p>
    <w:p w:rsidR="00000000" w:rsidDel="00000000" w:rsidP="00000000" w:rsidRDefault="00000000" w:rsidRPr="00000000" w14:paraId="00000091">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nombres y RFC de los socios y accionistas al momento de presentar su solicitud, en el caso de personas morales;</w:t>
      </w:r>
    </w:p>
    <w:p w:rsidR="00000000" w:rsidDel="00000000" w:rsidP="00000000" w:rsidRDefault="00000000" w:rsidRPr="00000000" w14:paraId="00000092">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domicilio en el que llevará a cabo la actividad económica y el estatus de la posesión del inmueble;</w:t>
      </w:r>
    </w:p>
    <w:p w:rsidR="00000000" w:rsidDel="00000000" w:rsidP="00000000" w:rsidRDefault="00000000" w:rsidRPr="00000000" w14:paraId="0000009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Inventario de la maquinaria o equipo, según aplique, mediante el cual realiza la actividad económica por la que solicita el Registro;</w:t>
      </w:r>
    </w:p>
    <w:p w:rsidR="00000000" w:rsidDel="00000000" w:rsidP="00000000" w:rsidRDefault="00000000" w:rsidRPr="00000000" w14:paraId="0000009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descripción de las mercancías a importar al amparo de su Registro, incluyendo su fracción arancelaria y su NICO, así como la descripción del espacio físico donde se almacenarán y/o comercializarán las mismas;</w:t>
      </w:r>
    </w:p>
    <w:p w:rsidR="00000000" w:rsidDel="00000000" w:rsidP="00000000" w:rsidRDefault="00000000" w:rsidRPr="00000000" w14:paraId="0000009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relacionadas entre las mercancías a importar al amparo de su Registro y su actividad económica, desde el arribo de las mercancías, hasta su almacenamiento, salida y destino;</w:t>
      </w:r>
    </w:p>
    <w:p w:rsidR="00000000" w:rsidDel="00000000" w:rsidP="00000000" w:rsidRDefault="00000000" w:rsidRPr="00000000" w14:paraId="00000096">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número de empleados contratados y subcontratados en su caso, y el número de empleados que laboran en el domicilio manifestado en su solicitud de Registro como Empresa de la Región, así como la descripción de las actividades que estos últimos realicen;</w:t>
      </w:r>
    </w:p>
    <w:p w:rsidR="00000000" w:rsidDel="00000000" w:rsidP="00000000" w:rsidRDefault="00000000" w:rsidRPr="00000000" w14:paraId="00000097">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efectuará al amparo del Registro operaciones que en términos de la legislación aduanera se efectúen por o a través de empresas de mensajería y paquetería;</w:t>
      </w:r>
    </w:p>
    <w:p w:rsidR="00000000" w:rsidDel="00000000" w:rsidP="00000000" w:rsidRDefault="00000000" w:rsidRPr="00000000" w14:paraId="0000009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incurrirá directa o indirectamente, por si o por interpósita persona, en actividades que impliquen incumplimiento de las disposiciones del Decreto de la zona libre de Chetumal, publicado en el DOF el 31 de diciembre de 2020;</w:t>
      </w:r>
    </w:p>
    <w:p w:rsidR="00000000" w:rsidDel="00000000" w:rsidP="00000000" w:rsidRDefault="00000000" w:rsidRPr="00000000" w14:paraId="0000009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los documentos que se anexan fueron digitalizados de su original o copia certificada, y se presentarán ante la autoridad cuando así se le requiera;</w:t>
      </w:r>
    </w:p>
    <w:p w:rsidR="00000000" w:rsidDel="00000000" w:rsidP="00000000" w:rsidRDefault="00000000" w:rsidRPr="00000000" w14:paraId="0000009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información y documentos proporcionados, son lícitos, fidedignos y comprobables, y</w:t>
      </w:r>
    </w:p>
    <w:p w:rsidR="00000000" w:rsidDel="00000000" w:rsidP="00000000" w:rsidRDefault="00000000" w:rsidRPr="00000000" w14:paraId="0000009B">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está de acuerdo en que lo declarado en su solicitud y los documentos anexos, al ser presentados ante la DGFCCE, surtirán efectos de declaración ante autoridad distinta de la judicial.</w:t>
      </w:r>
    </w:p>
    <w:p w:rsidR="00000000" w:rsidDel="00000000" w:rsidP="00000000" w:rsidRDefault="00000000" w:rsidRPr="00000000" w14:paraId="0000009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personas morales, acta constitutiva, o bien, sus últimas modificaciones en las que se acredite que el objeto social comprende las actividades por las que solicita el Registro, y de donde se desprenda la estructura accionaria al momento de solicitar el mismo, las cuales deberán contener los datos de inscripción en el Registro Público que corresponda;</w:t>
      </w:r>
    </w:p>
    <w:p w:rsidR="00000000" w:rsidDel="00000000" w:rsidP="00000000" w:rsidRDefault="00000000" w:rsidRPr="00000000" w14:paraId="0000009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 manifestado en su solicitud de Registro como Empresa de la Región a nombre del solicitante, que podrá ser cualquiera de los documentos a que se refiere la regla 1.3.3;</w:t>
      </w:r>
    </w:p>
    <w:p w:rsidR="00000000" w:rsidDel="00000000" w:rsidP="00000000" w:rsidRDefault="00000000" w:rsidRPr="00000000" w14:paraId="0000009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que acredite la legal posesión del inmueble a que se refiere la fracción anterior;</w:t>
      </w:r>
    </w:p>
    <w:p w:rsidR="00000000" w:rsidDel="00000000" w:rsidP="00000000" w:rsidRDefault="00000000" w:rsidRPr="00000000" w14:paraId="000000A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acredite la legal posesión de la maquinaria o equipo, según aplique, mediante el cual realiza su actividad económica;</w:t>
      </w:r>
    </w:p>
    <w:p w:rsidR="00000000" w:rsidDel="00000000" w:rsidP="00000000" w:rsidRDefault="00000000" w:rsidRPr="00000000" w14:paraId="000000A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Documentación que acredite la legal contratación de la totalidad de los empleados (pago de las cuotas obrero patronales ante el Instituto Mexicano del Seguro Social) del último bimestre anterior a la fecha de la solicitud. En el caso de que la contratación del personal de la empresa sea a través de un tercero (Outsourcing), deberá proporcionar copia del contrato de prestación de servicios entre el tercero y el solicitante, así como el documento que acredite la legal contratación de los empleados (pago de cuotas obrero patronales ante el Instituto Mexicano del Seguro Social del último bimestre anterior a la fecha de la solicitud), y</w:t>
      </w:r>
    </w:p>
    <w:p w:rsidR="00000000" w:rsidDel="00000000" w:rsidP="00000000" w:rsidRDefault="00000000" w:rsidRPr="00000000" w14:paraId="000000A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positiva de cumplimiento de obligaciones fiscales, vigente, emitida por el SAT de conformidad con el artículo 32-D del Código Fiscal de la Federación;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 a través de la DGFCCE; de los servidores públicos facultados para ello; de las Oficinas de Representación o de aquellas dependencias, entidades u organismos de la Administración Pública federal, estatal, o municipal, en su caso, con las que celebre Convenios de Colaboración, podrá llevar a cabo visitas de verificación, así como todos aquellos actos que se consideren necesarios para la determinación, conocimiento y comprobación de los hechos manifestados en la solicitud, y el cumplimiento de las disposiciones legales y reglamentarias durante la vigencia del Registro.</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las solicitudes que presenten los interesados no contengan los datos o no cumplan con los requisitos aplicables, se deberá prevenir a los interesados, por escrito y por una sola vez dentro de los dos días hábiles siguientes a aquel en el que se reciba la solicitud, para que subsanen la omisión dentro del término de cinco días hábiles contados a partir de que haya surtido efectos la notificación del requerimiento; transcurrido el plazo correspondiente sin desahogar la prevención, se desechará el trámite.</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Oficina de Representación encargada de resolver la solicitud de registro, analizará la documentación e información presentada y emitirá la resolución correspondiente dentro de un plazo máximo de cinco días hábiles, contados a partir del día siguiente a aquél de la presentación de la solicitud. En caso de que medie requerimiento, el plazo para emitir la resolución se computará a partir del día siguiente a aquel en el que haya vencido el plazo para la atención del mismo.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resolución es favorable para el solicitante, se emitirá una resolución con el Número de Registro autorizado, compuesto por 20 dígitos para personas morales y 21 dígitos para personas físicas, y estará conformado por el RFC, las letras ER y seis números aleatorios irrepetibles. La vigencia del registro se establecerá en el oficio resolutivo emitido, misma que será acorde a la vigencia del Decreto de la zona libre de Chetumal, publicado en el DOF el 31 de diciembre de 2020.</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la resolución es negativa se emitirá la resolución correspondiente indicando los motivos del dictamen.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otorgará el Registro como Empresa de la Región cuando:</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personas que tributen bajo los regímenes previstos en el Título II, Capítulos VI, VII y VIII; Título IV, Capítulo II, Sección II; Título V y Título VII, Capítulos III, IV, V, VI, VII, IX y X de la Ley del Impuesto sobre la Renta, así como las que lleven a cabo operaciones de maquila a que se refieren los artículos 181, 182, 183 y 183-Bis de dicha Ley;</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las operaciones que en términos de la legislación aduanera se efectúen por o a través de empresas de mensajería y paquetería;</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encuentre como no localizado en el domicilio fiscal o en el domicilio registrado en su solicitud de Registro como Empresa de la Región, o bien se identifique que dichos domicilios no corresponden al contribuyente;</w:t>
      </w:r>
    </w:p>
    <w:p w:rsidR="00000000" w:rsidDel="00000000" w:rsidP="00000000" w:rsidRDefault="00000000" w:rsidRPr="00000000" w14:paraId="000000A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ubique en alguno de los supuestos establecidos en el artículo 69, penúltimo párrafo, del Código Fiscal de la Federación y cuyo nombre, denominación o razón social y clave en el Registro Federal de Contribuyentes, se encuentren contenidos en la publicación de la página de Internet del SAT a que se refiere el último párrafo del citado artículo, excepto cuando el motivo de la publicación sea lo dispuesto en la fracción VI del mismo y el beneficio señalado en dicho artículo se hubiere aplicado en relación con multas;</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ubique en la presunción establecida en el artículo 69-B del Código Fiscal de la Federación; cuando tenga un socio o accionista que se encuentre en el supuesto de dicha presunción, o cuando hubiera realizado operaciones con los contribuyentes a los que se refiere esta fracción, y el SAT les haya emitido una resolución que indique que efectivamente no adquirieron los bienes o recibieron los servicios que amparan los comprobantes fiscales digitales correspondientes, salvo que hayan corregido totalmente su situación fiscal mediante la presentación de las declaraciones complementarias que correspondan, consideren su corrección como definitiva y no hubieran interpuesto algún medio de defensa en contra de la referida resolución o, de haberlo interpuesto, se desistan del mismo;</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solicitante se encuentre en el listado publicado en el DOF y en la página de Internet del SAT a que se refiere el artículo 69-B Bis del Código Fiscal de la Federación;</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clave de la actividad económica asentada en la solicitud, no corresponda a alguna de las actividades señaladas en el Artículo Segundo, fracción I del Decreto de la zona libre de Chetumal, publicado el 31 de diciembre de 2020, en el DOF; o bien, la clave de actividad económica manifestada en su solicitud de trámite no corresponda a la actividad económica preponderante que pretende realizar al amparo del Registro como Empresa de la Región que solicita;</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pueda llevar a cabo la visita de verificación por causas imputables al solicitante del Registro, o cuando no se proporcione la información y documentación requerida al momento en que esta se lleve a cabo, o bien, cuando se desprendan inconsistencias entre la información y documentación presentada con la solicitud y la proporcionada en la visita de verificación;</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personas a las que se les haya cancelado su Registro como Empresa de la Región, no podrán obtener otro registro por un plazo de dos años contados a partir de la fecha en que se canceló su registro, o</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cumplan la totalidad de requisitos y condiciones para obtener el Registro.</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la presente regla y del último párrafo del Artículo Cuarto del Decreto de la zona libre de Chetumal, la SE consultará en el portal del SAT, y en los listados publicados en el DOF, según corresponda, si el solicitante se encuentra como no localizado en su domicilio fiscal o en alguno de los supuestos señalados en los incisos D, E y F antes referidos, y en caso de que así resulte no podrá otorgarse el registro correspondiente."</w:t>
      </w:r>
    </w:p>
    <w:p w:rsidR="00000000" w:rsidDel="00000000" w:rsidP="00000000" w:rsidRDefault="00000000" w:rsidRPr="00000000" w14:paraId="000000B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Acuerdo entrará en vigor el día siguiente al de su publicación en el Diario Oficial de la Federación.</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 de marzo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B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