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569C5" w:rsidP="000569C5">
      <w:pPr>
        <w:jc w:val="center"/>
        <w:rPr>
          <w:rFonts w:ascii="Verdana" w:hAnsi="Verdana"/>
          <w:b/>
          <w:color w:val="0070C0"/>
          <w:sz w:val="24"/>
        </w:rPr>
      </w:pPr>
      <w:r w:rsidRPr="000569C5">
        <w:rPr>
          <w:rFonts w:ascii="Verdana" w:hAnsi="Verdana"/>
          <w:b/>
          <w:color w:val="0070C0"/>
          <w:sz w:val="24"/>
        </w:rPr>
        <w:t>Acuerdo por el que se declaran inhábiles los días 25, 26, 27 y 28 de septiembre de 2017, para efecto de los trámites que se realizan en la Secretaría del Trabajo y Previsión Social.</w:t>
      </w:r>
    </w:p>
    <w:p w:rsidR="000569C5" w:rsidRDefault="000569C5" w:rsidP="000569C5">
      <w:pPr>
        <w:jc w:val="center"/>
        <w:rPr>
          <w:rFonts w:ascii="Verdana" w:hAnsi="Verdana"/>
          <w:b/>
          <w:color w:val="0070C0"/>
          <w:sz w:val="24"/>
        </w:rPr>
      </w:pPr>
      <w:r>
        <w:rPr>
          <w:rFonts w:ascii="Verdana" w:hAnsi="Verdana"/>
          <w:b/>
          <w:color w:val="0070C0"/>
          <w:sz w:val="24"/>
        </w:rPr>
        <w:t>(DOF del 26 de septiembre de 2017)</w:t>
      </w:r>
    </w:p>
    <w:p w:rsidR="000569C5" w:rsidRPr="000569C5" w:rsidRDefault="000569C5" w:rsidP="000569C5">
      <w:pPr>
        <w:jc w:val="both"/>
        <w:rPr>
          <w:rFonts w:ascii="Verdana" w:hAnsi="Verdana"/>
          <w:b/>
          <w:bCs/>
          <w:sz w:val="20"/>
        </w:rPr>
      </w:pPr>
      <w:bookmarkStart w:id="0" w:name="_GoBack"/>
      <w:bookmarkEnd w:id="0"/>
      <w:r w:rsidRPr="000569C5">
        <w:rPr>
          <w:rFonts w:ascii="Verdana" w:hAnsi="Verdana"/>
          <w:b/>
          <w:bCs/>
          <w:sz w:val="20"/>
        </w:rPr>
        <w:t>Al margen un sello con el Escudo Nacional, que dice: Estados Unidos Mexicanos.- Secretaría del Trabajo y Previsión Social.</w:t>
      </w:r>
    </w:p>
    <w:p w:rsidR="000569C5" w:rsidRPr="000569C5" w:rsidRDefault="000569C5" w:rsidP="000569C5">
      <w:pPr>
        <w:jc w:val="both"/>
        <w:rPr>
          <w:rFonts w:ascii="Verdana" w:hAnsi="Verdana"/>
          <w:sz w:val="20"/>
        </w:rPr>
      </w:pPr>
      <w:r w:rsidRPr="000569C5">
        <w:rPr>
          <w:rFonts w:ascii="Verdana" w:hAnsi="Verdana"/>
          <w:sz w:val="20"/>
        </w:rPr>
        <w:t>JESÚS ALFONSO NAVARRETE PRIDA, Secretario del Trabajo y Previsión Social, con fundamento en lo previsto por los artículos 40 de la Ley Orgánica de la Administración Pública Federal; 1 y 28 de la Ley Federal de Procedimiento Administrativo, y 1, 2, 4 y 5 del Reglamento Interior de la Secretaría del Trabajo y Previsión Social,</w:t>
      </w:r>
    </w:p>
    <w:p w:rsidR="000569C5" w:rsidRPr="000569C5" w:rsidRDefault="000569C5" w:rsidP="000569C5">
      <w:pPr>
        <w:jc w:val="both"/>
        <w:rPr>
          <w:rFonts w:ascii="Verdana" w:hAnsi="Verdana"/>
          <w:b/>
          <w:bCs/>
          <w:sz w:val="20"/>
        </w:rPr>
      </w:pPr>
      <w:r w:rsidRPr="000569C5">
        <w:rPr>
          <w:rFonts w:ascii="Verdana" w:hAnsi="Verdana"/>
          <w:b/>
          <w:bCs/>
          <w:sz w:val="20"/>
        </w:rPr>
        <w:t>CONSIDERANDO</w:t>
      </w:r>
    </w:p>
    <w:p w:rsidR="000569C5" w:rsidRPr="000569C5" w:rsidRDefault="000569C5" w:rsidP="000569C5">
      <w:pPr>
        <w:jc w:val="both"/>
        <w:rPr>
          <w:rFonts w:ascii="Verdana" w:hAnsi="Verdana"/>
          <w:sz w:val="20"/>
        </w:rPr>
      </w:pPr>
      <w:r w:rsidRPr="000569C5">
        <w:rPr>
          <w:rFonts w:ascii="Verdana" w:hAnsi="Verdana"/>
          <w:sz w:val="20"/>
        </w:rPr>
        <w:t>Que el 21 de septiembre de 2017 se publicó en el Diario Oficial de la Federación el Acuerdo por el que se declaran inhábiles los días 19 a 22 de septiembre de 2017, para efecto de los trámites que se realizan en la Secretaría del Trabajo y Previsión Social;</w:t>
      </w:r>
    </w:p>
    <w:p w:rsidR="000569C5" w:rsidRPr="000569C5" w:rsidRDefault="000569C5" w:rsidP="000569C5">
      <w:pPr>
        <w:jc w:val="both"/>
        <w:rPr>
          <w:rFonts w:ascii="Verdana" w:hAnsi="Verdana"/>
          <w:sz w:val="20"/>
        </w:rPr>
      </w:pPr>
      <w:r w:rsidRPr="000569C5">
        <w:rPr>
          <w:rFonts w:ascii="Verdana" w:hAnsi="Verdana"/>
          <w:sz w:val="20"/>
        </w:rPr>
        <w:t>Que se estima conveniente ampliar el periodo de suspensión de labores, a efecto de que finalice la revisión de los inmuebles donde se prestan los servicios de esta Dependencia y sus órganos administrativos desconcentrados, y</w:t>
      </w:r>
    </w:p>
    <w:p w:rsidR="000569C5" w:rsidRPr="000569C5" w:rsidRDefault="000569C5" w:rsidP="000569C5">
      <w:pPr>
        <w:jc w:val="both"/>
        <w:rPr>
          <w:rFonts w:ascii="Verdana" w:hAnsi="Verdana"/>
          <w:sz w:val="20"/>
        </w:rPr>
      </w:pPr>
      <w:r w:rsidRPr="000569C5">
        <w:rPr>
          <w:rFonts w:ascii="Verdana" w:hAnsi="Verdana"/>
          <w:sz w:val="20"/>
        </w:rPr>
        <w:t>Que con el fin de dar certeza y seguridad jurídica a los asuntos que la población tramita ante la Secretaría del Trabajo y Previsión Social, es necesario hacer del conocimiento público los días que no se contabilizarán en los plazos y términos procesales de los asuntos llevados ante dicha dependencia, así como sus órganos administrativos desconcentrados, tengo a bien expedir el siguiente</w:t>
      </w:r>
    </w:p>
    <w:p w:rsidR="000569C5" w:rsidRPr="000569C5" w:rsidRDefault="000569C5" w:rsidP="000569C5">
      <w:pPr>
        <w:jc w:val="both"/>
        <w:rPr>
          <w:rFonts w:ascii="Verdana" w:hAnsi="Verdana"/>
          <w:b/>
          <w:bCs/>
          <w:sz w:val="20"/>
        </w:rPr>
      </w:pPr>
      <w:r w:rsidRPr="000569C5">
        <w:rPr>
          <w:rFonts w:ascii="Verdana" w:hAnsi="Verdana"/>
          <w:b/>
          <w:bCs/>
          <w:sz w:val="20"/>
        </w:rPr>
        <w:t>ACUERDO POR EL QUE SE DECLARAN INHÁBILES LOS DÍAS 25, 26, 27 y 28 DE SEPTIEMBRE DE 2017,</w:t>
      </w:r>
      <w:r w:rsidRPr="000569C5">
        <w:rPr>
          <w:rFonts w:ascii="Verdana" w:hAnsi="Verdana"/>
          <w:b/>
          <w:bCs/>
          <w:sz w:val="20"/>
        </w:rPr>
        <w:br/>
        <w:t>PARA EFECTO DE LOS TRÁMITES QUE SE REALIZAN EN LA SECRETARÍA DEL TRABAJO Y</w:t>
      </w:r>
      <w:r w:rsidRPr="000569C5">
        <w:rPr>
          <w:rFonts w:ascii="Verdana" w:hAnsi="Verdana"/>
          <w:b/>
          <w:bCs/>
          <w:sz w:val="20"/>
        </w:rPr>
        <w:br/>
        <w:t>PREVISIÓN SOCIAL</w:t>
      </w:r>
    </w:p>
    <w:p w:rsidR="000569C5" w:rsidRPr="000569C5" w:rsidRDefault="000569C5" w:rsidP="000569C5">
      <w:pPr>
        <w:jc w:val="both"/>
        <w:rPr>
          <w:rFonts w:ascii="Verdana" w:hAnsi="Verdana"/>
          <w:sz w:val="20"/>
        </w:rPr>
      </w:pPr>
      <w:r w:rsidRPr="000569C5">
        <w:rPr>
          <w:rFonts w:ascii="Verdana" w:hAnsi="Verdana"/>
          <w:b/>
          <w:bCs/>
          <w:sz w:val="20"/>
        </w:rPr>
        <w:t>ARTÍCULO PRIMERO. </w:t>
      </w:r>
      <w:r w:rsidRPr="000569C5">
        <w:rPr>
          <w:rFonts w:ascii="Verdana" w:hAnsi="Verdana"/>
          <w:sz w:val="20"/>
        </w:rPr>
        <w:t>Los días 25, 26, 27 y 28 de septiembre de 2017 se declaran inhábiles para la práctica de actuaciones y diligencias en los procedimientos administrativos que se desarrollan ante la Secretaría del Trabajo y Previsión Social y sus órganos administrativos desconcentrados, tales como recepción de documentos e informes, trámites, actuaciones, diligencias, inicio, substanciación y resolución de procedimientos administrativos, notificaciones, requerimientos, solicitudes de informes y documentos y medios de impugnación.</w:t>
      </w:r>
    </w:p>
    <w:p w:rsidR="000569C5" w:rsidRPr="000569C5" w:rsidRDefault="000569C5" w:rsidP="000569C5">
      <w:pPr>
        <w:jc w:val="both"/>
        <w:rPr>
          <w:rFonts w:ascii="Verdana" w:hAnsi="Verdana"/>
          <w:sz w:val="20"/>
        </w:rPr>
      </w:pPr>
      <w:r w:rsidRPr="000569C5">
        <w:rPr>
          <w:rFonts w:ascii="Verdana" w:hAnsi="Verdana"/>
          <w:sz w:val="20"/>
        </w:rPr>
        <w:t>Los días a que se refiere el párrafo anterior deberán considerarse inhábiles para efectos del cómputo de los plazos y términos de los procedimientos administrativos que se tramitan ante la Secretaría del Trabajo y Previsión Social y sus órganos administrativos desconcentrados.</w:t>
      </w:r>
    </w:p>
    <w:p w:rsidR="000569C5" w:rsidRPr="000569C5" w:rsidRDefault="000569C5" w:rsidP="000569C5">
      <w:pPr>
        <w:jc w:val="both"/>
        <w:rPr>
          <w:rFonts w:ascii="Verdana" w:hAnsi="Verdana"/>
          <w:sz w:val="20"/>
        </w:rPr>
      </w:pPr>
      <w:r w:rsidRPr="000569C5">
        <w:rPr>
          <w:rFonts w:ascii="Verdana" w:hAnsi="Verdana"/>
          <w:b/>
          <w:bCs/>
          <w:sz w:val="20"/>
        </w:rPr>
        <w:lastRenderedPageBreak/>
        <w:t>ARTÍCULO SEGUNDO. </w:t>
      </w:r>
      <w:r w:rsidRPr="000569C5">
        <w:rPr>
          <w:rFonts w:ascii="Verdana" w:hAnsi="Verdana"/>
          <w:sz w:val="20"/>
        </w:rPr>
        <w:t>Las unidades administrativas y órganos administrativos desconcentrados de la Secretaría del Trabajo y Previsión Social que, por disposición de carácter general, deban emitir algún acto administrativo en alguno de los días declarados inhábiles en este acuerdo, deberán hacerlo el día hábil inmediato siguiente, salvo aquellos que por su importancia y urgencia ameriten su realización dentro de este periodo.</w:t>
      </w:r>
    </w:p>
    <w:p w:rsidR="000569C5" w:rsidRPr="000569C5" w:rsidRDefault="000569C5" w:rsidP="000569C5">
      <w:pPr>
        <w:jc w:val="both"/>
        <w:rPr>
          <w:rFonts w:ascii="Verdana" w:hAnsi="Verdana"/>
          <w:sz w:val="20"/>
        </w:rPr>
      </w:pPr>
      <w:r w:rsidRPr="000569C5">
        <w:rPr>
          <w:rFonts w:ascii="Verdana" w:hAnsi="Verdana"/>
          <w:b/>
          <w:bCs/>
          <w:sz w:val="20"/>
        </w:rPr>
        <w:t>ARTÍCULO TERCERO. </w:t>
      </w:r>
      <w:r w:rsidRPr="000569C5">
        <w:rPr>
          <w:rFonts w:ascii="Verdana" w:hAnsi="Verdana"/>
          <w:sz w:val="20"/>
        </w:rPr>
        <w:t>La declaratoria a que se refiere este Acuerdo se realiza sin perjuicio de la facultad que concedan otras disposiciones de carácter general para habilitar días y horas inhábiles para realizar diligencias y actuaciones.</w:t>
      </w:r>
    </w:p>
    <w:p w:rsidR="000569C5" w:rsidRPr="000569C5" w:rsidRDefault="000569C5" w:rsidP="000569C5">
      <w:pPr>
        <w:jc w:val="both"/>
        <w:rPr>
          <w:rFonts w:ascii="Verdana" w:hAnsi="Verdana"/>
          <w:b/>
          <w:bCs/>
          <w:sz w:val="20"/>
        </w:rPr>
      </w:pPr>
      <w:r w:rsidRPr="000569C5">
        <w:rPr>
          <w:rFonts w:ascii="Verdana" w:hAnsi="Verdana"/>
          <w:b/>
          <w:bCs/>
          <w:sz w:val="20"/>
        </w:rPr>
        <w:t>TRANSITORIO</w:t>
      </w:r>
    </w:p>
    <w:p w:rsidR="000569C5" w:rsidRPr="000569C5" w:rsidRDefault="000569C5" w:rsidP="000569C5">
      <w:pPr>
        <w:jc w:val="both"/>
        <w:rPr>
          <w:rFonts w:ascii="Verdana" w:hAnsi="Verdana"/>
          <w:sz w:val="20"/>
        </w:rPr>
      </w:pPr>
      <w:r w:rsidRPr="000569C5">
        <w:rPr>
          <w:rFonts w:ascii="Verdana" w:hAnsi="Verdana"/>
          <w:b/>
          <w:bCs/>
          <w:sz w:val="20"/>
        </w:rPr>
        <w:t>ARTÍCULO ÚNICO. </w:t>
      </w:r>
      <w:r w:rsidRPr="000569C5">
        <w:rPr>
          <w:rFonts w:ascii="Verdana" w:hAnsi="Verdana"/>
          <w:sz w:val="20"/>
        </w:rPr>
        <w:t>El presente Acuerdo entrará en vigor el día de veinticinco de septiembre de dos mil diecisiete.</w:t>
      </w:r>
    </w:p>
    <w:p w:rsidR="000569C5" w:rsidRPr="000569C5" w:rsidRDefault="000569C5" w:rsidP="000569C5">
      <w:pPr>
        <w:jc w:val="both"/>
        <w:rPr>
          <w:rFonts w:ascii="Verdana" w:hAnsi="Verdana"/>
          <w:sz w:val="20"/>
        </w:rPr>
      </w:pPr>
      <w:r w:rsidRPr="000569C5">
        <w:rPr>
          <w:rFonts w:ascii="Verdana" w:hAnsi="Verdana"/>
          <w:sz w:val="20"/>
        </w:rPr>
        <w:t>Ciudad de México, a veinticinco de septiembre de dos mil diecisiete.- El Secretario del Trabajo y Previsión Social,</w:t>
      </w:r>
      <w:r w:rsidRPr="000569C5">
        <w:rPr>
          <w:rFonts w:ascii="Verdana" w:hAnsi="Verdana"/>
          <w:b/>
          <w:bCs/>
          <w:sz w:val="20"/>
        </w:rPr>
        <w:t xml:space="preserve"> Jesús Alfonso Navarrete </w:t>
      </w:r>
      <w:proofErr w:type="spellStart"/>
      <w:r w:rsidRPr="000569C5">
        <w:rPr>
          <w:rFonts w:ascii="Verdana" w:hAnsi="Verdana"/>
          <w:b/>
          <w:bCs/>
          <w:sz w:val="20"/>
        </w:rPr>
        <w:t>Prida</w:t>
      </w:r>
      <w:proofErr w:type="spellEnd"/>
      <w:r w:rsidRPr="000569C5">
        <w:rPr>
          <w:rFonts w:ascii="Verdana" w:hAnsi="Verdana"/>
          <w:sz w:val="20"/>
        </w:rPr>
        <w:t>.- Rúbrica.</w:t>
      </w:r>
    </w:p>
    <w:p w:rsidR="000569C5" w:rsidRPr="000569C5" w:rsidRDefault="000569C5" w:rsidP="000569C5">
      <w:pPr>
        <w:jc w:val="both"/>
        <w:rPr>
          <w:rFonts w:ascii="Verdana" w:hAnsi="Verdana"/>
          <w:sz w:val="20"/>
        </w:rPr>
      </w:pPr>
    </w:p>
    <w:sectPr w:rsidR="000569C5" w:rsidRPr="000569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C5"/>
    <w:rsid w:val="000569C5"/>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9614">
      <w:bodyDiv w:val="1"/>
      <w:marLeft w:val="0"/>
      <w:marRight w:val="0"/>
      <w:marTop w:val="0"/>
      <w:marBottom w:val="0"/>
      <w:divBdr>
        <w:top w:val="none" w:sz="0" w:space="0" w:color="auto"/>
        <w:left w:val="none" w:sz="0" w:space="0" w:color="auto"/>
        <w:bottom w:val="none" w:sz="0" w:space="0" w:color="auto"/>
        <w:right w:val="none" w:sz="0" w:space="0" w:color="auto"/>
      </w:divBdr>
    </w:div>
    <w:div w:id="1705709224">
      <w:bodyDiv w:val="1"/>
      <w:marLeft w:val="0"/>
      <w:marRight w:val="0"/>
      <w:marTop w:val="0"/>
      <w:marBottom w:val="0"/>
      <w:divBdr>
        <w:top w:val="none" w:sz="0" w:space="0" w:color="auto"/>
        <w:left w:val="none" w:sz="0" w:space="0" w:color="auto"/>
        <w:bottom w:val="none" w:sz="0" w:space="0" w:color="auto"/>
        <w:right w:val="none" w:sz="0" w:space="0" w:color="auto"/>
      </w:divBdr>
      <w:divsChild>
        <w:div w:id="974069984">
          <w:marLeft w:val="0"/>
          <w:marRight w:val="0"/>
          <w:marTop w:val="0"/>
          <w:marBottom w:val="101"/>
          <w:divBdr>
            <w:top w:val="none" w:sz="0" w:space="0" w:color="auto"/>
            <w:left w:val="none" w:sz="0" w:space="0" w:color="auto"/>
            <w:bottom w:val="none" w:sz="0" w:space="0" w:color="auto"/>
            <w:right w:val="none" w:sz="0" w:space="0" w:color="auto"/>
          </w:divBdr>
        </w:div>
        <w:div w:id="1184628968">
          <w:marLeft w:val="0"/>
          <w:marRight w:val="0"/>
          <w:marTop w:val="101"/>
          <w:marBottom w:val="101"/>
          <w:divBdr>
            <w:top w:val="none" w:sz="0" w:space="0" w:color="auto"/>
            <w:left w:val="none" w:sz="0" w:space="0" w:color="auto"/>
            <w:bottom w:val="none" w:sz="0" w:space="0" w:color="auto"/>
            <w:right w:val="none" w:sz="0" w:space="0" w:color="auto"/>
          </w:divBdr>
        </w:div>
        <w:div w:id="1327053473">
          <w:marLeft w:val="0"/>
          <w:marRight w:val="0"/>
          <w:marTop w:val="0"/>
          <w:marBottom w:val="101"/>
          <w:divBdr>
            <w:top w:val="none" w:sz="0" w:space="0" w:color="auto"/>
            <w:left w:val="none" w:sz="0" w:space="0" w:color="auto"/>
            <w:bottom w:val="none" w:sz="0" w:space="0" w:color="auto"/>
            <w:right w:val="none" w:sz="0" w:space="0" w:color="auto"/>
          </w:divBdr>
        </w:div>
        <w:div w:id="1012879155">
          <w:marLeft w:val="0"/>
          <w:marRight w:val="0"/>
          <w:marTop w:val="0"/>
          <w:marBottom w:val="101"/>
          <w:divBdr>
            <w:top w:val="none" w:sz="0" w:space="0" w:color="auto"/>
            <w:left w:val="none" w:sz="0" w:space="0" w:color="auto"/>
            <w:bottom w:val="none" w:sz="0" w:space="0" w:color="auto"/>
            <w:right w:val="none" w:sz="0" w:space="0" w:color="auto"/>
          </w:divBdr>
        </w:div>
        <w:div w:id="1776826980">
          <w:marLeft w:val="0"/>
          <w:marRight w:val="0"/>
          <w:marTop w:val="0"/>
          <w:marBottom w:val="101"/>
          <w:divBdr>
            <w:top w:val="none" w:sz="0" w:space="0" w:color="auto"/>
            <w:left w:val="none" w:sz="0" w:space="0" w:color="auto"/>
            <w:bottom w:val="none" w:sz="0" w:space="0" w:color="auto"/>
            <w:right w:val="none" w:sz="0" w:space="0" w:color="auto"/>
          </w:divBdr>
        </w:div>
        <w:div w:id="704061947">
          <w:marLeft w:val="0"/>
          <w:marRight w:val="0"/>
          <w:marTop w:val="101"/>
          <w:marBottom w:val="101"/>
          <w:divBdr>
            <w:top w:val="none" w:sz="0" w:space="0" w:color="auto"/>
            <w:left w:val="none" w:sz="0" w:space="0" w:color="auto"/>
            <w:bottom w:val="none" w:sz="0" w:space="0" w:color="auto"/>
            <w:right w:val="none" w:sz="0" w:space="0" w:color="auto"/>
          </w:divBdr>
        </w:div>
        <w:div w:id="1041049788">
          <w:marLeft w:val="0"/>
          <w:marRight w:val="0"/>
          <w:marTop w:val="0"/>
          <w:marBottom w:val="101"/>
          <w:divBdr>
            <w:top w:val="none" w:sz="0" w:space="0" w:color="auto"/>
            <w:left w:val="none" w:sz="0" w:space="0" w:color="auto"/>
            <w:bottom w:val="none" w:sz="0" w:space="0" w:color="auto"/>
            <w:right w:val="none" w:sz="0" w:space="0" w:color="auto"/>
          </w:divBdr>
        </w:div>
        <w:div w:id="1153181553">
          <w:marLeft w:val="0"/>
          <w:marRight w:val="0"/>
          <w:marTop w:val="0"/>
          <w:marBottom w:val="101"/>
          <w:divBdr>
            <w:top w:val="none" w:sz="0" w:space="0" w:color="auto"/>
            <w:left w:val="none" w:sz="0" w:space="0" w:color="auto"/>
            <w:bottom w:val="none" w:sz="0" w:space="0" w:color="auto"/>
            <w:right w:val="none" w:sz="0" w:space="0" w:color="auto"/>
          </w:divBdr>
        </w:div>
        <w:div w:id="590551157">
          <w:marLeft w:val="0"/>
          <w:marRight w:val="0"/>
          <w:marTop w:val="0"/>
          <w:marBottom w:val="101"/>
          <w:divBdr>
            <w:top w:val="none" w:sz="0" w:space="0" w:color="auto"/>
            <w:left w:val="none" w:sz="0" w:space="0" w:color="auto"/>
            <w:bottom w:val="none" w:sz="0" w:space="0" w:color="auto"/>
            <w:right w:val="none" w:sz="0" w:space="0" w:color="auto"/>
          </w:divBdr>
        </w:div>
        <w:div w:id="1182165001">
          <w:marLeft w:val="0"/>
          <w:marRight w:val="0"/>
          <w:marTop w:val="0"/>
          <w:marBottom w:val="101"/>
          <w:divBdr>
            <w:top w:val="none" w:sz="0" w:space="0" w:color="auto"/>
            <w:left w:val="none" w:sz="0" w:space="0" w:color="auto"/>
            <w:bottom w:val="none" w:sz="0" w:space="0" w:color="auto"/>
            <w:right w:val="none" w:sz="0" w:space="0" w:color="auto"/>
          </w:divBdr>
        </w:div>
        <w:div w:id="1460957859">
          <w:marLeft w:val="0"/>
          <w:marRight w:val="0"/>
          <w:marTop w:val="101"/>
          <w:marBottom w:val="101"/>
          <w:divBdr>
            <w:top w:val="none" w:sz="0" w:space="0" w:color="auto"/>
            <w:left w:val="none" w:sz="0" w:space="0" w:color="auto"/>
            <w:bottom w:val="none" w:sz="0" w:space="0" w:color="auto"/>
            <w:right w:val="none" w:sz="0" w:space="0" w:color="auto"/>
          </w:divBdr>
        </w:div>
        <w:div w:id="34090371">
          <w:marLeft w:val="0"/>
          <w:marRight w:val="0"/>
          <w:marTop w:val="0"/>
          <w:marBottom w:val="101"/>
          <w:divBdr>
            <w:top w:val="none" w:sz="0" w:space="0" w:color="auto"/>
            <w:left w:val="none" w:sz="0" w:space="0" w:color="auto"/>
            <w:bottom w:val="none" w:sz="0" w:space="0" w:color="auto"/>
            <w:right w:val="none" w:sz="0" w:space="0" w:color="auto"/>
          </w:divBdr>
        </w:div>
        <w:div w:id="479619846">
          <w:marLeft w:val="0"/>
          <w:marRight w:val="0"/>
          <w:marTop w:val="0"/>
          <w:marBottom w:val="101"/>
          <w:divBdr>
            <w:top w:val="none" w:sz="0" w:space="0" w:color="auto"/>
            <w:left w:val="none" w:sz="0" w:space="0" w:color="auto"/>
            <w:bottom w:val="none" w:sz="0" w:space="0" w:color="auto"/>
            <w:right w:val="none" w:sz="0" w:space="0" w:color="auto"/>
          </w:divBdr>
        </w:div>
      </w:divsChild>
    </w:div>
    <w:div w:id="1903519743">
      <w:bodyDiv w:val="1"/>
      <w:marLeft w:val="0"/>
      <w:marRight w:val="0"/>
      <w:marTop w:val="0"/>
      <w:marBottom w:val="0"/>
      <w:divBdr>
        <w:top w:val="none" w:sz="0" w:space="0" w:color="auto"/>
        <w:left w:val="none" w:sz="0" w:space="0" w:color="auto"/>
        <w:bottom w:val="none" w:sz="0" w:space="0" w:color="auto"/>
        <w:right w:val="none" w:sz="0" w:space="0" w:color="auto"/>
      </w:divBdr>
      <w:divsChild>
        <w:div w:id="1318609731">
          <w:marLeft w:val="0"/>
          <w:marRight w:val="0"/>
          <w:marTop w:val="0"/>
          <w:marBottom w:val="101"/>
          <w:divBdr>
            <w:top w:val="none" w:sz="0" w:space="0" w:color="auto"/>
            <w:left w:val="none" w:sz="0" w:space="0" w:color="auto"/>
            <w:bottom w:val="none" w:sz="0" w:space="0" w:color="auto"/>
            <w:right w:val="none" w:sz="0" w:space="0" w:color="auto"/>
          </w:divBdr>
        </w:div>
        <w:div w:id="959722337">
          <w:marLeft w:val="0"/>
          <w:marRight w:val="0"/>
          <w:marTop w:val="101"/>
          <w:marBottom w:val="101"/>
          <w:divBdr>
            <w:top w:val="none" w:sz="0" w:space="0" w:color="auto"/>
            <w:left w:val="none" w:sz="0" w:space="0" w:color="auto"/>
            <w:bottom w:val="none" w:sz="0" w:space="0" w:color="auto"/>
            <w:right w:val="none" w:sz="0" w:space="0" w:color="auto"/>
          </w:divBdr>
        </w:div>
        <w:div w:id="933436031">
          <w:marLeft w:val="0"/>
          <w:marRight w:val="0"/>
          <w:marTop w:val="0"/>
          <w:marBottom w:val="101"/>
          <w:divBdr>
            <w:top w:val="none" w:sz="0" w:space="0" w:color="auto"/>
            <w:left w:val="none" w:sz="0" w:space="0" w:color="auto"/>
            <w:bottom w:val="none" w:sz="0" w:space="0" w:color="auto"/>
            <w:right w:val="none" w:sz="0" w:space="0" w:color="auto"/>
          </w:divBdr>
        </w:div>
        <w:div w:id="481895158">
          <w:marLeft w:val="0"/>
          <w:marRight w:val="0"/>
          <w:marTop w:val="0"/>
          <w:marBottom w:val="101"/>
          <w:divBdr>
            <w:top w:val="none" w:sz="0" w:space="0" w:color="auto"/>
            <w:left w:val="none" w:sz="0" w:space="0" w:color="auto"/>
            <w:bottom w:val="none" w:sz="0" w:space="0" w:color="auto"/>
            <w:right w:val="none" w:sz="0" w:space="0" w:color="auto"/>
          </w:divBdr>
        </w:div>
        <w:div w:id="1290432038">
          <w:marLeft w:val="0"/>
          <w:marRight w:val="0"/>
          <w:marTop w:val="0"/>
          <w:marBottom w:val="101"/>
          <w:divBdr>
            <w:top w:val="none" w:sz="0" w:space="0" w:color="auto"/>
            <w:left w:val="none" w:sz="0" w:space="0" w:color="auto"/>
            <w:bottom w:val="none" w:sz="0" w:space="0" w:color="auto"/>
            <w:right w:val="none" w:sz="0" w:space="0" w:color="auto"/>
          </w:divBdr>
        </w:div>
        <w:div w:id="1653488438">
          <w:marLeft w:val="0"/>
          <w:marRight w:val="0"/>
          <w:marTop w:val="101"/>
          <w:marBottom w:val="101"/>
          <w:divBdr>
            <w:top w:val="none" w:sz="0" w:space="0" w:color="auto"/>
            <w:left w:val="none" w:sz="0" w:space="0" w:color="auto"/>
            <w:bottom w:val="none" w:sz="0" w:space="0" w:color="auto"/>
            <w:right w:val="none" w:sz="0" w:space="0" w:color="auto"/>
          </w:divBdr>
        </w:div>
        <w:div w:id="626549133">
          <w:marLeft w:val="0"/>
          <w:marRight w:val="0"/>
          <w:marTop w:val="0"/>
          <w:marBottom w:val="101"/>
          <w:divBdr>
            <w:top w:val="none" w:sz="0" w:space="0" w:color="auto"/>
            <w:left w:val="none" w:sz="0" w:space="0" w:color="auto"/>
            <w:bottom w:val="none" w:sz="0" w:space="0" w:color="auto"/>
            <w:right w:val="none" w:sz="0" w:space="0" w:color="auto"/>
          </w:divBdr>
        </w:div>
        <w:div w:id="297564691">
          <w:marLeft w:val="0"/>
          <w:marRight w:val="0"/>
          <w:marTop w:val="0"/>
          <w:marBottom w:val="101"/>
          <w:divBdr>
            <w:top w:val="none" w:sz="0" w:space="0" w:color="auto"/>
            <w:left w:val="none" w:sz="0" w:space="0" w:color="auto"/>
            <w:bottom w:val="none" w:sz="0" w:space="0" w:color="auto"/>
            <w:right w:val="none" w:sz="0" w:space="0" w:color="auto"/>
          </w:divBdr>
        </w:div>
        <w:div w:id="1686789512">
          <w:marLeft w:val="0"/>
          <w:marRight w:val="0"/>
          <w:marTop w:val="0"/>
          <w:marBottom w:val="101"/>
          <w:divBdr>
            <w:top w:val="none" w:sz="0" w:space="0" w:color="auto"/>
            <w:left w:val="none" w:sz="0" w:space="0" w:color="auto"/>
            <w:bottom w:val="none" w:sz="0" w:space="0" w:color="auto"/>
            <w:right w:val="none" w:sz="0" w:space="0" w:color="auto"/>
          </w:divBdr>
        </w:div>
        <w:div w:id="1518882515">
          <w:marLeft w:val="0"/>
          <w:marRight w:val="0"/>
          <w:marTop w:val="0"/>
          <w:marBottom w:val="101"/>
          <w:divBdr>
            <w:top w:val="none" w:sz="0" w:space="0" w:color="auto"/>
            <w:left w:val="none" w:sz="0" w:space="0" w:color="auto"/>
            <w:bottom w:val="none" w:sz="0" w:space="0" w:color="auto"/>
            <w:right w:val="none" w:sz="0" w:space="0" w:color="auto"/>
          </w:divBdr>
        </w:div>
        <w:div w:id="608968620">
          <w:marLeft w:val="0"/>
          <w:marRight w:val="0"/>
          <w:marTop w:val="101"/>
          <w:marBottom w:val="101"/>
          <w:divBdr>
            <w:top w:val="none" w:sz="0" w:space="0" w:color="auto"/>
            <w:left w:val="none" w:sz="0" w:space="0" w:color="auto"/>
            <w:bottom w:val="none" w:sz="0" w:space="0" w:color="auto"/>
            <w:right w:val="none" w:sz="0" w:space="0" w:color="auto"/>
          </w:divBdr>
        </w:div>
        <w:div w:id="262341976">
          <w:marLeft w:val="0"/>
          <w:marRight w:val="0"/>
          <w:marTop w:val="0"/>
          <w:marBottom w:val="101"/>
          <w:divBdr>
            <w:top w:val="none" w:sz="0" w:space="0" w:color="auto"/>
            <w:left w:val="none" w:sz="0" w:space="0" w:color="auto"/>
            <w:bottom w:val="none" w:sz="0" w:space="0" w:color="auto"/>
            <w:right w:val="none" w:sz="0" w:space="0" w:color="auto"/>
          </w:divBdr>
        </w:div>
        <w:div w:id="379594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2017-09-26T14:52:00Z</dcterms:created>
  <dcterms:modified xsi:type="dcterms:W3CDTF">2017-09-26T14:54:00Z</dcterms:modified>
</cp:coreProperties>
</file>