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0B" w:rsidRDefault="0049730B" w:rsidP="0049730B">
      <w:pPr>
        <w:jc w:val="center"/>
        <w:rPr>
          <w:rFonts w:ascii="Verdana" w:hAnsi="Verdana"/>
          <w:b/>
          <w:bCs/>
          <w:color w:val="0070C0"/>
          <w:sz w:val="24"/>
        </w:rPr>
      </w:pPr>
      <w:r w:rsidRPr="0049730B">
        <w:rPr>
          <w:rFonts w:ascii="Verdana" w:hAnsi="Verdana"/>
          <w:b/>
          <w:bCs/>
          <w:color w:val="0070C0"/>
          <w:sz w:val="24"/>
        </w:rPr>
        <w:t>Decreto por el que se reforman, adicionan y derogan diversas disposiciones de la Constitución Política de los Estados Unidos Mexicanos,</w:t>
      </w:r>
      <w:r>
        <w:rPr>
          <w:rFonts w:ascii="Verdana" w:hAnsi="Verdana"/>
          <w:b/>
          <w:bCs/>
          <w:color w:val="0070C0"/>
          <w:sz w:val="24"/>
        </w:rPr>
        <w:t xml:space="preserve"> en materia de Guardia Nacional</w:t>
      </w:r>
    </w:p>
    <w:p w:rsidR="0049730B" w:rsidRDefault="0049730B" w:rsidP="0049730B">
      <w:pPr>
        <w:jc w:val="center"/>
        <w:rPr>
          <w:rFonts w:ascii="Verdana" w:hAnsi="Verdana"/>
          <w:b/>
          <w:bCs/>
          <w:color w:val="0070C0"/>
          <w:sz w:val="24"/>
        </w:rPr>
      </w:pPr>
      <w:r>
        <w:rPr>
          <w:rFonts w:ascii="Verdana" w:hAnsi="Verdana"/>
          <w:b/>
          <w:bCs/>
          <w:color w:val="0070C0"/>
          <w:sz w:val="24"/>
        </w:rPr>
        <w:t>(DOF del 26 de marzo de 2019)</w:t>
      </w:r>
    </w:p>
    <w:p w:rsidR="0049730B" w:rsidRPr="0049730B" w:rsidRDefault="0049730B" w:rsidP="0049730B">
      <w:pPr>
        <w:jc w:val="both"/>
        <w:rPr>
          <w:rFonts w:ascii="Verdana" w:hAnsi="Verdana"/>
          <w:bCs/>
          <w:sz w:val="20"/>
        </w:rPr>
      </w:pPr>
      <w:r w:rsidRPr="0049730B">
        <w:rPr>
          <w:rFonts w:ascii="Verdana" w:hAnsi="Verdana"/>
          <w:bCs/>
          <w:sz w:val="20"/>
        </w:rPr>
        <w:t>Al margen un sello con el Escudo Nacional, que dice: Estados Unidos Mexicanos.- Presidencia de la República.</w:t>
      </w:r>
    </w:p>
    <w:p w:rsidR="0049730B" w:rsidRPr="0049730B" w:rsidRDefault="0049730B" w:rsidP="0049730B">
      <w:pPr>
        <w:jc w:val="both"/>
        <w:rPr>
          <w:rFonts w:ascii="Verdana" w:hAnsi="Verdana"/>
          <w:bCs/>
          <w:sz w:val="20"/>
        </w:rPr>
      </w:pPr>
      <w:r w:rsidRPr="0049730B">
        <w:rPr>
          <w:rFonts w:ascii="Verdana" w:hAnsi="Verdana"/>
          <w:bCs/>
          <w:sz w:val="20"/>
        </w:rPr>
        <w:t>ANDRÉS MANUEL LÓPEZ OBRADOR, Presidente de los Estados Unidos Mexicanos, a sus habitantes sabed:</w:t>
      </w:r>
    </w:p>
    <w:p w:rsidR="0049730B" w:rsidRPr="0049730B" w:rsidRDefault="0049730B" w:rsidP="0049730B">
      <w:pPr>
        <w:jc w:val="both"/>
        <w:rPr>
          <w:rFonts w:ascii="Verdana" w:hAnsi="Verdana"/>
          <w:bCs/>
          <w:sz w:val="20"/>
        </w:rPr>
      </w:pPr>
      <w:r w:rsidRPr="0049730B">
        <w:rPr>
          <w:rFonts w:ascii="Verdana" w:hAnsi="Verdana"/>
          <w:bCs/>
          <w:sz w:val="20"/>
        </w:rPr>
        <w:t>Que el Honorable Congreso de la Unión, se ha servido dirigirme el siguiente</w:t>
      </w:r>
    </w:p>
    <w:p w:rsidR="0049730B" w:rsidRPr="0049730B" w:rsidRDefault="0049730B" w:rsidP="0049730B">
      <w:pPr>
        <w:jc w:val="both"/>
        <w:rPr>
          <w:rFonts w:ascii="Verdana" w:hAnsi="Verdana"/>
          <w:bCs/>
          <w:sz w:val="20"/>
        </w:rPr>
      </w:pPr>
      <w:r w:rsidRPr="0049730B">
        <w:rPr>
          <w:rFonts w:ascii="Verdana" w:hAnsi="Verdana"/>
          <w:bCs/>
          <w:sz w:val="20"/>
        </w:rPr>
        <w:t>DECRETO</w:t>
      </w:r>
    </w:p>
    <w:p w:rsidR="0049730B" w:rsidRPr="0049730B" w:rsidRDefault="0049730B" w:rsidP="0049730B">
      <w:pPr>
        <w:jc w:val="both"/>
        <w:rPr>
          <w:rFonts w:ascii="Verdana" w:hAnsi="Verdana"/>
          <w:bCs/>
          <w:sz w:val="20"/>
        </w:rPr>
      </w:pPr>
      <w:r w:rsidRPr="0049730B">
        <w:rPr>
          <w:rFonts w:ascii="Verdana" w:hAnsi="Verdana"/>
          <w:bCs/>
          <w:sz w:val="20"/>
        </w:rPr>
        <w:t>"EL CONGRESO GENERAL DE LOS ESTADOS UNIDOS MEXICANOS, EN USO DE LA FACULTAD QUE LE CONFIERE EL ARTÍCULO 135 DE LA CONSTITUCIÓN GENERAL DE LA REPÚBLICA Y PREVIA LA APROBACIÓN DE LA TOTALIDAD DE LAS HONORABLES LEGISLATURAS DE LOS ESTADOS Y DE LA CIUDAD DE MÉXICO, DECLARA REFORMADAS, ADICIONADAS Y DEROGADAS DIVERSAS DISPOSICIONES DE LA CONSTITUCIÓN POLÍTICA DE LOS ESTADOS UNIDOS MEXICANOS, EN MATERIA DE GUARDIA NACIONAL</w:t>
      </w:r>
    </w:p>
    <w:p w:rsidR="0049730B" w:rsidRPr="0049730B" w:rsidRDefault="0049730B" w:rsidP="0049730B">
      <w:pPr>
        <w:jc w:val="both"/>
        <w:rPr>
          <w:rFonts w:ascii="Verdana" w:hAnsi="Verdana"/>
          <w:bCs/>
          <w:sz w:val="20"/>
        </w:rPr>
      </w:pPr>
      <w:r w:rsidRPr="0049730B">
        <w:rPr>
          <w:rFonts w:ascii="Verdana" w:hAnsi="Verdana"/>
          <w:bCs/>
          <w:sz w:val="20"/>
        </w:rPr>
        <w:t>Artículo Único.- Se reforman los artículos 10; 16, párrafo quinto; 21, párrafos noveno, décimo y su inciso b); 31, fracción III; 35, fracción IV; 36, fracción II; 73, fracción XXIII; 76, fracciones IV y XI, y 89, fracción VII; se adicionan los párrafos décimo primero, décimo segundo y décimo tercero al artículo 21; y se derogan la fracción XV del artículo 73, y la fracción I del artículo 78 de la Constitución Política de los Estados Unidos Mexicanos, para quedar como sigue:</w:t>
      </w:r>
    </w:p>
    <w:p w:rsidR="0049730B" w:rsidRPr="0049730B" w:rsidRDefault="0049730B" w:rsidP="0049730B">
      <w:pPr>
        <w:jc w:val="both"/>
        <w:rPr>
          <w:rFonts w:ascii="Verdana" w:hAnsi="Verdana"/>
          <w:bCs/>
          <w:sz w:val="20"/>
        </w:rPr>
      </w:pPr>
      <w:r w:rsidRPr="0049730B">
        <w:rPr>
          <w:rFonts w:ascii="Verdana" w:hAnsi="Verdana"/>
          <w:bCs/>
          <w:sz w:val="20"/>
        </w:rPr>
        <w:t>Artículo 10. 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 lugares en que se podrá autorizar a los habitantes la portación de armas.</w:t>
      </w:r>
    </w:p>
    <w:p w:rsidR="0049730B" w:rsidRPr="0049730B" w:rsidRDefault="0049730B" w:rsidP="0049730B">
      <w:pPr>
        <w:jc w:val="both"/>
        <w:rPr>
          <w:rFonts w:ascii="Verdana" w:hAnsi="Verdana"/>
          <w:bCs/>
          <w:sz w:val="20"/>
        </w:rPr>
      </w:pPr>
      <w:r w:rsidRPr="0049730B">
        <w:rPr>
          <w:rFonts w:ascii="Verdana" w:hAnsi="Verdana"/>
          <w:bCs/>
          <w:sz w:val="20"/>
        </w:rPr>
        <w:t>Artículo 16. ...</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 xml:space="preserve">Cualquier persona puede detener al indiciado en el momento en que esté cometiendo un delito o inmediatamente después de haberlo cometido, poniéndolo sin demora a </w:t>
      </w:r>
      <w:r w:rsidRPr="0049730B">
        <w:rPr>
          <w:rFonts w:ascii="Verdana" w:hAnsi="Verdana"/>
          <w:bCs/>
          <w:sz w:val="20"/>
        </w:rPr>
        <w:lastRenderedPageBreak/>
        <w:t>disposición de la autoridad civil más cercana y ésta con la misma prontitud, a la del Ministerio Público. Existirá un registro inmediato de la detención.</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Artículo 21. ...</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 xml:space="preserve"> </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w:t>
      </w:r>
    </w:p>
    <w:p w:rsidR="0049730B" w:rsidRPr="0049730B" w:rsidRDefault="0049730B" w:rsidP="0049730B">
      <w:pPr>
        <w:jc w:val="both"/>
        <w:rPr>
          <w:rFonts w:ascii="Verdana" w:hAnsi="Verdana"/>
          <w:bCs/>
          <w:sz w:val="20"/>
        </w:rPr>
      </w:pPr>
      <w:r w:rsidRPr="0049730B">
        <w:rPr>
          <w:rFonts w:ascii="Verdana" w:hAnsi="Verdana"/>
          <w:bCs/>
          <w:sz w:val="20"/>
        </w:rPr>
        <w:t xml:space="preserve">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w:t>
      </w:r>
      <w:r w:rsidRPr="0049730B">
        <w:rPr>
          <w:rFonts w:ascii="Verdana" w:hAnsi="Verdana"/>
          <w:bCs/>
          <w:sz w:val="20"/>
        </w:rPr>
        <w:lastRenderedPageBreak/>
        <w:t>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rsidR="0049730B" w:rsidRPr="0049730B" w:rsidRDefault="0049730B" w:rsidP="0049730B">
      <w:pPr>
        <w:jc w:val="both"/>
        <w:rPr>
          <w:rFonts w:ascii="Verdana" w:hAnsi="Verdana"/>
          <w:bCs/>
          <w:sz w:val="20"/>
        </w:rPr>
      </w:pPr>
      <w:r w:rsidRPr="0049730B">
        <w:rPr>
          <w:rFonts w:ascii="Verdana" w:hAnsi="Verdana"/>
          <w:bCs/>
          <w:sz w:val="20"/>
        </w:rPr>
        <w:t>Las instituciones de seguridad pública, incluyendo la Guardia Nacional, serán de carácter civil, disciplinado y profesional. El Ministerio Público y las instituciones policiales de los tres órdenes de gobierno deberán coordinarse entre sí para cumplir los fines de la seguridad pública y conformarán el Sistema Nacional de Seguridad Pública, que estará sujeto a las siguientes bases mínimas:</w:t>
      </w:r>
    </w:p>
    <w:p w:rsidR="0049730B" w:rsidRPr="0049730B" w:rsidRDefault="0049730B" w:rsidP="0049730B">
      <w:pPr>
        <w:jc w:val="both"/>
        <w:rPr>
          <w:rFonts w:ascii="Verdana" w:hAnsi="Verdana"/>
          <w:bCs/>
          <w:sz w:val="20"/>
        </w:rPr>
      </w:pPr>
      <w:proofErr w:type="gramStart"/>
      <w:r w:rsidRPr="0049730B">
        <w:rPr>
          <w:rFonts w:ascii="Verdana" w:hAnsi="Verdana"/>
          <w:bCs/>
          <w:sz w:val="20"/>
        </w:rPr>
        <w:t>a) ...</w:t>
      </w:r>
      <w:proofErr w:type="gramEnd"/>
    </w:p>
    <w:p w:rsidR="0049730B" w:rsidRPr="0049730B" w:rsidRDefault="0049730B" w:rsidP="0049730B">
      <w:pPr>
        <w:jc w:val="both"/>
        <w:rPr>
          <w:rFonts w:ascii="Verdana" w:hAnsi="Verdana"/>
          <w:bCs/>
          <w:sz w:val="20"/>
        </w:rPr>
      </w:pPr>
      <w:r w:rsidRPr="0049730B">
        <w:rPr>
          <w:rFonts w:ascii="Verdana" w:hAnsi="Verdana"/>
          <w:bCs/>
          <w:sz w:val="20"/>
        </w:rPr>
        <w:t xml:space="preserve">b) 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w:t>
      </w:r>
      <w:proofErr w:type="spellStart"/>
      <w:r w:rsidRPr="0049730B">
        <w:rPr>
          <w:rFonts w:ascii="Verdana" w:hAnsi="Verdana"/>
          <w:bCs/>
          <w:sz w:val="20"/>
        </w:rPr>
        <w:t>criminalísticos</w:t>
      </w:r>
      <w:proofErr w:type="spellEnd"/>
      <w:r w:rsidRPr="0049730B">
        <w:rPr>
          <w:rFonts w:ascii="Verdana" w:hAnsi="Verdana"/>
          <w:bCs/>
          <w:sz w:val="20"/>
        </w:rPr>
        <w:t xml:space="preserve"> y de personal para las instituciones de seguridad pública. Ninguna persona podrá ingresar a las instituciones de seguridad pública si no ha sido debidamente certificada y registrada en el sistema.</w:t>
      </w:r>
    </w:p>
    <w:p w:rsidR="0049730B" w:rsidRPr="0049730B" w:rsidRDefault="0049730B" w:rsidP="0049730B">
      <w:pPr>
        <w:jc w:val="both"/>
        <w:rPr>
          <w:rFonts w:ascii="Verdana" w:hAnsi="Verdana"/>
          <w:bCs/>
          <w:sz w:val="20"/>
        </w:rPr>
      </w:pPr>
      <w:r w:rsidRPr="0049730B">
        <w:rPr>
          <w:rFonts w:ascii="Verdana" w:hAnsi="Verdana"/>
          <w:bCs/>
          <w:sz w:val="20"/>
        </w:rPr>
        <w:t>c) a e</w:t>
      </w:r>
      <w:proofErr w:type="gramStart"/>
      <w:r w:rsidRPr="0049730B">
        <w:rPr>
          <w:rFonts w:ascii="Verdana" w:hAnsi="Verdana"/>
          <w:bCs/>
          <w:sz w:val="20"/>
        </w:rPr>
        <w:t>) ...</w:t>
      </w:r>
      <w:proofErr w:type="gramEnd"/>
    </w:p>
    <w:p w:rsidR="0049730B" w:rsidRPr="0049730B" w:rsidRDefault="0049730B" w:rsidP="0049730B">
      <w:pPr>
        <w:jc w:val="both"/>
        <w:rPr>
          <w:rFonts w:ascii="Verdana" w:hAnsi="Verdana"/>
          <w:bCs/>
          <w:sz w:val="20"/>
        </w:rPr>
      </w:pPr>
      <w:r w:rsidRPr="0049730B">
        <w:rPr>
          <w:rFonts w:ascii="Verdana" w:hAnsi="Verdana"/>
          <w:bCs/>
          <w:sz w:val="20"/>
        </w:rPr>
        <w:t>La Federación contará con una institución policial de carácter civil denominada Guardia Nacional, cuyos fines son los señalados en el párrafo noveno de este artículo, la coordinación y colaboración con las entidades federativas y Municipios, así como la salvaguarda de los bienes y recursos de la Nación.</w:t>
      </w:r>
    </w:p>
    <w:p w:rsidR="0049730B" w:rsidRPr="0049730B" w:rsidRDefault="0049730B" w:rsidP="0049730B">
      <w:pPr>
        <w:jc w:val="both"/>
        <w:rPr>
          <w:rFonts w:ascii="Verdana" w:hAnsi="Verdana"/>
          <w:bCs/>
          <w:sz w:val="20"/>
        </w:rPr>
      </w:pPr>
      <w:r w:rsidRPr="0049730B">
        <w:rPr>
          <w:rFonts w:ascii="Verdana" w:hAnsi="Verdana"/>
          <w:bCs/>
          <w:sz w:val="20"/>
        </w:rPr>
        <w:t>La ley determinará la estructura orgánica y de dirección de la Guardia Nacional, que estará adscrita a la secretaría del ramo de seguridad pública, que formulará la Estrategia Nacional de Seguridad Pública, los respectivos programas, políticas y acciones.</w:t>
      </w:r>
      <w:r w:rsidRPr="0049730B">
        <w:rPr>
          <w:rFonts w:ascii="Verdana" w:hAnsi="Verdana"/>
          <w:bCs/>
          <w:sz w:val="20"/>
        </w:rPr>
        <w:cr/>
      </w:r>
    </w:p>
    <w:p w:rsidR="0049730B" w:rsidRPr="0049730B" w:rsidRDefault="0049730B" w:rsidP="0049730B">
      <w:pPr>
        <w:jc w:val="both"/>
        <w:rPr>
          <w:rFonts w:ascii="Verdana" w:hAnsi="Verdana"/>
          <w:bCs/>
          <w:sz w:val="20"/>
        </w:rPr>
      </w:pPr>
      <w:r w:rsidRPr="0049730B">
        <w:rPr>
          <w:rFonts w:ascii="Verdana" w:hAnsi="Verdana"/>
          <w:bCs/>
          <w:sz w:val="20"/>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género.</w:t>
      </w:r>
    </w:p>
    <w:p w:rsidR="0049730B" w:rsidRPr="0049730B" w:rsidRDefault="0049730B" w:rsidP="0049730B">
      <w:pPr>
        <w:jc w:val="both"/>
        <w:rPr>
          <w:rFonts w:ascii="Verdana" w:hAnsi="Verdana"/>
          <w:bCs/>
          <w:sz w:val="20"/>
        </w:rPr>
      </w:pPr>
      <w:r w:rsidRPr="0049730B">
        <w:rPr>
          <w:rFonts w:ascii="Verdana" w:hAnsi="Verdana"/>
          <w:bCs/>
          <w:sz w:val="20"/>
        </w:rPr>
        <w:t>Artículo 31. ...</w:t>
      </w:r>
    </w:p>
    <w:p w:rsidR="0049730B" w:rsidRPr="0049730B" w:rsidRDefault="0049730B" w:rsidP="0049730B">
      <w:pPr>
        <w:jc w:val="both"/>
        <w:rPr>
          <w:rFonts w:ascii="Verdana" w:hAnsi="Verdana"/>
          <w:bCs/>
          <w:sz w:val="20"/>
        </w:rPr>
      </w:pPr>
      <w:r w:rsidRPr="0049730B">
        <w:rPr>
          <w:rFonts w:ascii="Verdana" w:hAnsi="Verdana"/>
          <w:bCs/>
          <w:sz w:val="20"/>
        </w:rPr>
        <w:t>I. y II. ...</w:t>
      </w:r>
    </w:p>
    <w:p w:rsidR="0049730B" w:rsidRPr="0049730B" w:rsidRDefault="0049730B" w:rsidP="0049730B">
      <w:pPr>
        <w:jc w:val="both"/>
        <w:rPr>
          <w:rFonts w:ascii="Verdana" w:hAnsi="Verdana"/>
          <w:bCs/>
          <w:sz w:val="20"/>
        </w:rPr>
      </w:pPr>
      <w:r w:rsidRPr="0049730B">
        <w:rPr>
          <w:rFonts w:ascii="Verdana" w:hAnsi="Verdana"/>
          <w:bCs/>
          <w:sz w:val="20"/>
        </w:rPr>
        <w:t>III. Alistarse y servir en los cuerpos de reserva, conforme a la ley, para asegurar y defender la independencia, el territorio, el honor, los derechos e intereses de la Patria, y</w:t>
      </w:r>
    </w:p>
    <w:p w:rsidR="0049730B" w:rsidRPr="0049730B" w:rsidRDefault="0049730B" w:rsidP="0049730B">
      <w:pPr>
        <w:jc w:val="both"/>
        <w:rPr>
          <w:rFonts w:ascii="Verdana" w:hAnsi="Verdana"/>
          <w:bCs/>
          <w:sz w:val="20"/>
        </w:rPr>
      </w:pPr>
      <w:r w:rsidRPr="0049730B">
        <w:rPr>
          <w:rFonts w:ascii="Verdana" w:hAnsi="Verdana"/>
          <w:bCs/>
          <w:sz w:val="20"/>
        </w:rPr>
        <w:t>IV</w:t>
      </w:r>
      <w:proofErr w:type="gramStart"/>
      <w:r w:rsidRPr="0049730B">
        <w:rPr>
          <w:rFonts w:ascii="Verdana" w:hAnsi="Verdana"/>
          <w:bCs/>
          <w:sz w:val="20"/>
        </w:rPr>
        <w:t>. ...</w:t>
      </w:r>
      <w:proofErr w:type="gramEnd"/>
    </w:p>
    <w:p w:rsidR="0049730B" w:rsidRPr="0049730B" w:rsidRDefault="0049730B" w:rsidP="0049730B">
      <w:pPr>
        <w:jc w:val="both"/>
        <w:rPr>
          <w:rFonts w:ascii="Verdana" w:hAnsi="Verdana"/>
          <w:bCs/>
          <w:sz w:val="20"/>
        </w:rPr>
      </w:pPr>
      <w:r w:rsidRPr="0049730B">
        <w:rPr>
          <w:rFonts w:ascii="Verdana" w:hAnsi="Verdana"/>
          <w:bCs/>
          <w:sz w:val="20"/>
        </w:rPr>
        <w:t>Artículo 35. ...</w:t>
      </w:r>
    </w:p>
    <w:p w:rsidR="0049730B" w:rsidRPr="0049730B" w:rsidRDefault="0049730B" w:rsidP="0049730B">
      <w:pPr>
        <w:jc w:val="both"/>
        <w:rPr>
          <w:rFonts w:ascii="Verdana" w:hAnsi="Verdana"/>
          <w:bCs/>
          <w:sz w:val="20"/>
        </w:rPr>
      </w:pPr>
      <w:r w:rsidRPr="0049730B">
        <w:rPr>
          <w:rFonts w:ascii="Verdana" w:hAnsi="Verdana"/>
          <w:bCs/>
          <w:sz w:val="20"/>
        </w:rPr>
        <w:lastRenderedPageBreak/>
        <w:t>I. a III. ...</w:t>
      </w:r>
    </w:p>
    <w:p w:rsidR="0049730B" w:rsidRPr="0049730B" w:rsidRDefault="0049730B" w:rsidP="0049730B">
      <w:pPr>
        <w:jc w:val="both"/>
        <w:rPr>
          <w:rFonts w:ascii="Verdana" w:hAnsi="Verdana"/>
          <w:bCs/>
          <w:sz w:val="20"/>
        </w:rPr>
      </w:pPr>
      <w:r w:rsidRPr="0049730B">
        <w:rPr>
          <w:rFonts w:ascii="Verdana" w:hAnsi="Verdana"/>
          <w:bCs/>
          <w:sz w:val="20"/>
        </w:rPr>
        <w:t>IV. Tomar las armas en la Fuerza Armada permanente o en los cuerpos de reserva, para la defensa de la República y de sus instituciones, en los términos que prescriben las leyes;</w:t>
      </w:r>
    </w:p>
    <w:p w:rsidR="0049730B" w:rsidRPr="0049730B" w:rsidRDefault="0049730B" w:rsidP="0049730B">
      <w:pPr>
        <w:jc w:val="both"/>
        <w:rPr>
          <w:rFonts w:ascii="Verdana" w:hAnsi="Verdana"/>
          <w:bCs/>
          <w:sz w:val="20"/>
        </w:rPr>
      </w:pPr>
      <w:r w:rsidRPr="0049730B">
        <w:rPr>
          <w:rFonts w:ascii="Verdana" w:hAnsi="Verdana"/>
          <w:bCs/>
          <w:sz w:val="20"/>
        </w:rPr>
        <w:t>V. a VIII. ...</w:t>
      </w:r>
    </w:p>
    <w:p w:rsidR="0049730B" w:rsidRPr="0049730B" w:rsidRDefault="0049730B" w:rsidP="0049730B">
      <w:pPr>
        <w:jc w:val="both"/>
        <w:rPr>
          <w:rFonts w:ascii="Verdana" w:hAnsi="Verdana"/>
          <w:bCs/>
          <w:sz w:val="20"/>
        </w:rPr>
      </w:pPr>
      <w:r w:rsidRPr="0049730B">
        <w:rPr>
          <w:rFonts w:ascii="Verdana" w:hAnsi="Verdana"/>
          <w:bCs/>
          <w:sz w:val="20"/>
        </w:rPr>
        <w:t>Artículo 36. ...</w:t>
      </w:r>
    </w:p>
    <w:p w:rsidR="0049730B" w:rsidRPr="0049730B" w:rsidRDefault="0049730B" w:rsidP="0049730B">
      <w:pPr>
        <w:jc w:val="both"/>
        <w:rPr>
          <w:rFonts w:ascii="Verdana" w:hAnsi="Verdana"/>
          <w:bCs/>
          <w:sz w:val="20"/>
        </w:rPr>
      </w:pPr>
      <w:proofErr w:type="gramStart"/>
      <w:r w:rsidRPr="0049730B">
        <w:rPr>
          <w:rFonts w:ascii="Verdana" w:hAnsi="Verdana"/>
          <w:bCs/>
          <w:sz w:val="20"/>
        </w:rPr>
        <w:t>I.</w:t>
      </w:r>
      <w:proofErr w:type="gramEnd"/>
      <w:r w:rsidRPr="0049730B">
        <w:rPr>
          <w:rFonts w:ascii="Verdana" w:hAnsi="Verdana"/>
          <w:bCs/>
          <w:sz w:val="20"/>
        </w:rPr>
        <w:t xml:space="preserve"> ...</w:t>
      </w:r>
    </w:p>
    <w:p w:rsidR="0049730B" w:rsidRPr="0049730B" w:rsidRDefault="0049730B" w:rsidP="0049730B">
      <w:pPr>
        <w:jc w:val="both"/>
        <w:rPr>
          <w:rFonts w:ascii="Verdana" w:hAnsi="Verdana"/>
          <w:bCs/>
          <w:sz w:val="20"/>
        </w:rPr>
      </w:pPr>
      <w:r w:rsidRPr="0049730B">
        <w:rPr>
          <w:rFonts w:ascii="Verdana" w:hAnsi="Verdana"/>
          <w:bCs/>
          <w:sz w:val="20"/>
        </w:rPr>
        <w:t xml:space="preserve"> </w:t>
      </w:r>
    </w:p>
    <w:p w:rsidR="0049730B" w:rsidRPr="0049730B" w:rsidRDefault="0049730B" w:rsidP="0049730B">
      <w:pPr>
        <w:jc w:val="both"/>
        <w:rPr>
          <w:rFonts w:ascii="Verdana" w:hAnsi="Verdana"/>
          <w:bCs/>
          <w:sz w:val="20"/>
        </w:rPr>
      </w:pPr>
      <w:r w:rsidRPr="0049730B">
        <w:rPr>
          <w:rFonts w:ascii="Verdana" w:hAnsi="Verdana"/>
          <w:bCs/>
          <w:sz w:val="20"/>
        </w:rPr>
        <w:t>II. Formar parte de los cuerpos de reserva en términos de ley;</w:t>
      </w:r>
    </w:p>
    <w:p w:rsidR="0049730B" w:rsidRPr="0049730B" w:rsidRDefault="0049730B" w:rsidP="0049730B">
      <w:pPr>
        <w:jc w:val="both"/>
        <w:rPr>
          <w:rFonts w:ascii="Verdana" w:hAnsi="Verdana"/>
          <w:bCs/>
          <w:sz w:val="20"/>
        </w:rPr>
      </w:pPr>
      <w:r w:rsidRPr="0049730B">
        <w:rPr>
          <w:rFonts w:ascii="Verdana" w:hAnsi="Verdana"/>
          <w:bCs/>
          <w:sz w:val="20"/>
        </w:rPr>
        <w:t>III. a V</w:t>
      </w:r>
      <w:proofErr w:type="gramStart"/>
      <w:r w:rsidRPr="0049730B">
        <w:rPr>
          <w:rFonts w:ascii="Verdana" w:hAnsi="Verdana"/>
          <w:bCs/>
          <w:sz w:val="20"/>
        </w:rPr>
        <w:t>. ...</w:t>
      </w:r>
      <w:proofErr w:type="gramEnd"/>
    </w:p>
    <w:p w:rsidR="0049730B" w:rsidRPr="0049730B" w:rsidRDefault="0049730B" w:rsidP="0049730B">
      <w:pPr>
        <w:jc w:val="both"/>
        <w:rPr>
          <w:rFonts w:ascii="Verdana" w:hAnsi="Verdana"/>
          <w:bCs/>
          <w:sz w:val="20"/>
        </w:rPr>
      </w:pPr>
      <w:r w:rsidRPr="0049730B">
        <w:rPr>
          <w:rFonts w:ascii="Verdana" w:hAnsi="Verdana"/>
          <w:bCs/>
          <w:sz w:val="20"/>
        </w:rPr>
        <w:t>Artículo 73. ...</w:t>
      </w:r>
    </w:p>
    <w:p w:rsidR="0049730B" w:rsidRPr="0049730B" w:rsidRDefault="0049730B" w:rsidP="0049730B">
      <w:pPr>
        <w:jc w:val="both"/>
        <w:rPr>
          <w:rFonts w:ascii="Verdana" w:hAnsi="Verdana"/>
          <w:bCs/>
          <w:sz w:val="20"/>
        </w:rPr>
      </w:pPr>
      <w:r w:rsidRPr="0049730B">
        <w:rPr>
          <w:rFonts w:ascii="Verdana" w:hAnsi="Verdana"/>
          <w:bCs/>
          <w:sz w:val="20"/>
        </w:rPr>
        <w:t>I. a XIV. ...</w:t>
      </w:r>
    </w:p>
    <w:p w:rsidR="0049730B" w:rsidRPr="0049730B" w:rsidRDefault="0049730B" w:rsidP="0049730B">
      <w:pPr>
        <w:jc w:val="both"/>
        <w:rPr>
          <w:rFonts w:ascii="Verdana" w:hAnsi="Verdana"/>
          <w:bCs/>
          <w:sz w:val="20"/>
        </w:rPr>
      </w:pPr>
      <w:r w:rsidRPr="0049730B">
        <w:rPr>
          <w:rFonts w:ascii="Verdana" w:hAnsi="Verdana"/>
          <w:bCs/>
          <w:sz w:val="20"/>
        </w:rPr>
        <w:t>XV. Derogada.</w:t>
      </w:r>
    </w:p>
    <w:p w:rsidR="0049730B" w:rsidRPr="0049730B" w:rsidRDefault="0049730B" w:rsidP="0049730B">
      <w:pPr>
        <w:jc w:val="both"/>
        <w:rPr>
          <w:rFonts w:ascii="Verdana" w:hAnsi="Verdana"/>
          <w:bCs/>
          <w:sz w:val="20"/>
        </w:rPr>
      </w:pPr>
      <w:r w:rsidRPr="0049730B">
        <w:rPr>
          <w:rFonts w:ascii="Verdana" w:hAnsi="Verdana"/>
          <w:bCs/>
          <w:sz w:val="20"/>
        </w:rPr>
        <w:t>XVI. a XXII. ...</w:t>
      </w:r>
    </w:p>
    <w:p w:rsidR="0049730B" w:rsidRPr="0049730B" w:rsidRDefault="0049730B" w:rsidP="0049730B">
      <w:pPr>
        <w:jc w:val="both"/>
        <w:rPr>
          <w:rFonts w:ascii="Verdana" w:hAnsi="Verdana"/>
          <w:bCs/>
          <w:sz w:val="20"/>
        </w:rPr>
      </w:pPr>
      <w:r w:rsidRPr="0049730B">
        <w:rPr>
          <w:rFonts w:ascii="Verdana" w:hAnsi="Verdana"/>
          <w:bCs/>
          <w:sz w:val="20"/>
        </w:rPr>
        <w:t>XXIII. 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rsidR="0049730B" w:rsidRPr="0049730B" w:rsidRDefault="0049730B" w:rsidP="0049730B">
      <w:pPr>
        <w:jc w:val="both"/>
        <w:rPr>
          <w:rFonts w:ascii="Verdana" w:hAnsi="Verdana"/>
          <w:bCs/>
          <w:sz w:val="20"/>
        </w:rPr>
      </w:pPr>
      <w:r w:rsidRPr="0049730B">
        <w:rPr>
          <w:rFonts w:ascii="Verdana" w:hAnsi="Verdana"/>
          <w:bCs/>
          <w:sz w:val="20"/>
        </w:rPr>
        <w:t>XXIV. a XXXI. ...</w:t>
      </w:r>
    </w:p>
    <w:p w:rsidR="0049730B" w:rsidRPr="0049730B" w:rsidRDefault="0049730B" w:rsidP="0049730B">
      <w:pPr>
        <w:jc w:val="both"/>
        <w:rPr>
          <w:rFonts w:ascii="Verdana" w:hAnsi="Verdana"/>
          <w:bCs/>
          <w:sz w:val="20"/>
        </w:rPr>
      </w:pPr>
      <w:r w:rsidRPr="0049730B">
        <w:rPr>
          <w:rFonts w:ascii="Verdana" w:hAnsi="Verdana"/>
          <w:bCs/>
          <w:sz w:val="20"/>
        </w:rPr>
        <w:t>Artículo 76. ...</w:t>
      </w:r>
    </w:p>
    <w:p w:rsidR="0049730B" w:rsidRPr="0049730B" w:rsidRDefault="0049730B" w:rsidP="0049730B">
      <w:pPr>
        <w:jc w:val="both"/>
        <w:rPr>
          <w:rFonts w:ascii="Verdana" w:hAnsi="Verdana"/>
          <w:bCs/>
          <w:sz w:val="20"/>
        </w:rPr>
      </w:pPr>
      <w:r w:rsidRPr="0049730B">
        <w:rPr>
          <w:rFonts w:ascii="Verdana" w:hAnsi="Verdana"/>
          <w:bCs/>
          <w:sz w:val="20"/>
        </w:rPr>
        <w:t>I. a III. ...</w:t>
      </w:r>
    </w:p>
    <w:p w:rsidR="0049730B" w:rsidRPr="0049730B" w:rsidRDefault="0049730B" w:rsidP="0049730B">
      <w:pPr>
        <w:jc w:val="both"/>
        <w:rPr>
          <w:rFonts w:ascii="Verdana" w:hAnsi="Verdana"/>
          <w:bCs/>
          <w:sz w:val="20"/>
        </w:rPr>
      </w:pPr>
      <w:r w:rsidRPr="0049730B">
        <w:rPr>
          <w:rFonts w:ascii="Verdana" w:hAnsi="Verdana"/>
          <w:bCs/>
          <w:sz w:val="20"/>
        </w:rPr>
        <w:t>IV. Analizar y aprobar el informe anual que el Ejecutivo Federal le presente sobre las actividades de la Guardia Nacional;</w:t>
      </w:r>
    </w:p>
    <w:p w:rsidR="0049730B" w:rsidRPr="0049730B" w:rsidRDefault="0049730B" w:rsidP="0049730B">
      <w:pPr>
        <w:jc w:val="both"/>
        <w:rPr>
          <w:rFonts w:ascii="Verdana" w:hAnsi="Verdana"/>
          <w:bCs/>
          <w:sz w:val="20"/>
        </w:rPr>
      </w:pPr>
      <w:r w:rsidRPr="0049730B">
        <w:rPr>
          <w:rFonts w:ascii="Verdana" w:hAnsi="Verdana"/>
          <w:bCs/>
          <w:sz w:val="20"/>
        </w:rPr>
        <w:t>V. a X</w:t>
      </w:r>
      <w:proofErr w:type="gramStart"/>
      <w:r w:rsidRPr="0049730B">
        <w:rPr>
          <w:rFonts w:ascii="Verdana" w:hAnsi="Verdana"/>
          <w:bCs/>
          <w:sz w:val="20"/>
        </w:rPr>
        <w:t>. ...</w:t>
      </w:r>
      <w:proofErr w:type="gramEnd"/>
    </w:p>
    <w:p w:rsidR="0049730B" w:rsidRPr="0049730B" w:rsidRDefault="0049730B" w:rsidP="0049730B">
      <w:pPr>
        <w:jc w:val="both"/>
        <w:rPr>
          <w:rFonts w:ascii="Verdana" w:hAnsi="Verdana"/>
          <w:bCs/>
          <w:sz w:val="20"/>
        </w:rPr>
      </w:pPr>
      <w:r w:rsidRPr="0049730B">
        <w:rPr>
          <w:rFonts w:ascii="Verdana" w:hAnsi="Verdana"/>
          <w:bCs/>
          <w:sz w:val="20"/>
        </w:rPr>
        <w:t>XI. Analizar y aprobar la Estrategia Nacional de Seguridad Pública, en el plazo que disponga la ley, previa comparecencia del titular de la secretaría del ramo. En caso de que el Senado no se pronuncie en dicho plazo, ésta se entenderá aprobada;</w:t>
      </w:r>
    </w:p>
    <w:p w:rsidR="0049730B" w:rsidRPr="0049730B" w:rsidRDefault="0049730B" w:rsidP="0049730B">
      <w:pPr>
        <w:jc w:val="both"/>
        <w:rPr>
          <w:rFonts w:ascii="Verdana" w:hAnsi="Verdana"/>
          <w:bCs/>
          <w:sz w:val="20"/>
        </w:rPr>
      </w:pPr>
      <w:r w:rsidRPr="0049730B">
        <w:rPr>
          <w:rFonts w:ascii="Verdana" w:hAnsi="Verdana"/>
          <w:bCs/>
          <w:sz w:val="20"/>
        </w:rPr>
        <w:t>XII. a XIV. ...</w:t>
      </w:r>
    </w:p>
    <w:p w:rsidR="0049730B" w:rsidRPr="0049730B" w:rsidRDefault="0049730B" w:rsidP="0049730B">
      <w:pPr>
        <w:jc w:val="both"/>
        <w:rPr>
          <w:rFonts w:ascii="Verdana" w:hAnsi="Verdana"/>
          <w:bCs/>
          <w:sz w:val="20"/>
        </w:rPr>
      </w:pPr>
      <w:r w:rsidRPr="0049730B">
        <w:rPr>
          <w:rFonts w:ascii="Verdana" w:hAnsi="Verdana"/>
          <w:bCs/>
          <w:sz w:val="20"/>
        </w:rPr>
        <w:t>Artículo 78. ...</w:t>
      </w:r>
    </w:p>
    <w:p w:rsidR="0049730B" w:rsidRPr="0049730B" w:rsidRDefault="0049730B" w:rsidP="0049730B">
      <w:pPr>
        <w:jc w:val="both"/>
        <w:rPr>
          <w:rFonts w:ascii="Verdana" w:hAnsi="Verdana"/>
          <w:bCs/>
          <w:sz w:val="20"/>
        </w:rPr>
      </w:pPr>
      <w:r w:rsidRPr="0049730B">
        <w:rPr>
          <w:rFonts w:ascii="Verdana" w:hAnsi="Verdana"/>
          <w:bCs/>
          <w:sz w:val="20"/>
        </w:rPr>
        <w:lastRenderedPageBreak/>
        <w:t>...</w:t>
      </w:r>
    </w:p>
    <w:p w:rsidR="0049730B" w:rsidRPr="0049730B" w:rsidRDefault="0049730B" w:rsidP="0049730B">
      <w:pPr>
        <w:jc w:val="both"/>
        <w:rPr>
          <w:rFonts w:ascii="Verdana" w:hAnsi="Verdana"/>
          <w:bCs/>
          <w:sz w:val="20"/>
        </w:rPr>
      </w:pPr>
      <w:r w:rsidRPr="0049730B">
        <w:rPr>
          <w:rFonts w:ascii="Verdana" w:hAnsi="Verdana"/>
          <w:bCs/>
          <w:sz w:val="20"/>
        </w:rPr>
        <w:t>I. Derogada.</w:t>
      </w:r>
    </w:p>
    <w:p w:rsidR="0049730B" w:rsidRPr="0049730B" w:rsidRDefault="0049730B" w:rsidP="0049730B">
      <w:pPr>
        <w:jc w:val="both"/>
        <w:rPr>
          <w:rFonts w:ascii="Verdana" w:hAnsi="Verdana"/>
          <w:bCs/>
          <w:sz w:val="20"/>
        </w:rPr>
      </w:pPr>
      <w:r w:rsidRPr="0049730B">
        <w:rPr>
          <w:rFonts w:ascii="Verdana" w:hAnsi="Verdana"/>
          <w:bCs/>
          <w:sz w:val="20"/>
        </w:rPr>
        <w:t>II. a VIII. ...</w:t>
      </w:r>
    </w:p>
    <w:p w:rsidR="0049730B" w:rsidRPr="0049730B" w:rsidRDefault="0049730B" w:rsidP="0049730B">
      <w:pPr>
        <w:jc w:val="both"/>
        <w:rPr>
          <w:rFonts w:ascii="Verdana" w:hAnsi="Verdana"/>
          <w:bCs/>
          <w:sz w:val="20"/>
        </w:rPr>
      </w:pPr>
      <w:r w:rsidRPr="0049730B">
        <w:rPr>
          <w:rFonts w:ascii="Verdana" w:hAnsi="Verdana"/>
          <w:bCs/>
          <w:sz w:val="20"/>
        </w:rPr>
        <w:t>Artículo 89. ...</w:t>
      </w:r>
    </w:p>
    <w:p w:rsidR="0049730B" w:rsidRPr="0049730B" w:rsidRDefault="0049730B" w:rsidP="0049730B">
      <w:pPr>
        <w:jc w:val="both"/>
        <w:rPr>
          <w:rFonts w:ascii="Verdana" w:hAnsi="Verdana"/>
          <w:bCs/>
          <w:sz w:val="20"/>
        </w:rPr>
      </w:pPr>
      <w:r w:rsidRPr="0049730B">
        <w:rPr>
          <w:rFonts w:ascii="Verdana" w:hAnsi="Verdana"/>
          <w:bCs/>
          <w:sz w:val="20"/>
        </w:rPr>
        <w:t>I. a VI. ...</w:t>
      </w:r>
    </w:p>
    <w:p w:rsidR="0049730B" w:rsidRPr="0049730B" w:rsidRDefault="0049730B" w:rsidP="0049730B">
      <w:pPr>
        <w:jc w:val="both"/>
        <w:rPr>
          <w:rFonts w:ascii="Verdana" w:hAnsi="Verdana"/>
          <w:bCs/>
          <w:sz w:val="20"/>
        </w:rPr>
      </w:pPr>
      <w:r w:rsidRPr="0049730B">
        <w:rPr>
          <w:rFonts w:ascii="Verdana" w:hAnsi="Verdana"/>
          <w:bCs/>
          <w:sz w:val="20"/>
        </w:rPr>
        <w:t>VII. Disponer de la Guardia Nacional en los términos que señale la ley;</w:t>
      </w:r>
    </w:p>
    <w:p w:rsidR="0049730B" w:rsidRPr="0049730B" w:rsidRDefault="0049730B" w:rsidP="0049730B">
      <w:pPr>
        <w:jc w:val="both"/>
        <w:rPr>
          <w:rFonts w:ascii="Verdana" w:hAnsi="Verdana"/>
          <w:bCs/>
          <w:sz w:val="20"/>
        </w:rPr>
      </w:pPr>
      <w:r w:rsidRPr="0049730B">
        <w:rPr>
          <w:rFonts w:ascii="Verdana" w:hAnsi="Verdana"/>
          <w:bCs/>
          <w:sz w:val="20"/>
        </w:rPr>
        <w:t>VIII. a XX. ...</w:t>
      </w:r>
    </w:p>
    <w:p w:rsidR="0049730B" w:rsidRPr="0049730B" w:rsidRDefault="0049730B" w:rsidP="0049730B">
      <w:pPr>
        <w:jc w:val="both"/>
        <w:rPr>
          <w:rFonts w:ascii="Verdana" w:hAnsi="Verdana"/>
          <w:bCs/>
          <w:sz w:val="20"/>
        </w:rPr>
      </w:pPr>
      <w:r w:rsidRPr="0049730B">
        <w:rPr>
          <w:rFonts w:ascii="Verdana" w:hAnsi="Verdana"/>
          <w:bCs/>
          <w:sz w:val="20"/>
        </w:rPr>
        <w:t>Transitorios</w:t>
      </w:r>
    </w:p>
    <w:p w:rsidR="0049730B" w:rsidRPr="0049730B" w:rsidRDefault="0049730B" w:rsidP="0049730B">
      <w:pPr>
        <w:jc w:val="both"/>
        <w:rPr>
          <w:rFonts w:ascii="Verdana" w:hAnsi="Verdana"/>
          <w:bCs/>
          <w:sz w:val="20"/>
        </w:rPr>
      </w:pPr>
      <w:r w:rsidRPr="0049730B">
        <w:rPr>
          <w:rFonts w:ascii="Verdana" w:hAnsi="Verdana"/>
          <w:bCs/>
          <w:sz w:val="20"/>
        </w:rPr>
        <w:t>Primero. El presente Decreto entrará en vigor al día siguiente de su publicación en el Diario Oficial de la Federación.</w:t>
      </w:r>
    </w:p>
    <w:p w:rsidR="0049730B" w:rsidRPr="0049730B" w:rsidRDefault="0049730B" w:rsidP="0049730B">
      <w:pPr>
        <w:jc w:val="both"/>
        <w:rPr>
          <w:rFonts w:ascii="Verdana" w:hAnsi="Verdana"/>
          <w:bCs/>
          <w:sz w:val="20"/>
        </w:rPr>
      </w:pPr>
      <w:r w:rsidRPr="0049730B">
        <w:rPr>
          <w:rFonts w:ascii="Verdana" w:hAnsi="Verdana"/>
          <w:bCs/>
          <w:sz w:val="20"/>
        </w:rPr>
        <w:t>El Congreso de la Unión dentro de los 60 días naturales siguientes a la entrada en vigor de este Decreto, expedirá la Ley de la Guardia Nacional y hará las adecuaciones legales conducentes.</w:t>
      </w:r>
    </w:p>
    <w:p w:rsidR="0049730B" w:rsidRPr="0049730B" w:rsidRDefault="0049730B" w:rsidP="0049730B">
      <w:pPr>
        <w:jc w:val="both"/>
        <w:rPr>
          <w:rFonts w:ascii="Verdana" w:hAnsi="Verdana"/>
          <w:bCs/>
          <w:sz w:val="20"/>
        </w:rPr>
      </w:pPr>
      <w:r w:rsidRPr="0049730B">
        <w:rPr>
          <w:rFonts w:ascii="Verdana" w:hAnsi="Verdana"/>
          <w:bCs/>
          <w:sz w:val="20"/>
        </w:rPr>
        <w:t>Asimismo, expedirá las leyes nacionales que reglamenten el uso de la fuerza y del registro de detenciones dentro de los 90 días naturales siguientes a la entrada en vigor de este Decreto.</w:t>
      </w:r>
    </w:p>
    <w:p w:rsidR="0049730B" w:rsidRPr="0049730B" w:rsidRDefault="0049730B" w:rsidP="0049730B">
      <w:pPr>
        <w:jc w:val="both"/>
        <w:rPr>
          <w:rFonts w:ascii="Verdana" w:hAnsi="Verdana"/>
          <w:bCs/>
          <w:sz w:val="20"/>
        </w:rPr>
      </w:pPr>
      <w:r w:rsidRPr="0049730B">
        <w:rPr>
          <w:rFonts w:ascii="Verdana" w:hAnsi="Verdana"/>
          <w:bCs/>
          <w:sz w:val="20"/>
        </w:rPr>
        <w:t>Segundo. La Guardia Nacional se constituirá a la entrada en vigor del presente Decreto con los elementos de la Policía Federal, la Policía Militar y la Policía Naval que determine en acuerdos de 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rsidR="0049730B" w:rsidRPr="0049730B" w:rsidRDefault="0049730B" w:rsidP="0049730B">
      <w:pPr>
        <w:jc w:val="both"/>
        <w:rPr>
          <w:rFonts w:ascii="Verdana" w:hAnsi="Verdana"/>
          <w:bCs/>
          <w:sz w:val="20"/>
        </w:rPr>
      </w:pPr>
      <w:r w:rsidRPr="0049730B">
        <w:rPr>
          <w:rFonts w:ascii="Verdana" w:hAnsi="Verdana"/>
          <w:bCs/>
          <w:sz w:val="20"/>
        </w:rPr>
        <w:t>Tercero. Los elementos de las policías Militar y Naval, así como otros elementos de mando y servicios de apoyo de la Fuerza Armada permanente, que sean asignados a la Guardia Nacional, conservarán su rango y prestaciones; la ley garantizará que cuando un elemento sea reasignado a su cuerpo de origen, ello se realice respetando los derechos con que contaba al momento de ser asignado a aquélla, así como el reconocimiento del tiempo de servicio en la misma, para efectos de su antigüedad. Lo anterior será aplicable, en lo conducente, a los elementos de la Policía Federal que sean adscritos a la Guardia Nacional.</w:t>
      </w:r>
    </w:p>
    <w:p w:rsidR="0049730B" w:rsidRPr="0049730B" w:rsidRDefault="0049730B" w:rsidP="0049730B">
      <w:pPr>
        <w:jc w:val="both"/>
        <w:rPr>
          <w:rFonts w:ascii="Verdana" w:hAnsi="Verdana"/>
          <w:bCs/>
          <w:sz w:val="20"/>
        </w:rPr>
      </w:pPr>
      <w:r w:rsidRPr="0049730B">
        <w:rPr>
          <w:rFonts w:ascii="Verdana" w:hAnsi="Verdana"/>
          <w:bCs/>
          <w:sz w:val="20"/>
        </w:rPr>
        <w:lastRenderedPageBreak/>
        <w:t>Cuarto. Al expedir las leyes a que se refiere la fracción XXIII del artículo 73 de esta Constitución, el Congreso de la Unión estará a lo siguiente:</w:t>
      </w:r>
    </w:p>
    <w:p w:rsidR="0049730B" w:rsidRPr="0049730B" w:rsidRDefault="0049730B" w:rsidP="0049730B">
      <w:pPr>
        <w:jc w:val="both"/>
        <w:rPr>
          <w:rFonts w:ascii="Verdana" w:hAnsi="Verdana"/>
          <w:bCs/>
          <w:sz w:val="20"/>
        </w:rPr>
      </w:pPr>
      <w:r w:rsidRPr="0049730B">
        <w:rPr>
          <w:rFonts w:ascii="Verdana" w:hAnsi="Verdana"/>
          <w:bCs/>
          <w:sz w:val="20"/>
        </w:rPr>
        <w:t>I. Las reformas a la Ley General del Sistema Nacional de Seguridad Pública deberán contemplar, al menos, los siguientes elementos:</w:t>
      </w:r>
    </w:p>
    <w:p w:rsidR="0049730B" w:rsidRPr="0049730B" w:rsidRDefault="0049730B" w:rsidP="0049730B">
      <w:pPr>
        <w:jc w:val="both"/>
        <w:rPr>
          <w:rFonts w:ascii="Verdana" w:hAnsi="Verdana"/>
          <w:bCs/>
          <w:sz w:val="20"/>
        </w:rPr>
      </w:pPr>
      <w:r w:rsidRPr="0049730B">
        <w:rPr>
          <w:rFonts w:ascii="Verdana" w:hAnsi="Verdana"/>
          <w:bCs/>
          <w:sz w:val="20"/>
        </w:rPr>
        <w:t>1.     La normativa sobre la formación y actuación de las instituciones de policía encargadas de la seguridad pública en términos de la doctrina policial civil establecida en el artículo 21 de esta Constitución, y</w:t>
      </w:r>
    </w:p>
    <w:p w:rsidR="0049730B" w:rsidRPr="0049730B" w:rsidRDefault="0049730B" w:rsidP="0049730B">
      <w:pPr>
        <w:jc w:val="both"/>
        <w:rPr>
          <w:rFonts w:ascii="Verdana" w:hAnsi="Verdana"/>
          <w:bCs/>
          <w:sz w:val="20"/>
        </w:rPr>
      </w:pPr>
      <w:r w:rsidRPr="0049730B">
        <w:rPr>
          <w:rFonts w:ascii="Verdana" w:hAnsi="Verdana"/>
          <w:bCs/>
          <w:sz w:val="20"/>
        </w:rPr>
        <w:t>2.     La regulación del sistema nacional de información en seguridad pública a que se refiere el inciso b) del párrafo décimo del artículo 21 constitucional.</w:t>
      </w:r>
    </w:p>
    <w:p w:rsidR="0049730B" w:rsidRPr="0049730B" w:rsidRDefault="0049730B" w:rsidP="0049730B">
      <w:pPr>
        <w:jc w:val="both"/>
        <w:rPr>
          <w:rFonts w:ascii="Verdana" w:hAnsi="Verdana"/>
          <w:bCs/>
          <w:sz w:val="20"/>
        </w:rPr>
      </w:pPr>
      <w:r w:rsidRPr="0049730B">
        <w:rPr>
          <w:rFonts w:ascii="Verdana" w:hAnsi="Verdana"/>
          <w:bCs/>
          <w:sz w:val="20"/>
        </w:rPr>
        <w:t>II. La Ley de la Guardia Nacional contendrá, al menos, los siguientes elementos:</w:t>
      </w:r>
    </w:p>
    <w:p w:rsidR="0049730B" w:rsidRPr="0049730B" w:rsidRDefault="0049730B" w:rsidP="0049730B">
      <w:pPr>
        <w:jc w:val="both"/>
        <w:rPr>
          <w:rFonts w:ascii="Verdana" w:hAnsi="Verdana"/>
          <w:bCs/>
          <w:sz w:val="20"/>
        </w:rPr>
      </w:pPr>
      <w:r w:rsidRPr="0049730B">
        <w:rPr>
          <w:rFonts w:ascii="Verdana" w:hAnsi="Verdana"/>
          <w:bCs/>
          <w:sz w:val="20"/>
        </w:rPr>
        <w:t>1.     Los supuestos para la coordinación y colaboración de la Guardia Nacional con las instituciones de seguridad pública de las entidades federativas y de los Municipios;</w:t>
      </w:r>
    </w:p>
    <w:p w:rsidR="0049730B" w:rsidRPr="0049730B" w:rsidRDefault="0049730B" w:rsidP="0049730B">
      <w:pPr>
        <w:jc w:val="both"/>
        <w:rPr>
          <w:rFonts w:ascii="Verdana" w:hAnsi="Verdana"/>
          <w:bCs/>
          <w:sz w:val="20"/>
        </w:rPr>
      </w:pPr>
      <w:r w:rsidRPr="0049730B">
        <w:rPr>
          <w:rFonts w:ascii="Verdana" w:hAnsi="Verdana"/>
          <w:bCs/>
          <w:sz w:val="20"/>
        </w:rPr>
        <w:t>2.     Las reglas para determinar las aportaciones de las entidades federativas y Municipios cuando soliciten la colaboración de la Guardia Nacional para la atención de tareas de seguridad pública de competencia local;</w:t>
      </w:r>
    </w:p>
    <w:p w:rsidR="0049730B" w:rsidRPr="0049730B" w:rsidRDefault="0049730B" w:rsidP="0049730B">
      <w:pPr>
        <w:jc w:val="both"/>
        <w:rPr>
          <w:rFonts w:ascii="Verdana" w:hAnsi="Verdana"/>
          <w:bCs/>
          <w:sz w:val="20"/>
        </w:rPr>
      </w:pPr>
      <w:r w:rsidRPr="0049730B">
        <w:rPr>
          <w:rFonts w:ascii="Verdana" w:hAnsi="Verdana"/>
          <w:bCs/>
          <w:sz w:val="20"/>
        </w:rPr>
        <w:t>3.     Lo relativo a la estructura jerárquica, regímenes de disciplina que incluya faltas, delitos y sanciones a la disciplina policial, responsabilidades y servicios, ascensos, prestaciones, ingreso, educación, capacitación, profesionalización y el cumplimiento de las responsabilidades y tareas que puedan homologarse, en lo conducente a las disposiciones aplicables en el ámbito de la Fuerza Armada permanente;</w:t>
      </w:r>
    </w:p>
    <w:p w:rsidR="0049730B" w:rsidRPr="0049730B" w:rsidRDefault="0049730B" w:rsidP="0049730B">
      <w:pPr>
        <w:jc w:val="both"/>
        <w:rPr>
          <w:rFonts w:ascii="Verdana" w:hAnsi="Verdana"/>
          <w:bCs/>
          <w:sz w:val="20"/>
        </w:rPr>
      </w:pPr>
      <w:r w:rsidRPr="0049730B">
        <w:rPr>
          <w:rFonts w:ascii="Verdana" w:hAnsi="Verdana"/>
          <w:bCs/>
          <w:sz w:val="20"/>
        </w:rPr>
        <w:t>4.     Los criterios de evaluación del desempeño de sus integrantes;</w:t>
      </w:r>
    </w:p>
    <w:p w:rsidR="0049730B" w:rsidRPr="0049730B" w:rsidRDefault="0049730B" w:rsidP="0049730B">
      <w:pPr>
        <w:jc w:val="both"/>
        <w:rPr>
          <w:rFonts w:ascii="Verdana" w:hAnsi="Verdana"/>
          <w:bCs/>
          <w:sz w:val="20"/>
        </w:rPr>
      </w:pPr>
      <w:r w:rsidRPr="0049730B">
        <w:rPr>
          <w:rFonts w:ascii="Verdana" w:hAnsi="Verdana"/>
          <w:bCs/>
          <w:sz w:val="20"/>
        </w:rPr>
        <w:t>5.     La regulación sobre la disposición, posesión, portación y uso de armas de fuego, atendiendo los estándares y mejores prácticas internacionales;</w:t>
      </w:r>
    </w:p>
    <w:p w:rsidR="0049730B" w:rsidRPr="0049730B" w:rsidRDefault="0049730B" w:rsidP="0049730B">
      <w:pPr>
        <w:jc w:val="both"/>
        <w:rPr>
          <w:rFonts w:ascii="Verdana" w:hAnsi="Verdana"/>
          <w:bCs/>
          <w:sz w:val="20"/>
        </w:rPr>
      </w:pPr>
      <w:r w:rsidRPr="0049730B">
        <w:rPr>
          <w:rFonts w:ascii="Verdana" w:hAnsi="Verdana"/>
          <w:bCs/>
          <w:sz w:val="20"/>
        </w:rPr>
        <w:t>6.     Las hipótesis para la delimitación de la actuación de sus integrantes;</w:t>
      </w:r>
    </w:p>
    <w:p w:rsidR="0049730B" w:rsidRPr="0049730B" w:rsidRDefault="0049730B" w:rsidP="0049730B">
      <w:pPr>
        <w:jc w:val="both"/>
        <w:rPr>
          <w:rFonts w:ascii="Verdana" w:hAnsi="Verdana"/>
          <w:bCs/>
          <w:sz w:val="20"/>
        </w:rPr>
      </w:pPr>
      <w:r w:rsidRPr="0049730B">
        <w:rPr>
          <w:rFonts w:ascii="Verdana" w:hAnsi="Verdana"/>
          <w:bCs/>
          <w:sz w:val="20"/>
        </w:rPr>
        <w:t>7.     Los requisitos que deberán cumplir sus integrantes, conforme a las leyes aplicables, y</w:t>
      </w:r>
    </w:p>
    <w:p w:rsidR="0049730B" w:rsidRPr="0049730B" w:rsidRDefault="0049730B" w:rsidP="0049730B">
      <w:pPr>
        <w:jc w:val="both"/>
        <w:rPr>
          <w:rFonts w:ascii="Verdana" w:hAnsi="Verdana"/>
          <w:bCs/>
          <w:sz w:val="20"/>
        </w:rPr>
      </w:pPr>
      <w:r w:rsidRPr="0049730B">
        <w:rPr>
          <w:rFonts w:ascii="Verdana" w:hAnsi="Verdana"/>
          <w:bCs/>
          <w:sz w:val="20"/>
        </w:rPr>
        <w:t>8.     Los componentes mínimos del informe anual a que se refiere la fracción IV del artículo 76 de esta Constitución.</w:t>
      </w:r>
    </w:p>
    <w:p w:rsidR="0049730B" w:rsidRPr="0049730B" w:rsidRDefault="0049730B" w:rsidP="0049730B">
      <w:pPr>
        <w:jc w:val="both"/>
        <w:rPr>
          <w:rFonts w:ascii="Verdana" w:hAnsi="Verdana"/>
          <w:bCs/>
          <w:sz w:val="20"/>
        </w:rPr>
      </w:pPr>
      <w:r w:rsidRPr="0049730B">
        <w:rPr>
          <w:rFonts w:ascii="Verdana" w:hAnsi="Verdana"/>
          <w:bCs/>
          <w:sz w:val="20"/>
        </w:rPr>
        <w:t>III. La Ley Nacional sobre el Uso de la Fuerza establecerá, por lo menos, las siguientes previsiones:</w:t>
      </w:r>
    </w:p>
    <w:p w:rsidR="0049730B" w:rsidRPr="0049730B" w:rsidRDefault="0049730B" w:rsidP="0049730B">
      <w:pPr>
        <w:jc w:val="both"/>
        <w:rPr>
          <w:rFonts w:ascii="Verdana" w:hAnsi="Verdana"/>
          <w:bCs/>
          <w:sz w:val="20"/>
        </w:rPr>
      </w:pPr>
      <w:r w:rsidRPr="0049730B">
        <w:rPr>
          <w:rFonts w:ascii="Verdana" w:hAnsi="Verdana"/>
          <w:bCs/>
          <w:sz w:val="20"/>
        </w:rPr>
        <w:t>1.     La finalidad, alcance y definición del uso de la fuerza pública;</w:t>
      </w:r>
    </w:p>
    <w:p w:rsidR="0049730B" w:rsidRPr="0049730B" w:rsidRDefault="0049730B" w:rsidP="0049730B">
      <w:pPr>
        <w:jc w:val="both"/>
        <w:rPr>
          <w:rFonts w:ascii="Verdana" w:hAnsi="Verdana"/>
          <w:bCs/>
          <w:sz w:val="20"/>
        </w:rPr>
      </w:pPr>
      <w:r w:rsidRPr="0049730B">
        <w:rPr>
          <w:rFonts w:ascii="Verdana" w:hAnsi="Verdana"/>
          <w:bCs/>
          <w:sz w:val="20"/>
        </w:rPr>
        <w:t>2.     Los sujetos obligados al cumplimiento del ordenamiento y los derechos y obligaciones de los integrantes de instituciones con atribuciones para llevar a cabo el ejercicio de la fuerza pública;</w:t>
      </w:r>
    </w:p>
    <w:p w:rsidR="0049730B" w:rsidRPr="0049730B" w:rsidRDefault="0049730B" w:rsidP="0049730B">
      <w:pPr>
        <w:jc w:val="both"/>
        <w:rPr>
          <w:rFonts w:ascii="Verdana" w:hAnsi="Verdana"/>
          <w:bCs/>
          <w:sz w:val="20"/>
        </w:rPr>
      </w:pPr>
      <w:r w:rsidRPr="0049730B">
        <w:rPr>
          <w:rFonts w:ascii="Verdana" w:hAnsi="Verdana"/>
          <w:bCs/>
          <w:sz w:val="20"/>
        </w:rPr>
        <w:lastRenderedPageBreak/>
        <w:t>3.     La sujeción del uso de la fuerza a los principios de legalidad, necesidad, proporcionalidad, racionalidad y oportunidad;</w:t>
      </w:r>
    </w:p>
    <w:p w:rsidR="0049730B" w:rsidRPr="0049730B" w:rsidRDefault="0049730B" w:rsidP="0049730B">
      <w:pPr>
        <w:jc w:val="both"/>
        <w:rPr>
          <w:rFonts w:ascii="Verdana" w:hAnsi="Verdana"/>
          <w:bCs/>
          <w:sz w:val="20"/>
        </w:rPr>
      </w:pPr>
      <w:r w:rsidRPr="0049730B">
        <w:rPr>
          <w:rFonts w:ascii="Verdana" w:hAnsi="Verdana"/>
          <w:bCs/>
          <w:sz w:val="20"/>
        </w:rPr>
        <w:t>4.     La previsión del adiestramiento en medios, métodos, técnicas y tácticas del uso de la fuerza mediante el control físico, el empleo de armas incapacitantes, no letales y de armas letales;</w:t>
      </w:r>
    </w:p>
    <w:p w:rsidR="0049730B" w:rsidRPr="0049730B" w:rsidRDefault="0049730B" w:rsidP="0049730B">
      <w:pPr>
        <w:jc w:val="both"/>
        <w:rPr>
          <w:rFonts w:ascii="Verdana" w:hAnsi="Verdana"/>
          <w:bCs/>
          <w:sz w:val="20"/>
        </w:rPr>
      </w:pPr>
      <w:r w:rsidRPr="0049730B">
        <w:rPr>
          <w:rFonts w:ascii="Verdana" w:hAnsi="Verdana"/>
          <w:bCs/>
          <w:sz w:val="20"/>
        </w:rPr>
        <w:t>5.     Los niveles para el uso de la fuerza pública por los servidores públicos en el ejercicio de sus atribuciones para hacer cumplir la ley;</w:t>
      </w:r>
    </w:p>
    <w:p w:rsidR="0049730B" w:rsidRPr="0049730B" w:rsidRDefault="0049730B" w:rsidP="0049730B">
      <w:pPr>
        <w:jc w:val="both"/>
        <w:rPr>
          <w:rFonts w:ascii="Verdana" w:hAnsi="Verdana"/>
          <w:bCs/>
          <w:sz w:val="20"/>
        </w:rPr>
      </w:pPr>
      <w:r w:rsidRPr="0049730B">
        <w:rPr>
          <w:rFonts w:ascii="Verdana" w:hAnsi="Verdana"/>
          <w:bCs/>
          <w:sz w:val="20"/>
        </w:rPr>
        <w:t>6.     La distinción y regulación de las armas e instrumentos incapacitantes, no letales y letales;</w:t>
      </w:r>
    </w:p>
    <w:p w:rsidR="0049730B" w:rsidRPr="0049730B" w:rsidRDefault="0049730B" w:rsidP="0049730B">
      <w:pPr>
        <w:jc w:val="both"/>
        <w:rPr>
          <w:rFonts w:ascii="Verdana" w:hAnsi="Verdana"/>
          <w:bCs/>
          <w:sz w:val="20"/>
        </w:rPr>
      </w:pPr>
      <w:r w:rsidRPr="0049730B">
        <w:rPr>
          <w:rFonts w:ascii="Verdana" w:hAnsi="Verdana"/>
          <w:bCs/>
          <w:sz w:val="20"/>
        </w:rPr>
        <w:t>7.     Las reglas sobre la portación y uso de armas de fuego entre los integrantes de instituciones con atribuciones para llevar a cabo el ejercicio de la fuerza pública, así como sus responsabilidades y sanciones;</w:t>
      </w:r>
    </w:p>
    <w:p w:rsidR="0049730B" w:rsidRPr="0049730B" w:rsidRDefault="0049730B" w:rsidP="0049730B">
      <w:pPr>
        <w:jc w:val="both"/>
        <w:rPr>
          <w:rFonts w:ascii="Verdana" w:hAnsi="Verdana"/>
          <w:bCs/>
          <w:sz w:val="20"/>
        </w:rPr>
      </w:pPr>
      <w:r w:rsidRPr="0049730B">
        <w:rPr>
          <w:rFonts w:ascii="Verdana" w:hAnsi="Verdana"/>
          <w:bCs/>
          <w:sz w:val="20"/>
        </w:rPr>
        <w:t>8.     Las previsiones de actuación de los integrantes de instituciones con atribuciones para llevar a cabo</w:t>
      </w:r>
    </w:p>
    <w:p w:rsidR="0049730B" w:rsidRPr="0049730B" w:rsidRDefault="0049730B" w:rsidP="0049730B">
      <w:pPr>
        <w:jc w:val="both"/>
        <w:rPr>
          <w:rFonts w:ascii="Verdana" w:hAnsi="Verdana"/>
          <w:bCs/>
          <w:sz w:val="20"/>
        </w:rPr>
      </w:pPr>
      <w:proofErr w:type="gramStart"/>
      <w:r w:rsidRPr="0049730B">
        <w:rPr>
          <w:rFonts w:ascii="Verdana" w:hAnsi="Verdana"/>
          <w:bCs/>
          <w:sz w:val="20"/>
        </w:rPr>
        <w:t>el</w:t>
      </w:r>
      <w:proofErr w:type="gramEnd"/>
      <w:r w:rsidRPr="0049730B">
        <w:rPr>
          <w:rFonts w:ascii="Verdana" w:hAnsi="Verdana"/>
          <w:bCs/>
          <w:sz w:val="20"/>
        </w:rPr>
        <w:t xml:space="preserve"> ejercicio de la fuerza pública, con relación a personas detenidas, bajo su custodia o en manifestaciones públicas;</w:t>
      </w:r>
    </w:p>
    <w:p w:rsidR="0049730B" w:rsidRPr="0049730B" w:rsidRDefault="0049730B" w:rsidP="0049730B">
      <w:pPr>
        <w:jc w:val="both"/>
        <w:rPr>
          <w:rFonts w:ascii="Verdana" w:hAnsi="Verdana"/>
          <w:bCs/>
          <w:sz w:val="20"/>
        </w:rPr>
      </w:pPr>
      <w:r w:rsidRPr="0049730B">
        <w:rPr>
          <w:rFonts w:ascii="Verdana" w:hAnsi="Verdana"/>
          <w:bCs/>
          <w:sz w:val="20"/>
        </w:rPr>
        <w:t>9.     Las normas para la presentación de informes de los servidores públicos que hagan uso de armas de fuego en el desempeño de sus funciones, así como para su sistematización y archivo, y</w:t>
      </w:r>
    </w:p>
    <w:p w:rsidR="0049730B" w:rsidRPr="0049730B" w:rsidRDefault="0049730B" w:rsidP="0049730B">
      <w:pPr>
        <w:jc w:val="both"/>
        <w:rPr>
          <w:rFonts w:ascii="Verdana" w:hAnsi="Verdana"/>
          <w:bCs/>
          <w:sz w:val="20"/>
        </w:rPr>
      </w:pPr>
      <w:r w:rsidRPr="0049730B">
        <w:rPr>
          <w:rFonts w:ascii="Verdana" w:hAnsi="Verdana"/>
          <w:bCs/>
          <w:sz w:val="20"/>
        </w:rPr>
        <w:t>10.   Las reglas básicas de adiestramiento y gestión profesional del uso de la fuerza pública.</w:t>
      </w:r>
    </w:p>
    <w:p w:rsidR="0049730B" w:rsidRPr="0049730B" w:rsidRDefault="0049730B" w:rsidP="0049730B">
      <w:pPr>
        <w:jc w:val="both"/>
        <w:rPr>
          <w:rFonts w:ascii="Verdana" w:hAnsi="Verdana"/>
          <w:bCs/>
          <w:sz w:val="20"/>
        </w:rPr>
      </w:pPr>
      <w:r w:rsidRPr="0049730B">
        <w:rPr>
          <w:rFonts w:ascii="Verdana" w:hAnsi="Verdana"/>
          <w:bCs/>
          <w:sz w:val="20"/>
        </w:rPr>
        <w:t>IV. La Ley Nacional del Registro de Detenciones incorporará, al menos, las siguientes previsiones:</w:t>
      </w:r>
    </w:p>
    <w:p w:rsidR="0049730B" w:rsidRPr="0049730B" w:rsidRDefault="0049730B" w:rsidP="0049730B">
      <w:pPr>
        <w:jc w:val="both"/>
        <w:rPr>
          <w:rFonts w:ascii="Verdana" w:hAnsi="Verdana"/>
          <w:bCs/>
          <w:sz w:val="20"/>
        </w:rPr>
      </w:pPr>
      <w:r w:rsidRPr="0049730B">
        <w:rPr>
          <w:rFonts w:ascii="Verdana" w:hAnsi="Verdana"/>
          <w:bCs/>
          <w:sz w:val="20"/>
        </w:rPr>
        <w:t>1.     Las características del Registro y los principios que rigen su conformación, uso y conservación;</w:t>
      </w:r>
    </w:p>
    <w:p w:rsidR="0049730B" w:rsidRPr="0049730B" w:rsidRDefault="0049730B" w:rsidP="0049730B">
      <w:pPr>
        <w:jc w:val="both"/>
        <w:rPr>
          <w:rFonts w:ascii="Verdana" w:hAnsi="Verdana"/>
          <w:bCs/>
          <w:sz w:val="20"/>
        </w:rPr>
      </w:pPr>
      <w:r w:rsidRPr="0049730B">
        <w:rPr>
          <w:rFonts w:ascii="Verdana" w:hAnsi="Verdana"/>
          <w:bCs/>
          <w:sz w:val="20"/>
        </w:rPr>
        <w:t>2.     El momento de realizar el registro de la persona dentro del procedimiento de detención;</w:t>
      </w:r>
    </w:p>
    <w:p w:rsidR="0049730B" w:rsidRPr="0049730B" w:rsidRDefault="0049730B" w:rsidP="0049730B">
      <w:pPr>
        <w:jc w:val="both"/>
        <w:rPr>
          <w:rFonts w:ascii="Verdana" w:hAnsi="Verdana"/>
          <w:bCs/>
          <w:sz w:val="20"/>
        </w:rPr>
      </w:pPr>
      <w:r w:rsidRPr="0049730B">
        <w:rPr>
          <w:rFonts w:ascii="Verdana" w:hAnsi="Verdana"/>
          <w:bCs/>
          <w:sz w:val="20"/>
        </w:rPr>
        <w:t>3.     El tratamiento de los datos personales de la persona detenida, en términos de las leyes en la materia;</w:t>
      </w:r>
    </w:p>
    <w:p w:rsidR="0049730B" w:rsidRPr="0049730B" w:rsidRDefault="0049730B" w:rsidP="0049730B">
      <w:pPr>
        <w:jc w:val="both"/>
        <w:rPr>
          <w:rFonts w:ascii="Verdana" w:hAnsi="Verdana"/>
          <w:bCs/>
          <w:sz w:val="20"/>
        </w:rPr>
      </w:pPr>
      <w:r w:rsidRPr="0049730B">
        <w:rPr>
          <w:rFonts w:ascii="Verdana" w:hAnsi="Verdana"/>
          <w:bCs/>
          <w:sz w:val="20"/>
        </w:rPr>
        <w:t>4.     Los criterios para clasificar la información como reservada o confidencial;</w:t>
      </w:r>
    </w:p>
    <w:p w:rsidR="0049730B" w:rsidRPr="0049730B" w:rsidRDefault="0049730B" w:rsidP="0049730B">
      <w:pPr>
        <w:jc w:val="both"/>
        <w:rPr>
          <w:rFonts w:ascii="Verdana" w:hAnsi="Verdana"/>
          <w:bCs/>
          <w:sz w:val="20"/>
        </w:rPr>
      </w:pPr>
      <w:r w:rsidRPr="0049730B">
        <w:rPr>
          <w:rFonts w:ascii="Verdana" w:hAnsi="Verdana"/>
          <w:bCs/>
          <w:sz w:val="20"/>
        </w:rPr>
        <w:t>5.     Las personas autorizadas para acceder a la base de datos del Registro y los niveles de acceso;</w:t>
      </w:r>
    </w:p>
    <w:p w:rsidR="0049730B" w:rsidRPr="0049730B" w:rsidRDefault="0049730B" w:rsidP="0049730B">
      <w:pPr>
        <w:jc w:val="both"/>
        <w:rPr>
          <w:rFonts w:ascii="Verdana" w:hAnsi="Verdana"/>
          <w:bCs/>
          <w:sz w:val="20"/>
        </w:rPr>
      </w:pPr>
      <w:r w:rsidRPr="0049730B">
        <w:rPr>
          <w:rFonts w:ascii="Verdana" w:hAnsi="Verdana"/>
          <w:bCs/>
          <w:sz w:val="20"/>
        </w:rPr>
        <w:t>6.     Las atribuciones de los servidores públicos que desempeñen funciones en el Registro y sus responsabilidades en la recepción, administración y seguridad de la información, y</w:t>
      </w:r>
    </w:p>
    <w:p w:rsidR="0049730B" w:rsidRPr="0049730B" w:rsidRDefault="0049730B" w:rsidP="0049730B">
      <w:pPr>
        <w:jc w:val="both"/>
        <w:rPr>
          <w:rFonts w:ascii="Verdana" w:hAnsi="Verdana"/>
          <w:bCs/>
          <w:sz w:val="20"/>
        </w:rPr>
      </w:pPr>
      <w:r w:rsidRPr="0049730B">
        <w:rPr>
          <w:rFonts w:ascii="Verdana" w:hAnsi="Verdana"/>
          <w:bCs/>
          <w:sz w:val="20"/>
        </w:rPr>
        <w:lastRenderedPageBreak/>
        <w:t>7.     La actuación que deberá desplegar el Registro y su personal en caso de ocurrir hechos que pongan en riesgo o vulneren su base de datos.</w:t>
      </w:r>
    </w:p>
    <w:p w:rsidR="0049730B" w:rsidRPr="0049730B" w:rsidRDefault="0049730B" w:rsidP="0049730B">
      <w:pPr>
        <w:jc w:val="both"/>
        <w:rPr>
          <w:rFonts w:ascii="Verdana" w:hAnsi="Verdana"/>
          <w:bCs/>
          <w:sz w:val="20"/>
        </w:rPr>
      </w:pPr>
      <w:r w:rsidRPr="0049730B">
        <w:rPr>
          <w:rFonts w:ascii="Verdana" w:hAnsi="Verdana"/>
          <w:bCs/>
          <w:sz w:val="20"/>
        </w:rPr>
        <w:t>Quinto. Durante los cinco años siguientes a la entrada en vigor del presente Decreto, en tanto la Guardia Nacional desarrolla su estructura, capacidades e implantación territorial, el Presidente de la República podrá disponer de la Fuerza Armada permanente en tareas de seguridad pública de manera extraordinaria, regulada, fiscalizada, subordinada y complementaria.</w:t>
      </w:r>
    </w:p>
    <w:p w:rsidR="0049730B" w:rsidRPr="0049730B" w:rsidRDefault="0049730B" w:rsidP="0049730B">
      <w:pPr>
        <w:jc w:val="both"/>
        <w:rPr>
          <w:rFonts w:ascii="Verdana" w:hAnsi="Verdana"/>
          <w:bCs/>
          <w:sz w:val="20"/>
        </w:rPr>
      </w:pPr>
      <w:r w:rsidRPr="0049730B">
        <w:rPr>
          <w:rFonts w:ascii="Verdana" w:hAnsi="Verdana"/>
          <w:bCs/>
          <w:sz w:val="20"/>
        </w:rPr>
        <w:t>El Ejecutivo Federal incluirá un apartado sobre el uso de la facultad anterior en la presentación del informe a que se hace referencia en la fracción IV del artículo 76.</w:t>
      </w:r>
    </w:p>
    <w:p w:rsidR="0049730B" w:rsidRPr="0049730B" w:rsidRDefault="0049730B" w:rsidP="0049730B">
      <w:pPr>
        <w:jc w:val="both"/>
        <w:rPr>
          <w:rFonts w:ascii="Verdana" w:hAnsi="Verdana"/>
          <w:bCs/>
          <w:sz w:val="20"/>
        </w:rPr>
      </w:pPr>
      <w:r w:rsidRPr="0049730B">
        <w:rPr>
          <w:rFonts w:ascii="Verdana" w:hAnsi="Verdana"/>
          <w:bCs/>
          <w:sz w:val="20"/>
        </w:rPr>
        <w:t>Sexto. 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rsidR="0049730B" w:rsidRPr="0049730B" w:rsidRDefault="0049730B" w:rsidP="0049730B">
      <w:pPr>
        <w:jc w:val="both"/>
        <w:rPr>
          <w:rFonts w:ascii="Verdana" w:hAnsi="Verdana"/>
          <w:bCs/>
          <w:sz w:val="20"/>
        </w:rPr>
      </w:pPr>
      <w:r w:rsidRPr="0049730B">
        <w:rPr>
          <w:rFonts w:ascii="Verdana" w:hAnsi="Verdana"/>
          <w:bCs/>
          <w:sz w:val="20"/>
        </w:rPr>
        <w:t>Séptimo. Los Ejecutivos de las entidades federativas presentarán ante el Consejo Nacional de Seguridad Pública, en un plazo que no podrá exceder de 180 días a partir de la entrada en vigor del presente Decreto, el diagnóstico y el programa para el fortalecimiento del estado de fuerza y las capacidades institucionales de sus respectivos cuerpos policiales estatales y municipales.</w:t>
      </w:r>
    </w:p>
    <w:p w:rsidR="0049730B" w:rsidRPr="0049730B" w:rsidRDefault="0049730B" w:rsidP="0049730B">
      <w:pPr>
        <w:jc w:val="both"/>
        <w:rPr>
          <w:rFonts w:ascii="Verdana" w:hAnsi="Verdana"/>
          <w:bCs/>
          <w:sz w:val="20"/>
        </w:rPr>
      </w:pPr>
      <w:r w:rsidRPr="0049730B">
        <w:rPr>
          <w:rFonts w:ascii="Verdana" w:hAnsi="Verdana"/>
          <w:bCs/>
          <w:sz w:val="20"/>
        </w:rPr>
        <w:t>Para la ejecución del programa, se establecerán las previsiones necesarias en los presupuestos de Egresos de la Federación y de las entidades federativas, sobre la base de la corresponsabilidad a partir del ejercicio fiscal de 2020.</w:t>
      </w:r>
    </w:p>
    <w:p w:rsidR="0049730B" w:rsidRPr="0049730B" w:rsidRDefault="0049730B" w:rsidP="0049730B">
      <w:pPr>
        <w:jc w:val="both"/>
        <w:rPr>
          <w:rFonts w:ascii="Verdana" w:hAnsi="Verdana"/>
          <w:bCs/>
          <w:sz w:val="20"/>
        </w:rPr>
      </w:pPr>
      <w:r w:rsidRPr="0049730B">
        <w:rPr>
          <w:rFonts w:ascii="Verdana" w:hAnsi="Verdana"/>
          <w:bCs/>
          <w:sz w:val="20"/>
        </w:rP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rsidR="0049730B" w:rsidRPr="0049730B" w:rsidRDefault="0049730B" w:rsidP="0049730B">
      <w:pPr>
        <w:jc w:val="both"/>
        <w:rPr>
          <w:rFonts w:ascii="Verdana" w:hAnsi="Verdana"/>
          <w:bCs/>
          <w:sz w:val="20"/>
        </w:rPr>
      </w:pPr>
      <w:r w:rsidRPr="0049730B">
        <w:rPr>
          <w:rFonts w:ascii="Verdana" w:hAnsi="Verdana"/>
          <w:bCs/>
          <w:sz w:val="20"/>
        </w:rPr>
        <w:t xml:space="preserve">Ciudad de México, a 14 de marzo de 2019.- </w:t>
      </w:r>
      <w:proofErr w:type="spellStart"/>
      <w:r w:rsidRPr="0049730B">
        <w:rPr>
          <w:rFonts w:ascii="Verdana" w:hAnsi="Verdana"/>
          <w:bCs/>
          <w:sz w:val="20"/>
        </w:rPr>
        <w:t>Sen</w:t>
      </w:r>
      <w:proofErr w:type="spellEnd"/>
      <w:r w:rsidRPr="0049730B">
        <w:rPr>
          <w:rFonts w:ascii="Verdana" w:hAnsi="Verdana"/>
          <w:bCs/>
          <w:sz w:val="20"/>
        </w:rPr>
        <w:t xml:space="preserve">. </w:t>
      </w:r>
      <w:proofErr w:type="spellStart"/>
      <w:r w:rsidRPr="0049730B">
        <w:rPr>
          <w:rFonts w:ascii="Verdana" w:hAnsi="Verdana"/>
          <w:bCs/>
          <w:sz w:val="20"/>
        </w:rPr>
        <w:t>Marti</w:t>
      </w:r>
      <w:proofErr w:type="spellEnd"/>
      <w:r w:rsidRPr="0049730B">
        <w:rPr>
          <w:rFonts w:ascii="Verdana" w:hAnsi="Verdana"/>
          <w:bCs/>
          <w:sz w:val="20"/>
        </w:rPr>
        <w:t xml:space="preserve"> Batres Guadarrama, Presidente.- </w:t>
      </w:r>
      <w:proofErr w:type="spellStart"/>
      <w:r w:rsidRPr="0049730B">
        <w:rPr>
          <w:rFonts w:ascii="Verdana" w:hAnsi="Verdana"/>
          <w:bCs/>
          <w:sz w:val="20"/>
        </w:rPr>
        <w:t>Dip</w:t>
      </w:r>
      <w:proofErr w:type="spellEnd"/>
      <w:r w:rsidRPr="0049730B">
        <w:rPr>
          <w:rFonts w:ascii="Verdana" w:hAnsi="Verdana"/>
          <w:bCs/>
          <w:sz w:val="20"/>
        </w:rPr>
        <w:t xml:space="preserve">. Porfirio Muñoz Ledo, Presidente.- </w:t>
      </w:r>
      <w:proofErr w:type="spellStart"/>
      <w:r w:rsidRPr="0049730B">
        <w:rPr>
          <w:rFonts w:ascii="Verdana" w:hAnsi="Verdana"/>
          <w:bCs/>
          <w:sz w:val="20"/>
        </w:rPr>
        <w:t>Sen</w:t>
      </w:r>
      <w:proofErr w:type="spellEnd"/>
      <w:r w:rsidRPr="0049730B">
        <w:rPr>
          <w:rFonts w:ascii="Verdana" w:hAnsi="Verdana"/>
          <w:bCs/>
          <w:sz w:val="20"/>
        </w:rPr>
        <w:t xml:space="preserve">. Antares G. </w:t>
      </w:r>
      <w:proofErr w:type="spellStart"/>
      <w:r w:rsidRPr="0049730B">
        <w:rPr>
          <w:rFonts w:ascii="Verdana" w:hAnsi="Verdana"/>
          <w:bCs/>
          <w:sz w:val="20"/>
        </w:rPr>
        <w:t>Vazquez</w:t>
      </w:r>
      <w:proofErr w:type="spellEnd"/>
      <w:r w:rsidRPr="0049730B">
        <w:rPr>
          <w:rFonts w:ascii="Verdana" w:hAnsi="Verdana"/>
          <w:bCs/>
          <w:sz w:val="20"/>
        </w:rPr>
        <w:t xml:space="preserve"> Alatorre, Secretaria.- </w:t>
      </w:r>
      <w:proofErr w:type="spellStart"/>
      <w:r w:rsidRPr="0049730B">
        <w:rPr>
          <w:rFonts w:ascii="Verdana" w:hAnsi="Verdana"/>
          <w:bCs/>
          <w:sz w:val="20"/>
        </w:rPr>
        <w:t>Dip</w:t>
      </w:r>
      <w:proofErr w:type="spellEnd"/>
      <w:r w:rsidRPr="0049730B">
        <w:rPr>
          <w:rFonts w:ascii="Verdana" w:hAnsi="Verdana"/>
          <w:bCs/>
          <w:sz w:val="20"/>
        </w:rPr>
        <w:t>. Ma. Sara Rocha Medina, Secretaria.- Rúbricas."</w:t>
      </w:r>
    </w:p>
    <w:p w:rsidR="0049730B" w:rsidRPr="0049730B" w:rsidRDefault="0049730B" w:rsidP="0049730B">
      <w:pPr>
        <w:jc w:val="both"/>
        <w:rPr>
          <w:rFonts w:ascii="Verdana" w:hAnsi="Verdana"/>
          <w:bCs/>
          <w:sz w:val="20"/>
        </w:rPr>
      </w:pPr>
      <w:r w:rsidRPr="0049730B">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22 de marzo de 2019.- Andrés Manuel López Obrador.- Rúbrica.- La Secretaria de Gobernación, Dra. Olga María del Carmen Sánchez Cordero Dávila.- Rúbrica.</w:t>
      </w:r>
    </w:p>
    <w:p w:rsidR="0049730B" w:rsidRPr="0049730B" w:rsidRDefault="0049730B" w:rsidP="0049730B">
      <w:pPr>
        <w:jc w:val="both"/>
        <w:rPr>
          <w:rFonts w:ascii="Verdana" w:hAnsi="Verdana"/>
          <w:bCs/>
          <w:sz w:val="20"/>
        </w:rPr>
      </w:pPr>
      <w:r w:rsidRPr="0049730B">
        <w:rPr>
          <w:rFonts w:ascii="Verdana" w:hAnsi="Verdana"/>
          <w:bCs/>
          <w:sz w:val="20"/>
        </w:rPr>
        <w:lastRenderedPageBreak/>
        <w:t xml:space="preserve"> </w:t>
      </w:r>
    </w:p>
    <w:p w:rsidR="0049730B" w:rsidRPr="0049730B" w:rsidRDefault="0049730B" w:rsidP="0049730B">
      <w:pPr>
        <w:jc w:val="both"/>
        <w:rPr>
          <w:rFonts w:ascii="Verdana" w:hAnsi="Verdana"/>
          <w:bCs/>
          <w:sz w:val="20"/>
        </w:rPr>
      </w:pPr>
      <w:r w:rsidRPr="0049730B">
        <w:rPr>
          <w:rFonts w:ascii="Verdana" w:hAnsi="Verdana"/>
          <w:bCs/>
          <w:sz w:val="20"/>
        </w:rPr>
        <w:t xml:space="preserve"> </w:t>
      </w:r>
    </w:p>
    <w:p w:rsidR="0049730B" w:rsidRPr="0049730B" w:rsidRDefault="0049730B" w:rsidP="0049730B">
      <w:pPr>
        <w:jc w:val="both"/>
        <w:rPr>
          <w:rFonts w:ascii="Verdana" w:hAnsi="Verdana"/>
          <w:bCs/>
          <w:sz w:val="20"/>
        </w:rPr>
      </w:pPr>
    </w:p>
    <w:p w:rsidR="0049730B" w:rsidRPr="0049730B" w:rsidRDefault="0049730B" w:rsidP="0049730B">
      <w:pPr>
        <w:jc w:val="both"/>
        <w:rPr>
          <w:rFonts w:ascii="Verdana" w:hAnsi="Verdana"/>
          <w:bCs/>
          <w:sz w:val="20"/>
        </w:rPr>
      </w:pPr>
      <w:r w:rsidRPr="0049730B">
        <w:rPr>
          <w:rFonts w:ascii="Verdana" w:hAnsi="Verdana"/>
          <w:bCs/>
          <w:sz w:val="20"/>
        </w:rPr>
        <w:t>En el documento que usted está visualizando puede haber texto, caracteres u objetos que no se muestren debido a la conversión a formato HTML, por lo que le recomendamos tomar siempre como referencia la imagen digitalizada del DOF o el archivo PDF de la edición.</w:t>
      </w:r>
    </w:p>
    <w:p w:rsidR="0049730B" w:rsidRPr="0049730B" w:rsidRDefault="0049730B" w:rsidP="0049730B">
      <w:pPr>
        <w:jc w:val="both"/>
        <w:rPr>
          <w:rFonts w:ascii="Verdana" w:hAnsi="Verdana"/>
          <w:bCs/>
          <w:sz w:val="20"/>
        </w:rPr>
      </w:pPr>
      <w:r w:rsidRPr="0049730B">
        <w:rPr>
          <w:rFonts w:ascii="Verdana" w:hAnsi="Verdana"/>
          <w:bCs/>
          <w:sz w:val="20"/>
        </w:rPr>
        <w:t xml:space="preserve"> </w:t>
      </w:r>
    </w:p>
    <w:p w:rsidR="0049730B" w:rsidRPr="0049730B" w:rsidRDefault="0049730B" w:rsidP="0049730B">
      <w:pPr>
        <w:jc w:val="both"/>
        <w:rPr>
          <w:rFonts w:ascii="Verdana" w:hAnsi="Verdana"/>
          <w:bCs/>
          <w:sz w:val="20"/>
        </w:rPr>
      </w:pPr>
    </w:p>
    <w:p w:rsidR="0049730B" w:rsidRPr="0049730B" w:rsidRDefault="0049730B" w:rsidP="0049730B">
      <w:pPr>
        <w:jc w:val="both"/>
        <w:rPr>
          <w:rFonts w:ascii="Verdana" w:hAnsi="Verdana"/>
          <w:bCs/>
          <w:sz w:val="20"/>
        </w:rPr>
      </w:pPr>
      <w:bookmarkStart w:id="0" w:name="_GoBack"/>
      <w:bookmarkEnd w:id="0"/>
    </w:p>
    <w:p w:rsidR="00BF3AEB" w:rsidRDefault="0081248C"/>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8C" w:rsidRDefault="0081248C" w:rsidP="0049730B">
      <w:pPr>
        <w:spacing w:after="0" w:line="240" w:lineRule="auto"/>
      </w:pPr>
      <w:r>
        <w:separator/>
      </w:r>
    </w:p>
  </w:endnote>
  <w:endnote w:type="continuationSeparator" w:id="0">
    <w:p w:rsidR="0081248C" w:rsidRDefault="0081248C" w:rsidP="0049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8C" w:rsidRDefault="0081248C" w:rsidP="0049730B">
      <w:pPr>
        <w:spacing w:after="0" w:line="240" w:lineRule="auto"/>
      </w:pPr>
      <w:r>
        <w:separator/>
      </w:r>
    </w:p>
  </w:footnote>
  <w:footnote w:type="continuationSeparator" w:id="0">
    <w:p w:rsidR="0081248C" w:rsidRDefault="0081248C" w:rsidP="00497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0B"/>
    <w:rsid w:val="002228FA"/>
    <w:rsid w:val="0049730B"/>
    <w:rsid w:val="0081248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30B"/>
  </w:style>
  <w:style w:type="paragraph" w:styleId="Piedepgina">
    <w:name w:val="footer"/>
    <w:basedOn w:val="Normal"/>
    <w:link w:val="PiedepginaCar"/>
    <w:uiPriority w:val="99"/>
    <w:unhideWhenUsed/>
    <w:rsid w:val="00497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30B"/>
  </w:style>
  <w:style w:type="paragraph" w:styleId="Piedepgina">
    <w:name w:val="footer"/>
    <w:basedOn w:val="Normal"/>
    <w:link w:val="PiedepginaCar"/>
    <w:uiPriority w:val="99"/>
    <w:unhideWhenUsed/>
    <w:rsid w:val="00497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6099">
      <w:bodyDiv w:val="1"/>
      <w:marLeft w:val="0"/>
      <w:marRight w:val="0"/>
      <w:marTop w:val="0"/>
      <w:marBottom w:val="0"/>
      <w:divBdr>
        <w:top w:val="none" w:sz="0" w:space="0" w:color="auto"/>
        <w:left w:val="none" w:sz="0" w:space="0" w:color="auto"/>
        <w:bottom w:val="none" w:sz="0" w:space="0" w:color="auto"/>
        <w:right w:val="none" w:sz="0" w:space="0" w:color="auto"/>
      </w:divBdr>
    </w:div>
    <w:div w:id="1139227337">
      <w:bodyDiv w:val="1"/>
      <w:marLeft w:val="0"/>
      <w:marRight w:val="0"/>
      <w:marTop w:val="0"/>
      <w:marBottom w:val="0"/>
      <w:divBdr>
        <w:top w:val="none" w:sz="0" w:space="0" w:color="auto"/>
        <w:left w:val="none" w:sz="0" w:space="0" w:color="auto"/>
        <w:bottom w:val="none" w:sz="0" w:space="0" w:color="auto"/>
        <w:right w:val="none" w:sz="0" w:space="0" w:color="auto"/>
      </w:divBdr>
      <w:divsChild>
        <w:div w:id="511842980">
          <w:marLeft w:val="0"/>
          <w:marRight w:val="0"/>
          <w:marTop w:val="0"/>
          <w:marBottom w:val="0"/>
          <w:divBdr>
            <w:top w:val="none" w:sz="0" w:space="0" w:color="auto"/>
            <w:left w:val="none" w:sz="0" w:space="0" w:color="auto"/>
            <w:bottom w:val="none" w:sz="0" w:space="0" w:color="auto"/>
            <w:right w:val="none" w:sz="0" w:space="0" w:color="auto"/>
          </w:divBdr>
          <w:divsChild>
            <w:div w:id="591816343">
              <w:marLeft w:val="0"/>
              <w:marRight w:val="0"/>
              <w:marTop w:val="0"/>
              <w:marBottom w:val="0"/>
              <w:divBdr>
                <w:top w:val="none" w:sz="0" w:space="0" w:color="auto"/>
                <w:left w:val="none" w:sz="0" w:space="0" w:color="auto"/>
                <w:bottom w:val="none" w:sz="0" w:space="0" w:color="auto"/>
                <w:right w:val="none" w:sz="0" w:space="0" w:color="auto"/>
              </w:divBdr>
              <w:divsChild>
                <w:div w:id="1894808258">
                  <w:marLeft w:val="0"/>
                  <w:marRight w:val="0"/>
                  <w:marTop w:val="0"/>
                  <w:marBottom w:val="101"/>
                  <w:divBdr>
                    <w:top w:val="none" w:sz="0" w:space="0" w:color="auto"/>
                    <w:left w:val="none" w:sz="0" w:space="0" w:color="auto"/>
                    <w:bottom w:val="none" w:sz="0" w:space="0" w:color="auto"/>
                    <w:right w:val="none" w:sz="0" w:space="0" w:color="auto"/>
                  </w:divBdr>
                </w:div>
                <w:div w:id="546651443">
                  <w:marLeft w:val="0"/>
                  <w:marRight w:val="0"/>
                  <w:marTop w:val="0"/>
                  <w:marBottom w:val="101"/>
                  <w:divBdr>
                    <w:top w:val="none" w:sz="0" w:space="0" w:color="auto"/>
                    <w:left w:val="none" w:sz="0" w:space="0" w:color="auto"/>
                    <w:bottom w:val="none" w:sz="0" w:space="0" w:color="auto"/>
                    <w:right w:val="none" w:sz="0" w:space="0" w:color="auto"/>
                  </w:divBdr>
                </w:div>
                <w:div w:id="1864122758">
                  <w:marLeft w:val="0"/>
                  <w:marRight w:val="0"/>
                  <w:marTop w:val="101"/>
                  <w:marBottom w:val="101"/>
                  <w:divBdr>
                    <w:top w:val="none" w:sz="0" w:space="0" w:color="auto"/>
                    <w:left w:val="none" w:sz="0" w:space="0" w:color="auto"/>
                    <w:bottom w:val="none" w:sz="0" w:space="0" w:color="auto"/>
                    <w:right w:val="none" w:sz="0" w:space="0" w:color="auto"/>
                  </w:divBdr>
                </w:div>
                <w:div w:id="1528907375">
                  <w:marLeft w:val="0"/>
                  <w:marRight w:val="0"/>
                  <w:marTop w:val="0"/>
                  <w:marBottom w:val="101"/>
                  <w:divBdr>
                    <w:top w:val="none" w:sz="0" w:space="0" w:color="auto"/>
                    <w:left w:val="none" w:sz="0" w:space="0" w:color="auto"/>
                    <w:bottom w:val="none" w:sz="0" w:space="0" w:color="auto"/>
                    <w:right w:val="none" w:sz="0" w:space="0" w:color="auto"/>
                  </w:divBdr>
                </w:div>
                <w:div w:id="1008752974">
                  <w:marLeft w:val="0"/>
                  <w:marRight w:val="0"/>
                  <w:marTop w:val="0"/>
                  <w:marBottom w:val="101"/>
                  <w:divBdr>
                    <w:top w:val="none" w:sz="0" w:space="0" w:color="auto"/>
                    <w:left w:val="none" w:sz="0" w:space="0" w:color="auto"/>
                    <w:bottom w:val="none" w:sz="0" w:space="0" w:color="auto"/>
                    <w:right w:val="none" w:sz="0" w:space="0" w:color="auto"/>
                  </w:divBdr>
                </w:div>
                <w:div w:id="740908079">
                  <w:marLeft w:val="0"/>
                  <w:marRight w:val="0"/>
                  <w:marTop w:val="0"/>
                  <w:marBottom w:val="101"/>
                  <w:divBdr>
                    <w:top w:val="none" w:sz="0" w:space="0" w:color="auto"/>
                    <w:left w:val="none" w:sz="0" w:space="0" w:color="auto"/>
                    <w:bottom w:val="none" w:sz="0" w:space="0" w:color="auto"/>
                    <w:right w:val="none" w:sz="0" w:space="0" w:color="auto"/>
                  </w:divBdr>
                </w:div>
                <w:div w:id="473060450">
                  <w:marLeft w:val="0"/>
                  <w:marRight w:val="0"/>
                  <w:marTop w:val="0"/>
                  <w:marBottom w:val="101"/>
                  <w:divBdr>
                    <w:top w:val="none" w:sz="0" w:space="0" w:color="auto"/>
                    <w:left w:val="none" w:sz="0" w:space="0" w:color="auto"/>
                    <w:bottom w:val="none" w:sz="0" w:space="0" w:color="auto"/>
                    <w:right w:val="none" w:sz="0" w:space="0" w:color="auto"/>
                  </w:divBdr>
                </w:div>
                <w:div w:id="1521898155">
                  <w:marLeft w:val="0"/>
                  <w:marRight w:val="0"/>
                  <w:marTop w:val="0"/>
                  <w:marBottom w:val="101"/>
                  <w:divBdr>
                    <w:top w:val="none" w:sz="0" w:space="0" w:color="auto"/>
                    <w:left w:val="none" w:sz="0" w:space="0" w:color="auto"/>
                    <w:bottom w:val="none" w:sz="0" w:space="0" w:color="auto"/>
                    <w:right w:val="none" w:sz="0" w:space="0" w:color="auto"/>
                  </w:divBdr>
                </w:div>
                <w:div w:id="317420297">
                  <w:marLeft w:val="0"/>
                  <w:marRight w:val="0"/>
                  <w:marTop w:val="0"/>
                  <w:marBottom w:val="101"/>
                  <w:divBdr>
                    <w:top w:val="none" w:sz="0" w:space="0" w:color="auto"/>
                    <w:left w:val="none" w:sz="0" w:space="0" w:color="auto"/>
                    <w:bottom w:val="none" w:sz="0" w:space="0" w:color="auto"/>
                    <w:right w:val="none" w:sz="0" w:space="0" w:color="auto"/>
                  </w:divBdr>
                </w:div>
                <w:div w:id="1199783280">
                  <w:marLeft w:val="0"/>
                  <w:marRight w:val="0"/>
                  <w:marTop w:val="0"/>
                  <w:marBottom w:val="101"/>
                  <w:divBdr>
                    <w:top w:val="none" w:sz="0" w:space="0" w:color="auto"/>
                    <w:left w:val="none" w:sz="0" w:space="0" w:color="auto"/>
                    <w:bottom w:val="none" w:sz="0" w:space="0" w:color="auto"/>
                    <w:right w:val="none" w:sz="0" w:space="0" w:color="auto"/>
                  </w:divBdr>
                </w:div>
                <w:div w:id="2111047538">
                  <w:marLeft w:val="0"/>
                  <w:marRight w:val="0"/>
                  <w:marTop w:val="0"/>
                  <w:marBottom w:val="101"/>
                  <w:divBdr>
                    <w:top w:val="none" w:sz="0" w:space="0" w:color="auto"/>
                    <w:left w:val="none" w:sz="0" w:space="0" w:color="auto"/>
                    <w:bottom w:val="none" w:sz="0" w:space="0" w:color="auto"/>
                    <w:right w:val="none" w:sz="0" w:space="0" w:color="auto"/>
                  </w:divBdr>
                </w:div>
                <w:div w:id="550730736">
                  <w:marLeft w:val="0"/>
                  <w:marRight w:val="0"/>
                  <w:marTop w:val="0"/>
                  <w:marBottom w:val="101"/>
                  <w:divBdr>
                    <w:top w:val="none" w:sz="0" w:space="0" w:color="auto"/>
                    <w:left w:val="none" w:sz="0" w:space="0" w:color="auto"/>
                    <w:bottom w:val="none" w:sz="0" w:space="0" w:color="auto"/>
                    <w:right w:val="none" w:sz="0" w:space="0" w:color="auto"/>
                  </w:divBdr>
                </w:div>
                <w:div w:id="1326589610">
                  <w:marLeft w:val="0"/>
                  <w:marRight w:val="0"/>
                  <w:marTop w:val="0"/>
                  <w:marBottom w:val="101"/>
                  <w:divBdr>
                    <w:top w:val="none" w:sz="0" w:space="0" w:color="auto"/>
                    <w:left w:val="none" w:sz="0" w:space="0" w:color="auto"/>
                    <w:bottom w:val="none" w:sz="0" w:space="0" w:color="auto"/>
                    <w:right w:val="none" w:sz="0" w:space="0" w:color="auto"/>
                  </w:divBdr>
                </w:div>
                <w:div w:id="1593850655">
                  <w:marLeft w:val="0"/>
                  <w:marRight w:val="0"/>
                  <w:marTop w:val="0"/>
                  <w:marBottom w:val="101"/>
                  <w:divBdr>
                    <w:top w:val="none" w:sz="0" w:space="0" w:color="auto"/>
                    <w:left w:val="none" w:sz="0" w:space="0" w:color="auto"/>
                    <w:bottom w:val="none" w:sz="0" w:space="0" w:color="auto"/>
                    <w:right w:val="none" w:sz="0" w:space="0" w:color="auto"/>
                  </w:divBdr>
                </w:div>
                <w:div w:id="810096354">
                  <w:marLeft w:val="0"/>
                  <w:marRight w:val="0"/>
                  <w:marTop w:val="0"/>
                  <w:marBottom w:val="101"/>
                  <w:divBdr>
                    <w:top w:val="none" w:sz="0" w:space="0" w:color="auto"/>
                    <w:left w:val="none" w:sz="0" w:space="0" w:color="auto"/>
                    <w:bottom w:val="none" w:sz="0" w:space="0" w:color="auto"/>
                    <w:right w:val="none" w:sz="0" w:space="0" w:color="auto"/>
                  </w:divBdr>
                </w:div>
                <w:div w:id="1507480991">
                  <w:marLeft w:val="0"/>
                  <w:marRight w:val="0"/>
                  <w:marTop w:val="0"/>
                  <w:marBottom w:val="101"/>
                  <w:divBdr>
                    <w:top w:val="none" w:sz="0" w:space="0" w:color="auto"/>
                    <w:left w:val="none" w:sz="0" w:space="0" w:color="auto"/>
                    <w:bottom w:val="none" w:sz="0" w:space="0" w:color="auto"/>
                    <w:right w:val="none" w:sz="0" w:space="0" w:color="auto"/>
                  </w:divBdr>
                </w:div>
                <w:div w:id="1372724494">
                  <w:marLeft w:val="0"/>
                  <w:marRight w:val="0"/>
                  <w:marTop w:val="0"/>
                  <w:marBottom w:val="101"/>
                  <w:divBdr>
                    <w:top w:val="none" w:sz="0" w:space="0" w:color="auto"/>
                    <w:left w:val="none" w:sz="0" w:space="0" w:color="auto"/>
                    <w:bottom w:val="none" w:sz="0" w:space="0" w:color="auto"/>
                    <w:right w:val="none" w:sz="0" w:space="0" w:color="auto"/>
                  </w:divBdr>
                </w:div>
                <w:div w:id="565183421">
                  <w:marLeft w:val="0"/>
                  <w:marRight w:val="0"/>
                  <w:marTop w:val="0"/>
                  <w:marBottom w:val="101"/>
                  <w:divBdr>
                    <w:top w:val="none" w:sz="0" w:space="0" w:color="auto"/>
                    <w:left w:val="none" w:sz="0" w:space="0" w:color="auto"/>
                    <w:bottom w:val="none" w:sz="0" w:space="0" w:color="auto"/>
                    <w:right w:val="none" w:sz="0" w:space="0" w:color="auto"/>
                  </w:divBdr>
                </w:div>
                <w:div w:id="1922910907">
                  <w:marLeft w:val="0"/>
                  <w:marRight w:val="0"/>
                  <w:marTop w:val="0"/>
                  <w:marBottom w:val="101"/>
                  <w:divBdr>
                    <w:top w:val="none" w:sz="0" w:space="0" w:color="auto"/>
                    <w:left w:val="none" w:sz="0" w:space="0" w:color="auto"/>
                    <w:bottom w:val="none" w:sz="0" w:space="0" w:color="auto"/>
                    <w:right w:val="none" w:sz="0" w:space="0" w:color="auto"/>
                  </w:divBdr>
                </w:div>
                <w:div w:id="21561756">
                  <w:marLeft w:val="0"/>
                  <w:marRight w:val="0"/>
                  <w:marTop w:val="0"/>
                  <w:marBottom w:val="101"/>
                  <w:divBdr>
                    <w:top w:val="none" w:sz="0" w:space="0" w:color="auto"/>
                    <w:left w:val="none" w:sz="0" w:space="0" w:color="auto"/>
                    <w:bottom w:val="none" w:sz="0" w:space="0" w:color="auto"/>
                    <w:right w:val="none" w:sz="0" w:space="0" w:color="auto"/>
                  </w:divBdr>
                </w:div>
                <w:div w:id="1195264330">
                  <w:marLeft w:val="0"/>
                  <w:marRight w:val="0"/>
                  <w:marTop w:val="0"/>
                  <w:marBottom w:val="101"/>
                  <w:divBdr>
                    <w:top w:val="none" w:sz="0" w:space="0" w:color="auto"/>
                    <w:left w:val="none" w:sz="0" w:space="0" w:color="auto"/>
                    <w:bottom w:val="none" w:sz="0" w:space="0" w:color="auto"/>
                    <w:right w:val="none" w:sz="0" w:space="0" w:color="auto"/>
                  </w:divBdr>
                </w:div>
                <w:div w:id="1162820107">
                  <w:marLeft w:val="0"/>
                  <w:marRight w:val="0"/>
                  <w:marTop w:val="0"/>
                  <w:marBottom w:val="101"/>
                  <w:divBdr>
                    <w:top w:val="none" w:sz="0" w:space="0" w:color="auto"/>
                    <w:left w:val="none" w:sz="0" w:space="0" w:color="auto"/>
                    <w:bottom w:val="none" w:sz="0" w:space="0" w:color="auto"/>
                    <w:right w:val="none" w:sz="0" w:space="0" w:color="auto"/>
                  </w:divBdr>
                </w:div>
                <w:div w:id="1449541328">
                  <w:marLeft w:val="0"/>
                  <w:marRight w:val="0"/>
                  <w:marTop w:val="0"/>
                  <w:marBottom w:val="101"/>
                  <w:divBdr>
                    <w:top w:val="none" w:sz="0" w:space="0" w:color="auto"/>
                    <w:left w:val="none" w:sz="0" w:space="0" w:color="auto"/>
                    <w:bottom w:val="none" w:sz="0" w:space="0" w:color="auto"/>
                    <w:right w:val="none" w:sz="0" w:space="0" w:color="auto"/>
                  </w:divBdr>
                </w:div>
                <w:div w:id="1151677544">
                  <w:marLeft w:val="0"/>
                  <w:marRight w:val="0"/>
                  <w:marTop w:val="0"/>
                  <w:marBottom w:val="101"/>
                  <w:divBdr>
                    <w:top w:val="none" w:sz="0" w:space="0" w:color="auto"/>
                    <w:left w:val="none" w:sz="0" w:space="0" w:color="auto"/>
                    <w:bottom w:val="none" w:sz="0" w:space="0" w:color="auto"/>
                    <w:right w:val="none" w:sz="0" w:space="0" w:color="auto"/>
                  </w:divBdr>
                </w:div>
                <w:div w:id="230504638">
                  <w:marLeft w:val="0"/>
                  <w:marRight w:val="0"/>
                  <w:marTop w:val="0"/>
                  <w:marBottom w:val="101"/>
                  <w:divBdr>
                    <w:top w:val="none" w:sz="0" w:space="0" w:color="auto"/>
                    <w:left w:val="none" w:sz="0" w:space="0" w:color="auto"/>
                    <w:bottom w:val="none" w:sz="0" w:space="0" w:color="auto"/>
                    <w:right w:val="none" w:sz="0" w:space="0" w:color="auto"/>
                  </w:divBdr>
                </w:div>
                <w:div w:id="1867252355">
                  <w:marLeft w:val="0"/>
                  <w:marRight w:val="0"/>
                  <w:marTop w:val="0"/>
                  <w:marBottom w:val="101"/>
                  <w:divBdr>
                    <w:top w:val="none" w:sz="0" w:space="0" w:color="auto"/>
                    <w:left w:val="none" w:sz="0" w:space="0" w:color="auto"/>
                    <w:bottom w:val="none" w:sz="0" w:space="0" w:color="auto"/>
                    <w:right w:val="none" w:sz="0" w:space="0" w:color="auto"/>
                  </w:divBdr>
                </w:div>
                <w:div w:id="1407268941">
                  <w:marLeft w:val="0"/>
                  <w:marRight w:val="0"/>
                  <w:marTop w:val="0"/>
                  <w:marBottom w:val="101"/>
                  <w:divBdr>
                    <w:top w:val="none" w:sz="0" w:space="0" w:color="auto"/>
                    <w:left w:val="none" w:sz="0" w:space="0" w:color="auto"/>
                    <w:bottom w:val="none" w:sz="0" w:space="0" w:color="auto"/>
                    <w:right w:val="none" w:sz="0" w:space="0" w:color="auto"/>
                  </w:divBdr>
                </w:div>
                <w:div w:id="1893342582">
                  <w:marLeft w:val="0"/>
                  <w:marRight w:val="0"/>
                  <w:marTop w:val="0"/>
                  <w:marBottom w:val="101"/>
                  <w:divBdr>
                    <w:top w:val="none" w:sz="0" w:space="0" w:color="auto"/>
                    <w:left w:val="none" w:sz="0" w:space="0" w:color="auto"/>
                    <w:bottom w:val="none" w:sz="0" w:space="0" w:color="auto"/>
                    <w:right w:val="none" w:sz="0" w:space="0" w:color="auto"/>
                  </w:divBdr>
                </w:div>
                <w:div w:id="1181965833">
                  <w:marLeft w:val="0"/>
                  <w:marRight w:val="0"/>
                  <w:marTop w:val="0"/>
                  <w:marBottom w:val="101"/>
                  <w:divBdr>
                    <w:top w:val="none" w:sz="0" w:space="0" w:color="auto"/>
                    <w:left w:val="none" w:sz="0" w:space="0" w:color="auto"/>
                    <w:bottom w:val="none" w:sz="0" w:space="0" w:color="auto"/>
                    <w:right w:val="none" w:sz="0" w:space="0" w:color="auto"/>
                  </w:divBdr>
                </w:div>
                <w:div w:id="509680599">
                  <w:marLeft w:val="0"/>
                  <w:marRight w:val="0"/>
                  <w:marTop w:val="0"/>
                  <w:marBottom w:val="101"/>
                  <w:divBdr>
                    <w:top w:val="none" w:sz="0" w:space="0" w:color="auto"/>
                    <w:left w:val="none" w:sz="0" w:space="0" w:color="auto"/>
                    <w:bottom w:val="none" w:sz="0" w:space="0" w:color="auto"/>
                    <w:right w:val="none" w:sz="0" w:space="0" w:color="auto"/>
                  </w:divBdr>
                </w:div>
                <w:div w:id="260375360">
                  <w:marLeft w:val="0"/>
                  <w:marRight w:val="0"/>
                  <w:marTop w:val="0"/>
                  <w:marBottom w:val="101"/>
                  <w:divBdr>
                    <w:top w:val="none" w:sz="0" w:space="0" w:color="auto"/>
                    <w:left w:val="none" w:sz="0" w:space="0" w:color="auto"/>
                    <w:bottom w:val="none" w:sz="0" w:space="0" w:color="auto"/>
                    <w:right w:val="none" w:sz="0" w:space="0" w:color="auto"/>
                  </w:divBdr>
                </w:div>
                <w:div w:id="1086151312">
                  <w:marLeft w:val="0"/>
                  <w:marRight w:val="0"/>
                  <w:marTop w:val="0"/>
                  <w:marBottom w:val="101"/>
                  <w:divBdr>
                    <w:top w:val="none" w:sz="0" w:space="0" w:color="auto"/>
                    <w:left w:val="none" w:sz="0" w:space="0" w:color="auto"/>
                    <w:bottom w:val="none" w:sz="0" w:space="0" w:color="auto"/>
                    <w:right w:val="none" w:sz="0" w:space="0" w:color="auto"/>
                  </w:divBdr>
                </w:div>
                <w:div w:id="1940211513">
                  <w:marLeft w:val="0"/>
                  <w:marRight w:val="0"/>
                  <w:marTop w:val="0"/>
                  <w:marBottom w:val="101"/>
                  <w:divBdr>
                    <w:top w:val="none" w:sz="0" w:space="0" w:color="auto"/>
                    <w:left w:val="none" w:sz="0" w:space="0" w:color="auto"/>
                    <w:bottom w:val="none" w:sz="0" w:space="0" w:color="auto"/>
                    <w:right w:val="none" w:sz="0" w:space="0" w:color="auto"/>
                  </w:divBdr>
                </w:div>
                <w:div w:id="1817602346">
                  <w:marLeft w:val="0"/>
                  <w:marRight w:val="0"/>
                  <w:marTop w:val="0"/>
                  <w:marBottom w:val="101"/>
                  <w:divBdr>
                    <w:top w:val="none" w:sz="0" w:space="0" w:color="auto"/>
                    <w:left w:val="none" w:sz="0" w:space="0" w:color="auto"/>
                    <w:bottom w:val="none" w:sz="0" w:space="0" w:color="auto"/>
                    <w:right w:val="none" w:sz="0" w:space="0" w:color="auto"/>
                  </w:divBdr>
                </w:div>
                <w:div w:id="80805927">
                  <w:marLeft w:val="0"/>
                  <w:marRight w:val="0"/>
                  <w:marTop w:val="0"/>
                  <w:marBottom w:val="101"/>
                  <w:divBdr>
                    <w:top w:val="none" w:sz="0" w:space="0" w:color="auto"/>
                    <w:left w:val="none" w:sz="0" w:space="0" w:color="auto"/>
                    <w:bottom w:val="none" w:sz="0" w:space="0" w:color="auto"/>
                    <w:right w:val="none" w:sz="0" w:space="0" w:color="auto"/>
                  </w:divBdr>
                </w:div>
                <w:div w:id="1813597039">
                  <w:marLeft w:val="0"/>
                  <w:marRight w:val="0"/>
                  <w:marTop w:val="0"/>
                  <w:marBottom w:val="101"/>
                  <w:divBdr>
                    <w:top w:val="none" w:sz="0" w:space="0" w:color="auto"/>
                    <w:left w:val="none" w:sz="0" w:space="0" w:color="auto"/>
                    <w:bottom w:val="none" w:sz="0" w:space="0" w:color="auto"/>
                    <w:right w:val="none" w:sz="0" w:space="0" w:color="auto"/>
                  </w:divBdr>
                </w:div>
                <w:div w:id="231476889">
                  <w:marLeft w:val="0"/>
                  <w:marRight w:val="0"/>
                  <w:marTop w:val="0"/>
                  <w:marBottom w:val="101"/>
                  <w:divBdr>
                    <w:top w:val="none" w:sz="0" w:space="0" w:color="auto"/>
                    <w:left w:val="none" w:sz="0" w:space="0" w:color="auto"/>
                    <w:bottom w:val="none" w:sz="0" w:space="0" w:color="auto"/>
                    <w:right w:val="none" w:sz="0" w:space="0" w:color="auto"/>
                  </w:divBdr>
                </w:div>
                <w:div w:id="98526317">
                  <w:marLeft w:val="0"/>
                  <w:marRight w:val="0"/>
                  <w:marTop w:val="0"/>
                  <w:marBottom w:val="101"/>
                  <w:divBdr>
                    <w:top w:val="none" w:sz="0" w:space="0" w:color="auto"/>
                    <w:left w:val="none" w:sz="0" w:space="0" w:color="auto"/>
                    <w:bottom w:val="none" w:sz="0" w:space="0" w:color="auto"/>
                    <w:right w:val="none" w:sz="0" w:space="0" w:color="auto"/>
                  </w:divBdr>
                </w:div>
                <w:div w:id="1374308718">
                  <w:marLeft w:val="0"/>
                  <w:marRight w:val="0"/>
                  <w:marTop w:val="0"/>
                  <w:marBottom w:val="101"/>
                  <w:divBdr>
                    <w:top w:val="none" w:sz="0" w:space="0" w:color="auto"/>
                    <w:left w:val="none" w:sz="0" w:space="0" w:color="auto"/>
                    <w:bottom w:val="none" w:sz="0" w:space="0" w:color="auto"/>
                    <w:right w:val="none" w:sz="0" w:space="0" w:color="auto"/>
                  </w:divBdr>
                </w:div>
                <w:div w:id="441993478">
                  <w:marLeft w:val="0"/>
                  <w:marRight w:val="0"/>
                  <w:marTop w:val="0"/>
                  <w:marBottom w:val="101"/>
                  <w:divBdr>
                    <w:top w:val="none" w:sz="0" w:space="0" w:color="auto"/>
                    <w:left w:val="none" w:sz="0" w:space="0" w:color="auto"/>
                    <w:bottom w:val="none" w:sz="0" w:space="0" w:color="auto"/>
                    <w:right w:val="none" w:sz="0" w:space="0" w:color="auto"/>
                  </w:divBdr>
                </w:div>
                <w:div w:id="2137943108">
                  <w:marLeft w:val="0"/>
                  <w:marRight w:val="0"/>
                  <w:marTop w:val="0"/>
                  <w:marBottom w:val="101"/>
                  <w:divBdr>
                    <w:top w:val="none" w:sz="0" w:space="0" w:color="auto"/>
                    <w:left w:val="none" w:sz="0" w:space="0" w:color="auto"/>
                    <w:bottom w:val="none" w:sz="0" w:space="0" w:color="auto"/>
                    <w:right w:val="none" w:sz="0" w:space="0" w:color="auto"/>
                  </w:divBdr>
                </w:div>
                <w:div w:id="651175013">
                  <w:marLeft w:val="0"/>
                  <w:marRight w:val="0"/>
                  <w:marTop w:val="0"/>
                  <w:marBottom w:val="101"/>
                  <w:divBdr>
                    <w:top w:val="none" w:sz="0" w:space="0" w:color="auto"/>
                    <w:left w:val="none" w:sz="0" w:space="0" w:color="auto"/>
                    <w:bottom w:val="none" w:sz="0" w:space="0" w:color="auto"/>
                    <w:right w:val="none" w:sz="0" w:space="0" w:color="auto"/>
                  </w:divBdr>
                </w:div>
                <w:div w:id="1058896449">
                  <w:marLeft w:val="0"/>
                  <w:marRight w:val="0"/>
                  <w:marTop w:val="0"/>
                  <w:marBottom w:val="101"/>
                  <w:divBdr>
                    <w:top w:val="none" w:sz="0" w:space="0" w:color="auto"/>
                    <w:left w:val="none" w:sz="0" w:space="0" w:color="auto"/>
                    <w:bottom w:val="none" w:sz="0" w:space="0" w:color="auto"/>
                    <w:right w:val="none" w:sz="0" w:space="0" w:color="auto"/>
                  </w:divBdr>
                </w:div>
                <w:div w:id="976226491">
                  <w:marLeft w:val="0"/>
                  <w:marRight w:val="0"/>
                  <w:marTop w:val="0"/>
                  <w:marBottom w:val="101"/>
                  <w:divBdr>
                    <w:top w:val="none" w:sz="0" w:space="0" w:color="auto"/>
                    <w:left w:val="none" w:sz="0" w:space="0" w:color="auto"/>
                    <w:bottom w:val="none" w:sz="0" w:space="0" w:color="auto"/>
                    <w:right w:val="none" w:sz="0" w:space="0" w:color="auto"/>
                  </w:divBdr>
                </w:div>
                <w:div w:id="1964772187">
                  <w:marLeft w:val="0"/>
                  <w:marRight w:val="0"/>
                  <w:marTop w:val="0"/>
                  <w:marBottom w:val="101"/>
                  <w:divBdr>
                    <w:top w:val="none" w:sz="0" w:space="0" w:color="auto"/>
                    <w:left w:val="none" w:sz="0" w:space="0" w:color="auto"/>
                    <w:bottom w:val="none" w:sz="0" w:space="0" w:color="auto"/>
                    <w:right w:val="none" w:sz="0" w:space="0" w:color="auto"/>
                  </w:divBdr>
                </w:div>
                <w:div w:id="608005210">
                  <w:marLeft w:val="0"/>
                  <w:marRight w:val="0"/>
                  <w:marTop w:val="0"/>
                  <w:marBottom w:val="101"/>
                  <w:divBdr>
                    <w:top w:val="none" w:sz="0" w:space="0" w:color="auto"/>
                    <w:left w:val="none" w:sz="0" w:space="0" w:color="auto"/>
                    <w:bottom w:val="none" w:sz="0" w:space="0" w:color="auto"/>
                    <w:right w:val="none" w:sz="0" w:space="0" w:color="auto"/>
                  </w:divBdr>
                </w:div>
                <w:div w:id="1497644262">
                  <w:marLeft w:val="0"/>
                  <w:marRight w:val="0"/>
                  <w:marTop w:val="0"/>
                  <w:marBottom w:val="101"/>
                  <w:divBdr>
                    <w:top w:val="none" w:sz="0" w:space="0" w:color="auto"/>
                    <w:left w:val="none" w:sz="0" w:space="0" w:color="auto"/>
                    <w:bottom w:val="none" w:sz="0" w:space="0" w:color="auto"/>
                    <w:right w:val="none" w:sz="0" w:space="0" w:color="auto"/>
                  </w:divBdr>
                </w:div>
                <w:div w:id="1275405078">
                  <w:marLeft w:val="0"/>
                  <w:marRight w:val="0"/>
                  <w:marTop w:val="0"/>
                  <w:marBottom w:val="101"/>
                  <w:divBdr>
                    <w:top w:val="none" w:sz="0" w:space="0" w:color="auto"/>
                    <w:left w:val="none" w:sz="0" w:space="0" w:color="auto"/>
                    <w:bottom w:val="none" w:sz="0" w:space="0" w:color="auto"/>
                    <w:right w:val="none" w:sz="0" w:space="0" w:color="auto"/>
                  </w:divBdr>
                </w:div>
                <w:div w:id="526020440">
                  <w:marLeft w:val="0"/>
                  <w:marRight w:val="0"/>
                  <w:marTop w:val="0"/>
                  <w:marBottom w:val="101"/>
                  <w:divBdr>
                    <w:top w:val="none" w:sz="0" w:space="0" w:color="auto"/>
                    <w:left w:val="none" w:sz="0" w:space="0" w:color="auto"/>
                    <w:bottom w:val="none" w:sz="0" w:space="0" w:color="auto"/>
                    <w:right w:val="none" w:sz="0" w:space="0" w:color="auto"/>
                  </w:divBdr>
                </w:div>
                <w:div w:id="730617033">
                  <w:marLeft w:val="0"/>
                  <w:marRight w:val="0"/>
                  <w:marTop w:val="0"/>
                  <w:marBottom w:val="101"/>
                  <w:divBdr>
                    <w:top w:val="none" w:sz="0" w:space="0" w:color="auto"/>
                    <w:left w:val="none" w:sz="0" w:space="0" w:color="auto"/>
                    <w:bottom w:val="none" w:sz="0" w:space="0" w:color="auto"/>
                    <w:right w:val="none" w:sz="0" w:space="0" w:color="auto"/>
                  </w:divBdr>
                </w:div>
                <w:div w:id="837111274">
                  <w:marLeft w:val="0"/>
                  <w:marRight w:val="0"/>
                  <w:marTop w:val="0"/>
                  <w:marBottom w:val="101"/>
                  <w:divBdr>
                    <w:top w:val="none" w:sz="0" w:space="0" w:color="auto"/>
                    <w:left w:val="none" w:sz="0" w:space="0" w:color="auto"/>
                    <w:bottom w:val="none" w:sz="0" w:space="0" w:color="auto"/>
                    <w:right w:val="none" w:sz="0" w:space="0" w:color="auto"/>
                  </w:divBdr>
                </w:div>
                <w:div w:id="451360895">
                  <w:marLeft w:val="0"/>
                  <w:marRight w:val="0"/>
                  <w:marTop w:val="0"/>
                  <w:marBottom w:val="101"/>
                  <w:divBdr>
                    <w:top w:val="none" w:sz="0" w:space="0" w:color="auto"/>
                    <w:left w:val="none" w:sz="0" w:space="0" w:color="auto"/>
                    <w:bottom w:val="none" w:sz="0" w:space="0" w:color="auto"/>
                    <w:right w:val="none" w:sz="0" w:space="0" w:color="auto"/>
                  </w:divBdr>
                </w:div>
                <w:div w:id="1723750449">
                  <w:marLeft w:val="0"/>
                  <w:marRight w:val="0"/>
                  <w:marTop w:val="0"/>
                  <w:marBottom w:val="101"/>
                  <w:divBdr>
                    <w:top w:val="none" w:sz="0" w:space="0" w:color="auto"/>
                    <w:left w:val="none" w:sz="0" w:space="0" w:color="auto"/>
                    <w:bottom w:val="none" w:sz="0" w:space="0" w:color="auto"/>
                    <w:right w:val="none" w:sz="0" w:space="0" w:color="auto"/>
                  </w:divBdr>
                </w:div>
                <w:div w:id="71584386">
                  <w:marLeft w:val="0"/>
                  <w:marRight w:val="0"/>
                  <w:marTop w:val="0"/>
                  <w:marBottom w:val="101"/>
                  <w:divBdr>
                    <w:top w:val="none" w:sz="0" w:space="0" w:color="auto"/>
                    <w:left w:val="none" w:sz="0" w:space="0" w:color="auto"/>
                    <w:bottom w:val="none" w:sz="0" w:space="0" w:color="auto"/>
                    <w:right w:val="none" w:sz="0" w:space="0" w:color="auto"/>
                  </w:divBdr>
                </w:div>
                <w:div w:id="2132741897">
                  <w:marLeft w:val="0"/>
                  <w:marRight w:val="0"/>
                  <w:marTop w:val="0"/>
                  <w:marBottom w:val="101"/>
                  <w:divBdr>
                    <w:top w:val="none" w:sz="0" w:space="0" w:color="auto"/>
                    <w:left w:val="none" w:sz="0" w:space="0" w:color="auto"/>
                    <w:bottom w:val="none" w:sz="0" w:space="0" w:color="auto"/>
                    <w:right w:val="none" w:sz="0" w:space="0" w:color="auto"/>
                  </w:divBdr>
                </w:div>
                <w:div w:id="1622030417">
                  <w:marLeft w:val="0"/>
                  <w:marRight w:val="0"/>
                  <w:marTop w:val="0"/>
                  <w:marBottom w:val="101"/>
                  <w:divBdr>
                    <w:top w:val="none" w:sz="0" w:space="0" w:color="auto"/>
                    <w:left w:val="none" w:sz="0" w:space="0" w:color="auto"/>
                    <w:bottom w:val="none" w:sz="0" w:space="0" w:color="auto"/>
                    <w:right w:val="none" w:sz="0" w:space="0" w:color="auto"/>
                  </w:divBdr>
                </w:div>
                <w:div w:id="160122851">
                  <w:marLeft w:val="0"/>
                  <w:marRight w:val="0"/>
                  <w:marTop w:val="0"/>
                  <w:marBottom w:val="101"/>
                  <w:divBdr>
                    <w:top w:val="none" w:sz="0" w:space="0" w:color="auto"/>
                    <w:left w:val="none" w:sz="0" w:space="0" w:color="auto"/>
                    <w:bottom w:val="none" w:sz="0" w:space="0" w:color="auto"/>
                    <w:right w:val="none" w:sz="0" w:space="0" w:color="auto"/>
                  </w:divBdr>
                </w:div>
                <w:div w:id="1795517493">
                  <w:marLeft w:val="0"/>
                  <w:marRight w:val="0"/>
                  <w:marTop w:val="0"/>
                  <w:marBottom w:val="101"/>
                  <w:divBdr>
                    <w:top w:val="none" w:sz="0" w:space="0" w:color="auto"/>
                    <w:left w:val="none" w:sz="0" w:space="0" w:color="auto"/>
                    <w:bottom w:val="none" w:sz="0" w:space="0" w:color="auto"/>
                    <w:right w:val="none" w:sz="0" w:space="0" w:color="auto"/>
                  </w:divBdr>
                </w:div>
                <w:div w:id="1177421803">
                  <w:marLeft w:val="0"/>
                  <w:marRight w:val="0"/>
                  <w:marTop w:val="0"/>
                  <w:marBottom w:val="101"/>
                  <w:divBdr>
                    <w:top w:val="none" w:sz="0" w:space="0" w:color="auto"/>
                    <w:left w:val="none" w:sz="0" w:space="0" w:color="auto"/>
                    <w:bottom w:val="none" w:sz="0" w:space="0" w:color="auto"/>
                    <w:right w:val="none" w:sz="0" w:space="0" w:color="auto"/>
                  </w:divBdr>
                </w:div>
                <w:div w:id="1166939905">
                  <w:marLeft w:val="0"/>
                  <w:marRight w:val="0"/>
                  <w:marTop w:val="0"/>
                  <w:marBottom w:val="101"/>
                  <w:divBdr>
                    <w:top w:val="none" w:sz="0" w:space="0" w:color="auto"/>
                    <w:left w:val="none" w:sz="0" w:space="0" w:color="auto"/>
                    <w:bottom w:val="none" w:sz="0" w:space="0" w:color="auto"/>
                    <w:right w:val="none" w:sz="0" w:space="0" w:color="auto"/>
                  </w:divBdr>
                </w:div>
                <w:div w:id="462579570">
                  <w:marLeft w:val="0"/>
                  <w:marRight w:val="0"/>
                  <w:marTop w:val="0"/>
                  <w:marBottom w:val="101"/>
                  <w:divBdr>
                    <w:top w:val="none" w:sz="0" w:space="0" w:color="auto"/>
                    <w:left w:val="none" w:sz="0" w:space="0" w:color="auto"/>
                    <w:bottom w:val="none" w:sz="0" w:space="0" w:color="auto"/>
                    <w:right w:val="none" w:sz="0" w:space="0" w:color="auto"/>
                  </w:divBdr>
                </w:div>
                <w:div w:id="478228897">
                  <w:marLeft w:val="0"/>
                  <w:marRight w:val="0"/>
                  <w:marTop w:val="0"/>
                  <w:marBottom w:val="101"/>
                  <w:divBdr>
                    <w:top w:val="none" w:sz="0" w:space="0" w:color="auto"/>
                    <w:left w:val="none" w:sz="0" w:space="0" w:color="auto"/>
                    <w:bottom w:val="none" w:sz="0" w:space="0" w:color="auto"/>
                    <w:right w:val="none" w:sz="0" w:space="0" w:color="auto"/>
                  </w:divBdr>
                </w:div>
                <w:div w:id="237324315">
                  <w:marLeft w:val="0"/>
                  <w:marRight w:val="0"/>
                  <w:marTop w:val="0"/>
                  <w:marBottom w:val="101"/>
                  <w:divBdr>
                    <w:top w:val="none" w:sz="0" w:space="0" w:color="auto"/>
                    <w:left w:val="none" w:sz="0" w:space="0" w:color="auto"/>
                    <w:bottom w:val="none" w:sz="0" w:space="0" w:color="auto"/>
                    <w:right w:val="none" w:sz="0" w:space="0" w:color="auto"/>
                  </w:divBdr>
                </w:div>
                <w:div w:id="1105542034">
                  <w:marLeft w:val="0"/>
                  <w:marRight w:val="0"/>
                  <w:marTop w:val="0"/>
                  <w:marBottom w:val="101"/>
                  <w:divBdr>
                    <w:top w:val="none" w:sz="0" w:space="0" w:color="auto"/>
                    <w:left w:val="none" w:sz="0" w:space="0" w:color="auto"/>
                    <w:bottom w:val="none" w:sz="0" w:space="0" w:color="auto"/>
                    <w:right w:val="none" w:sz="0" w:space="0" w:color="auto"/>
                  </w:divBdr>
                </w:div>
                <w:div w:id="1830093297">
                  <w:marLeft w:val="0"/>
                  <w:marRight w:val="0"/>
                  <w:marTop w:val="0"/>
                  <w:marBottom w:val="101"/>
                  <w:divBdr>
                    <w:top w:val="none" w:sz="0" w:space="0" w:color="auto"/>
                    <w:left w:val="none" w:sz="0" w:space="0" w:color="auto"/>
                    <w:bottom w:val="none" w:sz="0" w:space="0" w:color="auto"/>
                    <w:right w:val="none" w:sz="0" w:space="0" w:color="auto"/>
                  </w:divBdr>
                </w:div>
                <w:div w:id="2135831235">
                  <w:marLeft w:val="0"/>
                  <w:marRight w:val="0"/>
                  <w:marTop w:val="0"/>
                  <w:marBottom w:val="101"/>
                  <w:divBdr>
                    <w:top w:val="none" w:sz="0" w:space="0" w:color="auto"/>
                    <w:left w:val="none" w:sz="0" w:space="0" w:color="auto"/>
                    <w:bottom w:val="none" w:sz="0" w:space="0" w:color="auto"/>
                    <w:right w:val="none" w:sz="0" w:space="0" w:color="auto"/>
                  </w:divBdr>
                </w:div>
                <w:div w:id="2123501021">
                  <w:marLeft w:val="0"/>
                  <w:marRight w:val="0"/>
                  <w:marTop w:val="0"/>
                  <w:marBottom w:val="101"/>
                  <w:divBdr>
                    <w:top w:val="none" w:sz="0" w:space="0" w:color="auto"/>
                    <w:left w:val="none" w:sz="0" w:space="0" w:color="auto"/>
                    <w:bottom w:val="none" w:sz="0" w:space="0" w:color="auto"/>
                    <w:right w:val="none" w:sz="0" w:space="0" w:color="auto"/>
                  </w:divBdr>
                </w:div>
                <w:div w:id="1680431048">
                  <w:marLeft w:val="0"/>
                  <w:marRight w:val="0"/>
                  <w:marTop w:val="0"/>
                  <w:marBottom w:val="101"/>
                  <w:divBdr>
                    <w:top w:val="none" w:sz="0" w:space="0" w:color="auto"/>
                    <w:left w:val="none" w:sz="0" w:space="0" w:color="auto"/>
                    <w:bottom w:val="none" w:sz="0" w:space="0" w:color="auto"/>
                    <w:right w:val="none" w:sz="0" w:space="0" w:color="auto"/>
                  </w:divBdr>
                </w:div>
                <w:div w:id="589195496">
                  <w:marLeft w:val="0"/>
                  <w:marRight w:val="0"/>
                  <w:marTop w:val="0"/>
                  <w:marBottom w:val="101"/>
                  <w:divBdr>
                    <w:top w:val="none" w:sz="0" w:space="0" w:color="auto"/>
                    <w:left w:val="none" w:sz="0" w:space="0" w:color="auto"/>
                    <w:bottom w:val="none" w:sz="0" w:space="0" w:color="auto"/>
                    <w:right w:val="none" w:sz="0" w:space="0" w:color="auto"/>
                  </w:divBdr>
                </w:div>
                <w:div w:id="1183124653">
                  <w:marLeft w:val="0"/>
                  <w:marRight w:val="0"/>
                  <w:marTop w:val="0"/>
                  <w:marBottom w:val="101"/>
                  <w:divBdr>
                    <w:top w:val="none" w:sz="0" w:space="0" w:color="auto"/>
                    <w:left w:val="none" w:sz="0" w:space="0" w:color="auto"/>
                    <w:bottom w:val="none" w:sz="0" w:space="0" w:color="auto"/>
                    <w:right w:val="none" w:sz="0" w:space="0" w:color="auto"/>
                  </w:divBdr>
                </w:div>
                <w:div w:id="1230384788">
                  <w:marLeft w:val="0"/>
                  <w:marRight w:val="0"/>
                  <w:marTop w:val="0"/>
                  <w:marBottom w:val="101"/>
                  <w:divBdr>
                    <w:top w:val="none" w:sz="0" w:space="0" w:color="auto"/>
                    <w:left w:val="none" w:sz="0" w:space="0" w:color="auto"/>
                    <w:bottom w:val="none" w:sz="0" w:space="0" w:color="auto"/>
                    <w:right w:val="none" w:sz="0" w:space="0" w:color="auto"/>
                  </w:divBdr>
                </w:div>
                <w:div w:id="98263241">
                  <w:marLeft w:val="0"/>
                  <w:marRight w:val="0"/>
                  <w:marTop w:val="0"/>
                  <w:marBottom w:val="101"/>
                  <w:divBdr>
                    <w:top w:val="none" w:sz="0" w:space="0" w:color="auto"/>
                    <w:left w:val="none" w:sz="0" w:space="0" w:color="auto"/>
                    <w:bottom w:val="none" w:sz="0" w:space="0" w:color="auto"/>
                    <w:right w:val="none" w:sz="0" w:space="0" w:color="auto"/>
                  </w:divBdr>
                </w:div>
                <w:div w:id="621883741">
                  <w:marLeft w:val="0"/>
                  <w:marRight w:val="0"/>
                  <w:marTop w:val="0"/>
                  <w:marBottom w:val="101"/>
                  <w:divBdr>
                    <w:top w:val="none" w:sz="0" w:space="0" w:color="auto"/>
                    <w:left w:val="none" w:sz="0" w:space="0" w:color="auto"/>
                    <w:bottom w:val="none" w:sz="0" w:space="0" w:color="auto"/>
                    <w:right w:val="none" w:sz="0" w:space="0" w:color="auto"/>
                  </w:divBdr>
                </w:div>
                <w:div w:id="1509061078">
                  <w:marLeft w:val="0"/>
                  <w:marRight w:val="0"/>
                  <w:marTop w:val="0"/>
                  <w:marBottom w:val="101"/>
                  <w:divBdr>
                    <w:top w:val="none" w:sz="0" w:space="0" w:color="auto"/>
                    <w:left w:val="none" w:sz="0" w:space="0" w:color="auto"/>
                    <w:bottom w:val="none" w:sz="0" w:space="0" w:color="auto"/>
                    <w:right w:val="none" w:sz="0" w:space="0" w:color="auto"/>
                  </w:divBdr>
                </w:div>
                <w:div w:id="1479104474">
                  <w:marLeft w:val="0"/>
                  <w:marRight w:val="0"/>
                  <w:marTop w:val="101"/>
                  <w:marBottom w:val="101"/>
                  <w:divBdr>
                    <w:top w:val="none" w:sz="0" w:space="0" w:color="auto"/>
                    <w:left w:val="none" w:sz="0" w:space="0" w:color="auto"/>
                    <w:bottom w:val="none" w:sz="0" w:space="0" w:color="auto"/>
                    <w:right w:val="none" w:sz="0" w:space="0" w:color="auto"/>
                  </w:divBdr>
                </w:div>
                <w:div w:id="1657294554">
                  <w:marLeft w:val="0"/>
                  <w:marRight w:val="0"/>
                  <w:marTop w:val="0"/>
                  <w:marBottom w:val="101"/>
                  <w:divBdr>
                    <w:top w:val="none" w:sz="0" w:space="0" w:color="auto"/>
                    <w:left w:val="none" w:sz="0" w:space="0" w:color="auto"/>
                    <w:bottom w:val="none" w:sz="0" w:space="0" w:color="auto"/>
                    <w:right w:val="none" w:sz="0" w:space="0" w:color="auto"/>
                  </w:divBdr>
                </w:div>
                <w:div w:id="268247534">
                  <w:marLeft w:val="0"/>
                  <w:marRight w:val="0"/>
                  <w:marTop w:val="0"/>
                  <w:marBottom w:val="101"/>
                  <w:divBdr>
                    <w:top w:val="none" w:sz="0" w:space="0" w:color="auto"/>
                    <w:left w:val="none" w:sz="0" w:space="0" w:color="auto"/>
                    <w:bottom w:val="none" w:sz="0" w:space="0" w:color="auto"/>
                    <w:right w:val="none" w:sz="0" w:space="0" w:color="auto"/>
                  </w:divBdr>
                </w:div>
                <w:div w:id="808864915">
                  <w:marLeft w:val="0"/>
                  <w:marRight w:val="0"/>
                  <w:marTop w:val="0"/>
                  <w:marBottom w:val="101"/>
                  <w:divBdr>
                    <w:top w:val="none" w:sz="0" w:space="0" w:color="auto"/>
                    <w:left w:val="none" w:sz="0" w:space="0" w:color="auto"/>
                    <w:bottom w:val="none" w:sz="0" w:space="0" w:color="auto"/>
                    <w:right w:val="none" w:sz="0" w:space="0" w:color="auto"/>
                  </w:divBdr>
                </w:div>
                <w:div w:id="1299068131">
                  <w:marLeft w:val="0"/>
                  <w:marRight w:val="0"/>
                  <w:marTop w:val="0"/>
                  <w:marBottom w:val="101"/>
                  <w:divBdr>
                    <w:top w:val="none" w:sz="0" w:space="0" w:color="auto"/>
                    <w:left w:val="none" w:sz="0" w:space="0" w:color="auto"/>
                    <w:bottom w:val="none" w:sz="0" w:space="0" w:color="auto"/>
                    <w:right w:val="none" w:sz="0" w:space="0" w:color="auto"/>
                  </w:divBdr>
                </w:div>
                <w:div w:id="1957248512">
                  <w:marLeft w:val="0"/>
                  <w:marRight w:val="0"/>
                  <w:marTop w:val="0"/>
                  <w:marBottom w:val="101"/>
                  <w:divBdr>
                    <w:top w:val="none" w:sz="0" w:space="0" w:color="auto"/>
                    <w:left w:val="none" w:sz="0" w:space="0" w:color="auto"/>
                    <w:bottom w:val="none" w:sz="0" w:space="0" w:color="auto"/>
                    <w:right w:val="none" w:sz="0" w:space="0" w:color="auto"/>
                  </w:divBdr>
                </w:div>
                <w:div w:id="225339615">
                  <w:marLeft w:val="0"/>
                  <w:marRight w:val="0"/>
                  <w:marTop w:val="0"/>
                  <w:marBottom w:val="101"/>
                  <w:divBdr>
                    <w:top w:val="none" w:sz="0" w:space="0" w:color="auto"/>
                    <w:left w:val="none" w:sz="0" w:space="0" w:color="auto"/>
                    <w:bottom w:val="none" w:sz="0" w:space="0" w:color="auto"/>
                    <w:right w:val="none" w:sz="0" w:space="0" w:color="auto"/>
                  </w:divBdr>
                </w:div>
                <w:div w:id="1740056140">
                  <w:marLeft w:val="0"/>
                  <w:marRight w:val="0"/>
                  <w:marTop w:val="0"/>
                  <w:marBottom w:val="101"/>
                  <w:divBdr>
                    <w:top w:val="none" w:sz="0" w:space="0" w:color="auto"/>
                    <w:left w:val="none" w:sz="0" w:space="0" w:color="auto"/>
                    <w:bottom w:val="none" w:sz="0" w:space="0" w:color="auto"/>
                    <w:right w:val="none" w:sz="0" w:space="0" w:color="auto"/>
                  </w:divBdr>
                </w:div>
                <w:div w:id="1236353641">
                  <w:marLeft w:val="864"/>
                  <w:marRight w:val="0"/>
                  <w:marTop w:val="0"/>
                  <w:marBottom w:val="101"/>
                  <w:divBdr>
                    <w:top w:val="none" w:sz="0" w:space="0" w:color="auto"/>
                    <w:left w:val="none" w:sz="0" w:space="0" w:color="auto"/>
                    <w:bottom w:val="none" w:sz="0" w:space="0" w:color="auto"/>
                    <w:right w:val="none" w:sz="0" w:space="0" w:color="auto"/>
                  </w:divBdr>
                </w:div>
                <w:div w:id="1431005297">
                  <w:marLeft w:val="864"/>
                  <w:marRight w:val="0"/>
                  <w:marTop w:val="0"/>
                  <w:marBottom w:val="101"/>
                  <w:divBdr>
                    <w:top w:val="none" w:sz="0" w:space="0" w:color="auto"/>
                    <w:left w:val="none" w:sz="0" w:space="0" w:color="auto"/>
                    <w:bottom w:val="none" w:sz="0" w:space="0" w:color="auto"/>
                    <w:right w:val="none" w:sz="0" w:space="0" w:color="auto"/>
                  </w:divBdr>
                </w:div>
                <w:div w:id="1810249282">
                  <w:marLeft w:val="0"/>
                  <w:marRight w:val="0"/>
                  <w:marTop w:val="0"/>
                  <w:marBottom w:val="101"/>
                  <w:divBdr>
                    <w:top w:val="none" w:sz="0" w:space="0" w:color="auto"/>
                    <w:left w:val="none" w:sz="0" w:space="0" w:color="auto"/>
                    <w:bottom w:val="none" w:sz="0" w:space="0" w:color="auto"/>
                    <w:right w:val="none" w:sz="0" w:space="0" w:color="auto"/>
                  </w:divBdr>
                </w:div>
                <w:div w:id="198124757">
                  <w:marLeft w:val="864"/>
                  <w:marRight w:val="0"/>
                  <w:marTop w:val="0"/>
                  <w:marBottom w:val="101"/>
                  <w:divBdr>
                    <w:top w:val="none" w:sz="0" w:space="0" w:color="auto"/>
                    <w:left w:val="none" w:sz="0" w:space="0" w:color="auto"/>
                    <w:bottom w:val="none" w:sz="0" w:space="0" w:color="auto"/>
                    <w:right w:val="none" w:sz="0" w:space="0" w:color="auto"/>
                  </w:divBdr>
                </w:div>
                <w:div w:id="153226808">
                  <w:marLeft w:val="864"/>
                  <w:marRight w:val="0"/>
                  <w:marTop w:val="0"/>
                  <w:marBottom w:val="101"/>
                  <w:divBdr>
                    <w:top w:val="none" w:sz="0" w:space="0" w:color="auto"/>
                    <w:left w:val="none" w:sz="0" w:space="0" w:color="auto"/>
                    <w:bottom w:val="none" w:sz="0" w:space="0" w:color="auto"/>
                    <w:right w:val="none" w:sz="0" w:space="0" w:color="auto"/>
                  </w:divBdr>
                </w:div>
                <w:div w:id="415909016">
                  <w:marLeft w:val="864"/>
                  <w:marRight w:val="0"/>
                  <w:marTop w:val="0"/>
                  <w:marBottom w:val="101"/>
                  <w:divBdr>
                    <w:top w:val="none" w:sz="0" w:space="0" w:color="auto"/>
                    <w:left w:val="none" w:sz="0" w:space="0" w:color="auto"/>
                    <w:bottom w:val="none" w:sz="0" w:space="0" w:color="auto"/>
                    <w:right w:val="none" w:sz="0" w:space="0" w:color="auto"/>
                  </w:divBdr>
                </w:div>
                <w:div w:id="525562566">
                  <w:marLeft w:val="864"/>
                  <w:marRight w:val="0"/>
                  <w:marTop w:val="0"/>
                  <w:marBottom w:val="101"/>
                  <w:divBdr>
                    <w:top w:val="none" w:sz="0" w:space="0" w:color="auto"/>
                    <w:left w:val="none" w:sz="0" w:space="0" w:color="auto"/>
                    <w:bottom w:val="none" w:sz="0" w:space="0" w:color="auto"/>
                    <w:right w:val="none" w:sz="0" w:space="0" w:color="auto"/>
                  </w:divBdr>
                </w:div>
                <w:div w:id="1053623204">
                  <w:marLeft w:val="864"/>
                  <w:marRight w:val="0"/>
                  <w:marTop w:val="0"/>
                  <w:marBottom w:val="101"/>
                  <w:divBdr>
                    <w:top w:val="none" w:sz="0" w:space="0" w:color="auto"/>
                    <w:left w:val="none" w:sz="0" w:space="0" w:color="auto"/>
                    <w:bottom w:val="none" w:sz="0" w:space="0" w:color="auto"/>
                    <w:right w:val="none" w:sz="0" w:space="0" w:color="auto"/>
                  </w:divBdr>
                </w:div>
                <w:div w:id="619147170">
                  <w:marLeft w:val="864"/>
                  <w:marRight w:val="0"/>
                  <w:marTop w:val="0"/>
                  <w:marBottom w:val="101"/>
                  <w:divBdr>
                    <w:top w:val="none" w:sz="0" w:space="0" w:color="auto"/>
                    <w:left w:val="none" w:sz="0" w:space="0" w:color="auto"/>
                    <w:bottom w:val="none" w:sz="0" w:space="0" w:color="auto"/>
                    <w:right w:val="none" w:sz="0" w:space="0" w:color="auto"/>
                  </w:divBdr>
                </w:div>
                <w:div w:id="1252397859">
                  <w:marLeft w:val="864"/>
                  <w:marRight w:val="0"/>
                  <w:marTop w:val="0"/>
                  <w:marBottom w:val="101"/>
                  <w:divBdr>
                    <w:top w:val="none" w:sz="0" w:space="0" w:color="auto"/>
                    <w:left w:val="none" w:sz="0" w:space="0" w:color="auto"/>
                    <w:bottom w:val="none" w:sz="0" w:space="0" w:color="auto"/>
                    <w:right w:val="none" w:sz="0" w:space="0" w:color="auto"/>
                  </w:divBdr>
                </w:div>
                <w:div w:id="734088862">
                  <w:marLeft w:val="864"/>
                  <w:marRight w:val="0"/>
                  <w:marTop w:val="0"/>
                  <w:marBottom w:val="101"/>
                  <w:divBdr>
                    <w:top w:val="none" w:sz="0" w:space="0" w:color="auto"/>
                    <w:left w:val="none" w:sz="0" w:space="0" w:color="auto"/>
                    <w:bottom w:val="none" w:sz="0" w:space="0" w:color="auto"/>
                    <w:right w:val="none" w:sz="0" w:space="0" w:color="auto"/>
                  </w:divBdr>
                </w:div>
                <w:div w:id="862595938">
                  <w:marLeft w:val="0"/>
                  <w:marRight w:val="0"/>
                  <w:marTop w:val="0"/>
                  <w:marBottom w:val="101"/>
                  <w:divBdr>
                    <w:top w:val="none" w:sz="0" w:space="0" w:color="auto"/>
                    <w:left w:val="none" w:sz="0" w:space="0" w:color="auto"/>
                    <w:bottom w:val="none" w:sz="0" w:space="0" w:color="auto"/>
                    <w:right w:val="none" w:sz="0" w:space="0" w:color="auto"/>
                  </w:divBdr>
                </w:div>
                <w:div w:id="1659386987">
                  <w:marLeft w:val="864"/>
                  <w:marRight w:val="0"/>
                  <w:marTop w:val="0"/>
                  <w:marBottom w:val="101"/>
                  <w:divBdr>
                    <w:top w:val="none" w:sz="0" w:space="0" w:color="auto"/>
                    <w:left w:val="none" w:sz="0" w:space="0" w:color="auto"/>
                    <w:bottom w:val="none" w:sz="0" w:space="0" w:color="auto"/>
                    <w:right w:val="none" w:sz="0" w:space="0" w:color="auto"/>
                  </w:divBdr>
                </w:div>
                <w:div w:id="1564639229">
                  <w:marLeft w:val="864"/>
                  <w:marRight w:val="0"/>
                  <w:marTop w:val="0"/>
                  <w:marBottom w:val="101"/>
                  <w:divBdr>
                    <w:top w:val="none" w:sz="0" w:space="0" w:color="auto"/>
                    <w:left w:val="none" w:sz="0" w:space="0" w:color="auto"/>
                    <w:bottom w:val="none" w:sz="0" w:space="0" w:color="auto"/>
                    <w:right w:val="none" w:sz="0" w:space="0" w:color="auto"/>
                  </w:divBdr>
                </w:div>
                <w:div w:id="1169633805">
                  <w:marLeft w:val="864"/>
                  <w:marRight w:val="0"/>
                  <w:marTop w:val="0"/>
                  <w:marBottom w:val="101"/>
                  <w:divBdr>
                    <w:top w:val="none" w:sz="0" w:space="0" w:color="auto"/>
                    <w:left w:val="none" w:sz="0" w:space="0" w:color="auto"/>
                    <w:bottom w:val="none" w:sz="0" w:space="0" w:color="auto"/>
                    <w:right w:val="none" w:sz="0" w:space="0" w:color="auto"/>
                  </w:divBdr>
                </w:div>
                <w:div w:id="1054082910">
                  <w:marLeft w:val="864"/>
                  <w:marRight w:val="0"/>
                  <w:marTop w:val="0"/>
                  <w:marBottom w:val="101"/>
                  <w:divBdr>
                    <w:top w:val="none" w:sz="0" w:space="0" w:color="auto"/>
                    <w:left w:val="none" w:sz="0" w:space="0" w:color="auto"/>
                    <w:bottom w:val="none" w:sz="0" w:space="0" w:color="auto"/>
                    <w:right w:val="none" w:sz="0" w:space="0" w:color="auto"/>
                  </w:divBdr>
                </w:div>
                <w:div w:id="425729839">
                  <w:marLeft w:val="864"/>
                  <w:marRight w:val="0"/>
                  <w:marTop w:val="0"/>
                  <w:marBottom w:val="101"/>
                  <w:divBdr>
                    <w:top w:val="none" w:sz="0" w:space="0" w:color="auto"/>
                    <w:left w:val="none" w:sz="0" w:space="0" w:color="auto"/>
                    <w:bottom w:val="none" w:sz="0" w:space="0" w:color="auto"/>
                    <w:right w:val="none" w:sz="0" w:space="0" w:color="auto"/>
                  </w:divBdr>
                </w:div>
                <w:div w:id="1882472690">
                  <w:marLeft w:val="864"/>
                  <w:marRight w:val="0"/>
                  <w:marTop w:val="0"/>
                  <w:marBottom w:val="101"/>
                  <w:divBdr>
                    <w:top w:val="none" w:sz="0" w:space="0" w:color="auto"/>
                    <w:left w:val="none" w:sz="0" w:space="0" w:color="auto"/>
                    <w:bottom w:val="none" w:sz="0" w:space="0" w:color="auto"/>
                    <w:right w:val="none" w:sz="0" w:space="0" w:color="auto"/>
                  </w:divBdr>
                </w:div>
                <w:div w:id="390537865">
                  <w:marLeft w:val="864"/>
                  <w:marRight w:val="0"/>
                  <w:marTop w:val="0"/>
                  <w:marBottom w:val="101"/>
                  <w:divBdr>
                    <w:top w:val="none" w:sz="0" w:space="0" w:color="auto"/>
                    <w:left w:val="none" w:sz="0" w:space="0" w:color="auto"/>
                    <w:bottom w:val="none" w:sz="0" w:space="0" w:color="auto"/>
                    <w:right w:val="none" w:sz="0" w:space="0" w:color="auto"/>
                  </w:divBdr>
                </w:div>
                <w:div w:id="95027864">
                  <w:marLeft w:val="864"/>
                  <w:marRight w:val="0"/>
                  <w:marTop w:val="0"/>
                  <w:marBottom w:val="101"/>
                  <w:divBdr>
                    <w:top w:val="none" w:sz="0" w:space="0" w:color="auto"/>
                    <w:left w:val="none" w:sz="0" w:space="0" w:color="auto"/>
                    <w:bottom w:val="none" w:sz="0" w:space="0" w:color="auto"/>
                    <w:right w:val="none" w:sz="0" w:space="0" w:color="auto"/>
                  </w:divBdr>
                </w:div>
                <w:div w:id="258299257">
                  <w:marLeft w:val="864"/>
                  <w:marRight w:val="0"/>
                  <w:marTop w:val="0"/>
                  <w:marBottom w:val="101"/>
                  <w:divBdr>
                    <w:top w:val="none" w:sz="0" w:space="0" w:color="auto"/>
                    <w:left w:val="none" w:sz="0" w:space="0" w:color="auto"/>
                    <w:bottom w:val="none" w:sz="0" w:space="0" w:color="auto"/>
                    <w:right w:val="none" w:sz="0" w:space="0" w:color="auto"/>
                  </w:divBdr>
                </w:div>
                <w:div w:id="883710371">
                  <w:marLeft w:val="864"/>
                  <w:marRight w:val="0"/>
                  <w:marTop w:val="0"/>
                  <w:marBottom w:val="101"/>
                  <w:divBdr>
                    <w:top w:val="none" w:sz="0" w:space="0" w:color="auto"/>
                    <w:left w:val="none" w:sz="0" w:space="0" w:color="auto"/>
                    <w:bottom w:val="none" w:sz="0" w:space="0" w:color="auto"/>
                    <w:right w:val="none" w:sz="0" w:space="0" w:color="auto"/>
                  </w:divBdr>
                </w:div>
                <w:div w:id="1956331512">
                  <w:marLeft w:val="864"/>
                  <w:marRight w:val="0"/>
                  <w:marTop w:val="0"/>
                  <w:marBottom w:val="101"/>
                  <w:divBdr>
                    <w:top w:val="none" w:sz="0" w:space="0" w:color="auto"/>
                    <w:left w:val="none" w:sz="0" w:space="0" w:color="auto"/>
                    <w:bottom w:val="none" w:sz="0" w:space="0" w:color="auto"/>
                    <w:right w:val="none" w:sz="0" w:space="0" w:color="auto"/>
                  </w:divBdr>
                </w:div>
                <w:div w:id="988243192">
                  <w:marLeft w:val="0"/>
                  <w:marRight w:val="0"/>
                  <w:marTop w:val="0"/>
                  <w:marBottom w:val="101"/>
                  <w:divBdr>
                    <w:top w:val="none" w:sz="0" w:space="0" w:color="auto"/>
                    <w:left w:val="none" w:sz="0" w:space="0" w:color="auto"/>
                    <w:bottom w:val="none" w:sz="0" w:space="0" w:color="auto"/>
                    <w:right w:val="none" w:sz="0" w:space="0" w:color="auto"/>
                  </w:divBdr>
                </w:div>
                <w:div w:id="881021390">
                  <w:marLeft w:val="864"/>
                  <w:marRight w:val="0"/>
                  <w:marTop w:val="0"/>
                  <w:marBottom w:val="101"/>
                  <w:divBdr>
                    <w:top w:val="none" w:sz="0" w:space="0" w:color="auto"/>
                    <w:left w:val="none" w:sz="0" w:space="0" w:color="auto"/>
                    <w:bottom w:val="none" w:sz="0" w:space="0" w:color="auto"/>
                    <w:right w:val="none" w:sz="0" w:space="0" w:color="auto"/>
                  </w:divBdr>
                </w:div>
                <w:div w:id="1937014648">
                  <w:marLeft w:val="864"/>
                  <w:marRight w:val="0"/>
                  <w:marTop w:val="0"/>
                  <w:marBottom w:val="101"/>
                  <w:divBdr>
                    <w:top w:val="none" w:sz="0" w:space="0" w:color="auto"/>
                    <w:left w:val="none" w:sz="0" w:space="0" w:color="auto"/>
                    <w:bottom w:val="none" w:sz="0" w:space="0" w:color="auto"/>
                    <w:right w:val="none" w:sz="0" w:space="0" w:color="auto"/>
                  </w:divBdr>
                </w:div>
                <w:div w:id="1236672797">
                  <w:marLeft w:val="864"/>
                  <w:marRight w:val="0"/>
                  <w:marTop w:val="0"/>
                  <w:marBottom w:val="101"/>
                  <w:divBdr>
                    <w:top w:val="none" w:sz="0" w:space="0" w:color="auto"/>
                    <w:left w:val="none" w:sz="0" w:space="0" w:color="auto"/>
                    <w:bottom w:val="none" w:sz="0" w:space="0" w:color="auto"/>
                    <w:right w:val="none" w:sz="0" w:space="0" w:color="auto"/>
                  </w:divBdr>
                </w:div>
                <w:div w:id="1530026574">
                  <w:marLeft w:val="864"/>
                  <w:marRight w:val="0"/>
                  <w:marTop w:val="0"/>
                  <w:marBottom w:val="101"/>
                  <w:divBdr>
                    <w:top w:val="none" w:sz="0" w:space="0" w:color="auto"/>
                    <w:left w:val="none" w:sz="0" w:space="0" w:color="auto"/>
                    <w:bottom w:val="none" w:sz="0" w:space="0" w:color="auto"/>
                    <w:right w:val="none" w:sz="0" w:space="0" w:color="auto"/>
                  </w:divBdr>
                </w:div>
                <w:div w:id="300161365">
                  <w:marLeft w:val="864"/>
                  <w:marRight w:val="0"/>
                  <w:marTop w:val="0"/>
                  <w:marBottom w:val="101"/>
                  <w:divBdr>
                    <w:top w:val="none" w:sz="0" w:space="0" w:color="auto"/>
                    <w:left w:val="none" w:sz="0" w:space="0" w:color="auto"/>
                    <w:bottom w:val="none" w:sz="0" w:space="0" w:color="auto"/>
                    <w:right w:val="none" w:sz="0" w:space="0" w:color="auto"/>
                  </w:divBdr>
                </w:div>
                <w:div w:id="1511141390">
                  <w:marLeft w:val="864"/>
                  <w:marRight w:val="0"/>
                  <w:marTop w:val="0"/>
                  <w:marBottom w:val="101"/>
                  <w:divBdr>
                    <w:top w:val="none" w:sz="0" w:space="0" w:color="auto"/>
                    <w:left w:val="none" w:sz="0" w:space="0" w:color="auto"/>
                    <w:bottom w:val="none" w:sz="0" w:space="0" w:color="auto"/>
                    <w:right w:val="none" w:sz="0" w:space="0" w:color="auto"/>
                  </w:divBdr>
                </w:div>
                <w:div w:id="389235134">
                  <w:marLeft w:val="864"/>
                  <w:marRight w:val="0"/>
                  <w:marTop w:val="0"/>
                  <w:marBottom w:val="101"/>
                  <w:divBdr>
                    <w:top w:val="none" w:sz="0" w:space="0" w:color="auto"/>
                    <w:left w:val="none" w:sz="0" w:space="0" w:color="auto"/>
                    <w:bottom w:val="none" w:sz="0" w:space="0" w:color="auto"/>
                    <w:right w:val="none" w:sz="0" w:space="0" w:color="auto"/>
                  </w:divBdr>
                </w:div>
                <w:div w:id="966357848">
                  <w:marLeft w:val="0"/>
                  <w:marRight w:val="0"/>
                  <w:marTop w:val="0"/>
                  <w:marBottom w:val="101"/>
                  <w:divBdr>
                    <w:top w:val="none" w:sz="0" w:space="0" w:color="auto"/>
                    <w:left w:val="none" w:sz="0" w:space="0" w:color="auto"/>
                    <w:bottom w:val="none" w:sz="0" w:space="0" w:color="auto"/>
                    <w:right w:val="none" w:sz="0" w:space="0" w:color="auto"/>
                  </w:divBdr>
                </w:div>
                <w:div w:id="752508382">
                  <w:marLeft w:val="0"/>
                  <w:marRight w:val="0"/>
                  <w:marTop w:val="0"/>
                  <w:marBottom w:val="101"/>
                  <w:divBdr>
                    <w:top w:val="none" w:sz="0" w:space="0" w:color="auto"/>
                    <w:left w:val="none" w:sz="0" w:space="0" w:color="auto"/>
                    <w:bottom w:val="none" w:sz="0" w:space="0" w:color="auto"/>
                    <w:right w:val="none" w:sz="0" w:space="0" w:color="auto"/>
                  </w:divBdr>
                </w:div>
                <w:div w:id="607737983">
                  <w:marLeft w:val="0"/>
                  <w:marRight w:val="0"/>
                  <w:marTop w:val="0"/>
                  <w:marBottom w:val="101"/>
                  <w:divBdr>
                    <w:top w:val="none" w:sz="0" w:space="0" w:color="auto"/>
                    <w:left w:val="none" w:sz="0" w:space="0" w:color="auto"/>
                    <w:bottom w:val="none" w:sz="0" w:space="0" w:color="auto"/>
                    <w:right w:val="none" w:sz="0" w:space="0" w:color="auto"/>
                  </w:divBdr>
                </w:div>
                <w:div w:id="678502863">
                  <w:marLeft w:val="0"/>
                  <w:marRight w:val="0"/>
                  <w:marTop w:val="0"/>
                  <w:marBottom w:val="101"/>
                  <w:divBdr>
                    <w:top w:val="none" w:sz="0" w:space="0" w:color="auto"/>
                    <w:left w:val="none" w:sz="0" w:space="0" w:color="auto"/>
                    <w:bottom w:val="none" w:sz="0" w:space="0" w:color="auto"/>
                    <w:right w:val="none" w:sz="0" w:space="0" w:color="auto"/>
                  </w:divBdr>
                </w:div>
                <w:div w:id="155533833">
                  <w:marLeft w:val="0"/>
                  <w:marRight w:val="0"/>
                  <w:marTop w:val="0"/>
                  <w:marBottom w:val="101"/>
                  <w:divBdr>
                    <w:top w:val="none" w:sz="0" w:space="0" w:color="auto"/>
                    <w:left w:val="none" w:sz="0" w:space="0" w:color="auto"/>
                    <w:bottom w:val="none" w:sz="0" w:space="0" w:color="auto"/>
                    <w:right w:val="none" w:sz="0" w:space="0" w:color="auto"/>
                  </w:divBdr>
                </w:div>
                <w:div w:id="1987666317">
                  <w:marLeft w:val="0"/>
                  <w:marRight w:val="0"/>
                  <w:marTop w:val="0"/>
                  <w:marBottom w:val="101"/>
                  <w:divBdr>
                    <w:top w:val="none" w:sz="0" w:space="0" w:color="auto"/>
                    <w:left w:val="none" w:sz="0" w:space="0" w:color="auto"/>
                    <w:bottom w:val="none" w:sz="0" w:space="0" w:color="auto"/>
                    <w:right w:val="none" w:sz="0" w:space="0" w:color="auto"/>
                  </w:divBdr>
                </w:div>
                <w:div w:id="313065714">
                  <w:marLeft w:val="0"/>
                  <w:marRight w:val="0"/>
                  <w:marTop w:val="0"/>
                  <w:marBottom w:val="101"/>
                  <w:divBdr>
                    <w:top w:val="none" w:sz="0" w:space="0" w:color="auto"/>
                    <w:left w:val="none" w:sz="0" w:space="0" w:color="auto"/>
                    <w:bottom w:val="none" w:sz="0" w:space="0" w:color="auto"/>
                    <w:right w:val="none" w:sz="0" w:space="0" w:color="auto"/>
                  </w:divBdr>
                </w:div>
                <w:div w:id="1584726758">
                  <w:marLeft w:val="0"/>
                  <w:marRight w:val="0"/>
                  <w:marTop w:val="0"/>
                  <w:marBottom w:val="101"/>
                  <w:divBdr>
                    <w:top w:val="none" w:sz="0" w:space="0" w:color="auto"/>
                    <w:left w:val="none" w:sz="0" w:space="0" w:color="auto"/>
                    <w:bottom w:val="none" w:sz="0" w:space="0" w:color="auto"/>
                    <w:right w:val="none" w:sz="0" w:space="0" w:color="auto"/>
                  </w:divBdr>
                </w:div>
                <w:div w:id="746150468">
                  <w:marLeft w:val="0"/>
                  <w:marRight w:val="0"/>
                  <w:marTop w:val="0"/>
                  <w:marBottom w:val="101"/>
                  <w:divBdr>
                    <w:top w:val="none" w:sz="0" w:space="0" w:color="auto"/>
                    <w:left w:val="none" w:sz="0" w:space="0" w:color="auto"/>
                    <w:bottom w:val="none" w:sz="0" w:space="0" w:color="auto"/>
                    <w:right w:val="none" w:sz="0" w:space="0" w:color="auto"/>
                  </w:divBdr>
                </w:div>
                <w:div w:id="30280697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780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2546</Words>
  <Characters>14008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2019-03-26T16:16:00Z</dcterms:created>
  <dcterms:modified xsi:type="dcterms:W3CDTF">2019-03-26T16:19:00Z</dcterms:modified>
</cp:coreProperties>
</file>