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Chihuahua.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POR EL QUE SE MODIFICA EL ANEXO No. 19 AL CONVENIO DE COLABORACIÓN ADMINISTRATIVA EN MATERIA FISCAL FEDERAL, CELEBRADO ENTRE EL GOBIERNO FEDERAL, POR CONDUCTO DE LA SECRETARÍA DE HACIENDA Y CRÉDITO PÚBLICO, Y EL GOBIERNO DEL ESTADO DE CHIHUAHUA.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por conducto de la Secretaría de Hacienda y Crédito Público, a la que en lo sucesivo se le denominará la "Secretaría"</w:t>
      </w:r>
      <w:r w:rsidDel="00000000" w:rsidR="00000000" w:rsidRPr="00000000">
        <w:rPr>
          <w:sz w:val="18"/>
          <w:szCs w:val="18"/>
          <w:rtl w:val="0"/>
        </w:rPr>
        <w:t xml:space="preserve"> </w:t>
      </w:r>
      <w:r w:rsidDel="00000000" w:rsidR="00000000" w:rsidRPr="00000000">
        <w:rPr>
          <w:color w:val="2f2f2f"/>
          <w:sz w:val="18"/>
          <w:szCs w:val="18"/>
          <w:rtl w:val="0"/>
        </w:rPr>
        <w:t xml:space="preserve">y el Gobierno del Estado de Chihuahua,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color w:val="2f2f2f"/>
          <w:sz w:val="18"/>
          <w:szCs w:val="18"/>
        </w:rPr>
      </w:pPr>
      <w:r w:rsidDel="00000000" w:rsidR="00000000" w:rsidRPr="00000000">
        <w:rPr>
          <w:rFonts w:ascii="Times New Roman" w:cs="Times New Roman" w:eastAsia="Times New Roman" w:hAnsi="Times New Roman"/>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color w:val="2f2f2f"/>
          <w:sz w:val="20"/>
          <w:szCs w:val="20"/>
          <w:vertAlign w:val="superscript"/>
          <w:rtl w:val="0"/>
        </w:rPr>
        <w:t xml:space="preserve">i</w:t>
      </w:r>
      <w:r w:rsidDel="00000000" w:rsidR="00000000" w:rsidRPr="00000000">
        <w:rPr>
          <w:color w:val="2f2f2f"/>
          <w:sz w:val="20"/>
          <w:szCs w:val="20"/>
          <w:vertAlign w:val="subscript"/>
          <w:rtl w:val="0"/>
        </w:rPr>
        <w:t xml:space="preserve">t-</w:t>
      </w:r>
      <w:r w:rsidDel="00000000" w:rsidR="00000000" w:rsidRPr="00000000">
        <w:rPr>
          <w:color w:val="2f2f2f"/>
          <w:sz w:val="12"/>
          <w:szCs w:val="12"/>
          <w:rtl w:val="0"/>
        </w:rPr>
        <w:t xml:space="preserve">1</w:t>
      </w:r>
      <w:r w:rsidDel="00000000" w:rsidR="00000000" w:rsidRPr="00000000">
        <w:rPr>
          <w:color w:val="2f2f2f"/>
          <w:sz w:val="20"/>
          <w:szCs w:val="20"/>
          <w:vertAlign w:val="subscript"/>
          <w:rtl w:val="0"/>
        </w:rPr>
        <w:t xml:space="preserve"> </w:t>
      </w:r>
      <w:r w:rsidDel="00000000" w:rsidR="00000000" w:rsidRPr="00000000">
        <w:rPr>
          <w:color w:val="2f2f2f"/>
          <w:sz w:val="12"/>
          <w:szCs w:val="12"/>
          <w:rtl w:val="0"/>
        </w:rPr>
        <w:t xml:space="preserve">se mantiene fija en el tiempo, en función del porcentaje que cada Entidad obtuvo durante el ejercicio 2014 (a</w:t>
      </w:r>
      <w:r w:rsidDel="00000000" w:rsidR="00000000" w:rsidRPr="00000000">
        <w:rPr>
          <w:color w:val="2f2f2f"/>
          <w:sz w:val="20"/>
          <w:szCs w:val="20"/>
          <w:vertAlign w:val="superscript"/>
          <w:rtl w:val="0"/>
        </w:rPr>
        <w:t xml:space="preserve">i</w:t>
      </w:r>
      <w:r w:rsidDel="00000000" w:rsidR="00000000" w:rsidRPr="00000000">
        <w:rPr>
          <w:color w:val="2f2f2f"/>
          <w:sz w:val="12"/>
          <w:szCs w:val="12"/>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Chihuahua,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1, 2, 3, 31, párrafo primero, fracción II, 64, primer párrafo, fracción IX, inciso C, 93, párrafo primero, fracción XLI y 97 de la Constitución Política del Estado de Chihuahua; 10, 13 y 14 de la Ley de Coordinación Fiscal; 1, primer y segundo párrafos, fracciones I, II y III, 2, primer párrafo, fracción I, 24, primer párrafo, fracciones I y II, 25, primer párrafo, fracción I y 26, primer párrafo, fracciones I, IX y X de la Ley Orgánica del Poder Ejecutivo del Estado de Chihuahua, y 5, primer párrafo, 8, primer párrafo, fracciones I, IX y X del Reglamento Interior de la Secretaría de Hacienda, ambas partes</w:t>
      </w:r>
    </w:p>
    <w:p w:rsidR="00000000" w:rsidDel="00000000" w:rsidP="00000000" w:rsidRDefault="00000000" w:rsidRPr="00000000" w14:paraId="0000000E">
      <w:pPr>
        <w:shd w:fill="ffffff" w:val="clear"/>
        <w:spacing w:after="60" w:before="100" w:lineRule="auto"/>
        <w:jc w:val="center"/>
        <w:rPr>
          <w:rFonts w:ascii="Times New Roman" w:cs="Times New Roman" w:eastAsia="Times New Roman" w:hAnsi="Times New Roman"/>
          <w:color w:val="2f2f2f"/>
          <w:sz w:val="18"/>
          <w:szCs w:val="18"/>
        </w:rPr>
      </w:pPr>
      <w:r w:rsidDel="00000000" w:rsidR="00000000" w:rsidRPr="00000000">
        <w:rPr>
          <w:rFonts w:ascii="Times New Roman" w:cs="Times New Roman" w:eastAsia="Times New Roman" w:hAnsi="Times New Roman"/>
          <w:color w:val="2f2f2f"/>
          <w:sz w:val="18"/>
          <w:szCs w:val="18"/>
          <w:rtl w:val="0"/>
        </w:rPr>
        <w:t xml:space="preserve"> </w:t>
      </w:r>
    </w:p>
    <w:p w:rsidR="00000000" w:rsidDel="00000000" w:rsidP="00000000" w:rsidRDefault="00000000" w:rsidRPr="00000000" w14:paraId="0000000F">
      <w:pPr>
        <w:shd w:fill="ffffff" w:val="clear"/>
        <w:spacing w:after="60" w:before="100" w:lineRule="auto"/>
        <w:jc w:val="center"/>
        <w:rPr>
          <w:rFonts w:ascii="Times New Roman" w:cs="Times New Roman" w:eastAsia="Times New Roman" w:hAnsi="Times New Roman"/>
          <w:color w:val="2f2f2f"/>
          <w:sz w:val="18"/>
          <w:szCs w:val="18"/>
        </w:rPr>
      </w:pPr>
      <w:r w:rsidDel="00000000" w:rsidR="00000000" w:rsidRPr="00000000">
        <w:rPr>
          <w:rFonts w:ascii="Times New Roman" w:cs="Times New Roman" w:eastAsia="Times New Roman" w:hAnsi="Times New Roman"/>
          <w:color w:val="2f2f2f"/>
          <w:sz w:val="18"/>
          <w:szCs w:val="18"/>
          <w:rtl w:val="0"/>
        </w:rPr>
        <w:t xml:space="preserve">ACUERDAN</w:t>
      </w:r>
    </w:p>
    <w:p w:rsidR="00000000" w:rsidDel="00000000" w:rsidP="00000000" w:rsidRDefault="00000000" w:rsidRPr="00000000" w14:paraId="00000010">
      <w:pPr>
        <w:shd w:fill="ffffff" w:val="clear"/>
        <w:spacing w:after="60" w:lineRule="auto"/>
        <w:ind w:firstLine="280"/>
        <w:jc w:val="both"/>
        <w:rPr>
          <w:color w:val="2f2f2f"/>
          <w:sz w:val="14"/>
          <w:szCs w:val="14"/>
        </w:rPr>
      </w:pPr>
      <w:r w:rsidDel="00000000" w:rsidR="00000000" w:rsidRPr="00000000">
        <w:rPr>
          <w:color w:val="2f2f2f"/>
          <w:sz w:val="14"/>
          <w:szCs w:val="14"/>
          <w:rtl w:val="0"/>
        </w:rPr>
        <w:t xml:space="preserve">ÚNICO.- Se reforman las cláusulas tercera, primer párrafo; décima primera; décima segunda, fracción IV; décima quinta; vigésima, variable i2014 contenida en la fracción II, y vigésima primera, y se adiciona 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Chihuahua para quedar de la siguiente manera:</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"TERCERA.- 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"DÉCIMA PRIMERA.- 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"DÉCIMA SEGUNDA.- ...</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IV. Otorgamiento de firma electrónica avanzada (e.firma).</w:t>
      </w:r>
    </w:p>
    <w:p w:rsidR="00000000" w:rsidDel="00000000" w:rsidP="00000000" w:rsidRDefault="00000000" w:rsidRPr="00000000" w14:paraId="0000001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"DÉCIMA QUINTA.- 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color w:val="00ff00"/>
          <w:sz w:val="18"/>
          <w:szCs w:val="18"/>
          <w:rtl w:val="0"/>
        </w:rPr>
        <w:t xml:space="preserve"> </w:t>
      </w:r>
      <w:r w:rsidDel="00000000" w:rsidR="00000000" w:rsidRPr="00000000">
        <w:rPr>
          <w:color w:val="2f2f2f"/>
          <w:sz w:val="18"/>
          <w:szCs w:val="18"/>
          <w:rtl w:val="0"/>
        </w:rPr>
        <w:t xml:space="preserve">actualización y cumplimiento</w:t>
      </w:r>
      <w:r w:rsidDel="00000000" w:rsidR="00000000" w:rsidRPr="00000000">
        <w:rPr>
          <w:color w:val="00ff00"/>
          <w:sz w:val="18"/>
          <w:szCs w:val="18"/>
          <w:rtl w:val="0"/>
        </w:rPr>
        <w:t xml:space="preserve"> </w:t>
      </w:r>
      <w:r w:rsidDel="00000000" w:rsidR="00000000" w:rsidRPr="00000000">
        <w:rPr>
          <w:color w:val="2f2f2f"/>
          <w:sz w:val="18"/>
          <w:szCs w:val="18"/>
          <w:rtl w:val="0"/>
        </w:rPr>
        <w:t xml:space="preserve">de las obligaciones fiscales</w:t>
      </w:r>
      <w:r w:rsidDel="00000000" w:rsidR="00000000" w:rsidRPr="00000000">
        <w:rPr>
          <w:color w:val="00ff00"/>
          <w:sz w:val="18"/>
          <w:szCs w:val="18"/>
          <w:rtl w:val="0"/>
        </w:rPr>
        <w:t xml:space="preserve"> </w:t>
      </w:r>
      <w:r w:rsidDel="00000000" w:rsidR="00000000" w:rsidRPr="00000000">
        <w:rPr>
          <w:color w:val="2f2f2f"/>
          <w:sz w:val="18"/>
          <w:szCs w:val="18"/>
          <w:rtl w:val="0"/>
        </w:rPr>
        <w:t xml:space="preserve">de quienes ya se encuentren inscritos en el Registro Federal de Contribuyentes, en términos de lo que se establezca en el Programa de Trabajo, y en apego a la normatividad que establezca la "Secretaría"."</w:t>
      </w:r>
    </w:p>
    <w:p w:rsidR="00000000" w:rsidDel="00000000" w:rsidP="00000000" w:rsidRDefault="00000000" w:rsidRPr="00000000" w14:paraId="0000001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"VIGÉSIMA.- ...</w:t>
      </w:r>
    </w:p>
    <w:p w:rsidR="00000000" w:rsidDel="00000000" w:rsidP="00000000" w:rsidRDefault="00000000" w:rsidRPr="00000000" w14:paraId="0000001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II. ...</w:t>
      </w:r>
    </w:p>
    <w:p w:rsidR="00000000" w:rsidDel="00000000" w:rsidP="00000000" w:rsidRDefault="00000000" w:rsidRPr="00000000" w14:paraId="0000001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Fórmula ...</w:t>
      </w:r>
    </w:p>
    <w:p w:rsidR="00000000" w:rsidDel="00000000" w:rsidP="00000000" w:rsidRDefault="00000000" w:rsidRPr="00000000" w14:paraId="0000001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01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20">
      <w:pPr>
        <w:shd w:fill="ffffff" w:val="clear"/>
        <w:spacing w:after="60" w:lineRule="auto"/>
        <w:ind w:firstLine="280"/>
        <w:jc w:val="both"/>
        <w:rPr>
          <w:color w:val="2f2f2f"/>
          <w:sz w:val="14"/>
          <w:szCs w:val="14"/>
        </w:rPr>
      </w:pPr>
      <w:r w:rsidDel="00000000" w:rsidR="00000000" w:rsidRPr="00000000">
        <w:rPr>
          <w:color w:val="2f2f2f"/>
          <w:sz w:val="14"/>
          <w:szCs w:val="14"/>
          <w:rtl w:val="0"/>
        </w:rPr>
        <w:t xml:space="preserve">it-1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2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"VIGÉSIMA PRIMERA.-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del párrafo anterior, la "Secretaría" realizará durante el mes de febrero de cada año, respectivamente, la revisión de los resultados obtenidos respecto del cumplimento del Programa de Trabajo."</w:t>
      </w:r>
    </w:p>
    <w:p w:rsidR="00000000" w:rsidDel="00000000" w:rsidP="00000000" w:rsidRDefault="00000000" w:rsidRPr="00000000" w14:paraId="00000026">
      <w:pPr>
        <w:shd w:fill="ffffff" w:val="clear"/>
        <w:spacing w:after="60" w:before="100" w:lineRule="auto"/>
        <w:jc w:val="center"/>
        <w:rPr>
          <w:rFonts w:ascii="Times New Roman" w:cs="Times New Roman" w:eastAsia="Times New Roman" w:hAnsi="Times New Roman"/>
          <w:color w:val="2f2f2f"/>
          <w:sz w:val="18"/>
          <w:szCs w:val="18"/>
        </w:rPr>
      </w:pPr>
      <w:r w:rsidDel="00000000" w:rsidR="00000000" w:rsidRPr="00000000">
        <w:rPr>
          <w:rFonts w:ascii="Times New Roman" w:cs="Times New Roman" w:eastAsia="Times New Roman" w:hAnsi="Times New Roman"/>
          <w:color w:val="2f2f2f"/>
          <w:sz w:val="18"/>
          <w:szCs w:val="18"/>
          <w:rtl w:val="0"/>
        </w:rPr>
        <w:t xml:space="preserve">TRANSITORIOS</w:t>
      </w:r>
    </w:p>
    <w:p w:rsidR="00000000" w:rsidDel="00000000" w:rsidP="00000000" w:rsidRDefault="00000000" w:rsidRPr="00000000" w14:paraId="0000002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PRIMERO.-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60" w:lineRule="auto"/>
        <w:ind w:firstLine="280"/>
        <w:jc w:val="both"/>
        <w:rPr>
          <w:color w:val="2f2f2f"/>
          <w:sz w:val="14"/>
          <w:szCs w:val="14"/>
        </w:rPr>
      </w:pPr>
      <w:r w:rsidDel="00000000" w:rsidR="00000000" w:rsidRPr="00000000">
        <w:rPr>
          <w:color w:val="2f2f2f"/>
          <w:sz w:val="14"/>
          <w:szCs w:val="14"/>
          <w:rtl w:val="0"/>
        </w:rPr>
        <w:t xml:space="preserve">SEGUNDO.-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19 de marzo de 2020.- Por el Estado: el Gobernador Constitucional, Javier Corral Jurado.- Rúbrica.- El Secretario General de Gobierno, Luis Fernando Mesta Soulé.- Rúbrica.- El Secretario de Hacienda, Arturo Fuentes Vélez.- Rúbrica.- Por la Secretaría: el Secretario de Hacienda y Crédito Público,</w:t>
      </w:r>
    </w:p>
    <w:p w:rsidR="00000000" w:rsidDel="00000000" w:rsidP="00000000" w:rsidRDefault="00000000" w:rsidRPr="00000000" w14:paraId="0000002A">
      <w:pPr>
        <w:shd w:fill="ffffff" w:val="clear"/>
        <w:spacing w:after="60" w:lineRule="auto"/>
        <w:jc w:val="both"/>
        <w:rPr>
          <w:color w:val="2f2f2f"/>
          <w:sz w:val="18"/>
          <w:szCs w:val="18"/>
        </w:rPr>
      </w:pPr>
      <w:r w:rsidDel="00000000" w:rsidR="00000000" w:rsidRPr="00000000">
        <w:rPr>
          <w:color w:val="2f2f2f"/>
          <w:sz w:val="18"/>
          <w:szCs w:val="18"/>
          <w:rtl w:val="0"/>
        </w:rPr>
        <w:t xml:space="preserve">Arturo Herrera Gutiérrez.- Rúbrica.</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2C">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