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F25" w:rsidRPr="00841D9A" w:rsidRDefault="005C2F25" w:rsidP="005C2F25">
      <w:pPr>
        <w:jc w:val="center"/>
        <w:rPr>
          <w:rFonts w:ascii="Verdana" w:eastAsia="Verdana" w:hAnsi="Verdana" w:cs="Verdana"/>
          <w:b/>
          <w:color w:val="0000FF"/>
          <w:sz w:val="24"/>
          <w:szCs w:val="24"/>
        </w:rPr>
      </w:pPr>
      <w:r w:rsidRPr="005C2F25">
        <w:rPr>
          <w:rFonts w:ascii="Verdana" w:eastAsia="Verdana" w:hAnsi="Verdana" w:cs="Verdana"/>
          <w:b/>
          <w:color w:val="0000FF"/>
          <w:sz w:val="24"/>
          <w:szCs w:val="24"/>
        </w:rPr>
        <w:t>ACUERDO por el que se señalan los días en los que el Instituto Nacional del Derecho de Autor suspenderá el servicio de atención al público en el mes de diciembre del año 2022.</w:t>
      </w:r>
      <w:r>
        <w:rPr>
          <w:rFonts w:ascii="Verdana" w:eastAsia="Verdana" w:hAnsi="Verdana" w:cs="Verdana"/>
          <w:b/>
          <w:color w:val="0000FF"/>
          <w:sz w:val="24"/>
          <w:szCs w:val="24"/>
        </w:rPr>
        <w:br/>
      </w:r>
      <w:r w:rsidR="00591A29" w:rsidRPr="00591A29">
        <w:rPr>
          <w:rFonts w:ascii="Verdana" w:eastAsia="Verdana" w:hAnsi="Verdana" w:cs="Verdana"/>
          <w:b/>
          <w:color w:val="0000FF"/>
          <w:sz w:val="24"/>
          <w:szCs w:val="24"/>
        </w:rPr>
        <w:t>(DOF del 07 de diciembre de 2022)</w:t>
      </w:r>
      <w:bookmarkStart w:id="0" w:name="_GoBack"/>
      <w:bookmarkEnd w:id="0"/>
    </w:p>
    <w:p w:rsidR="00092826" w:rsidRDefault="005C2F25" w:rsidP="005C2F25">
      <w:pPr>
        <w:jc w:val="both"/>
        <w:rPr>
          <w:rFonts w:ascii="Arial" w:hAnsi="Arial" w:cs="Arial"/>
          <w:b/>
          <w:color w:val="2F2F2F"/>
          <w:sz w:val="18"/>
          <w:szCs w:val="18"/>
          <w:shd w:val="clear" w:color="auto" w:fill="FFFFFF"/>
        </w:rPr>
      </w:pPr>
      <w:r w:rsidRPr="005C2F25">
        <w:rPr>
          <w:rFonts w:ascii="Arial" w:hAnsi="Arial" w:cs="Arial"/>
          <w:b/>
          <w:color w:val="2F2F2F"/>
          <w:sz w:val="18"/>
          <w:szCs w:val="18"/>
          <w:shd w:val="clear" w:color="auto" w:fill="FFFFFF"/>
        </w:rPr>
        <w:t>Al margen un sello con el Escudo Nacional, que dice: Estados Unidos Mexicanos.- CULTURA.- Secretaría de Cultura.- Instituto Nacional del Derecho de Autor.</w:t>
      </w:r>
    </w:p>
    <w:p w:rsidR="005C2F25" w:rsidRPr="005C2F25" w:rsidRDefault="005C2F25" w:rsidP="005C2F25">
      <w:pPr>
        <w:shd w:val="clear" w:color="auto" w:fill="FFFFFF"/>
        <w:spacing w:after="101" w:line="240" w:lineRule="auto"/>
        <w:ind w:firstLine="288"/>
        <w:jc w:val="both"/>
        <w:rPr>
          <w:rFonts w:ascii="Arial" w:eastAsia="Times New Roman" w:hAnsi="Arial" w:cs="Arial"/>
          <w:color w:val="2F2F2F"/>
          <w:sz w:val="18"/>
          <w:szCs w:val="18"/>
          <w:lang w:eastAsia="es-MX"/>
        </w:rPr>
      </w:pPr>
      <w:r w:rsidRPr="005C2F25">
        <w:rPr>
          <w:rFonts w:ascii="Arial" w:eastAsia="Times New Roman" w:hAnsi="Arial" w:cs="Arial"/>
          <w:color w:val="2F2F2F"/>
          <w:sz w:val="18"/>
          <w:szCs w:val="18"/>
          <w:lang w:eastAsia="es-MX"/>
        </w:rPr>
        <w:t>Con fundamento en lo dispuesto en los artículos 26, 41 bis, fracción XVIII de la Ley Orgánica de la Administración Pública Federal; 4o. y 28, de la Ley Federal de Procedimiento Administrativo; 10, 208, 209, 210 y 211, de la Ley Federal del Derecho de Autor; 103, fracciones XV y XXI, 105 y 106, fracción VIII, de su Reglamento; 2, numeral B, fracción IV, 26 y 27, del Reglamento Interior de la Secretaría de Cultura; 7o., fracciones XI y XII, del Reglamento Interior del Instituto Nacional del Derecho de Autor; Primero, fracciones II y III, del Acuerdo número 370, por el que se delegan facultades en el Director General de Instituto Nacional del Derecho de Autor; 53 y 54, de las Condiciones Generales de Trabajo de la Secretaría de Cultura, y</w:t>
      </w:r>
    </w:p>
    <w:p w:rsidR="005C2F25" w:rsidRPr="005C2F25" w:rsidRDefault="005C2F25" w:rsidP="005C2F2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C2F25">
        <w:rPr>
          <w:rFonts w:ascii="Times" w:eastAsia="Times New Roman" w:hAnsi="Times" w:cs="Times"/>
          <w:b/>
          <w:bCs/>
          <w:color w:val="2F2F2F"/>
          <w:sz w:val="18"/>
          <w:szCs w:val="18"/>
          <w:lang w:eastAsia="es-MX"/>
        </w:rPr>
        <w:t>CONSIDERANDO</w:t>
      </w:r>
    </w:p>
    <w:p w:rsidR="005C2F25" w:rsidRPr="005C2F25" w:rsidRDefault="005C2F25" w:rsidP="005C2F25">
      <w:pPr>
        <w:shd w:val="clear" w:color="auto" w:fill="FFFFFF"/>
        <w:spacing w:after="101" w:line="240" w:lineRule="auto"/>
        <w:ind w:firstLine="288"/>
        <w:jc w:val="both"/>
        <w:rPr>
          <w:rFonts w:ascii="Arial" w:eastAsia="Times New Roman" w:hAnsi="Arial" w:cs="Arial"/>
          <w:color w:val="2F2F2F"/>
          <w:sz w:val="18"/>
          <w:szCs w:val="18"/>
          <w:lang w:eastAsia="es-MX"/>
        </w:rPr>
      </w:pPr>
      <w:r w:rsidRPr="005C2F25">
        <w:rPr>
          <w:rFonts w:ascii="Arial" w:eastAsia="Times New Roman" w:hAnsi="Arial" w:cs="Arial"/>
          <w:color w:val="000000"/>
          <w:sz w:val="18"/>
          <w:szCs w:val="18"/>
          <w:lang w:eastAsia="es-MX"/>
        </w:rPr>
        <w:t>Que el Instituto Nacional del Derecho de Autor, órgano desconcentrado de la Secretaría de Cultura, es la autoridad administrativa en materia de derechos de autor y derechos conexos con las funciones para proteger y fomentar el derecho de autor; promover la creación de obras literarias y artísticas; promover la cooperación internacional y el intercambio con instituciones encargadas del registro y protección del derecho de autor y derechos conexos, entre otras, tal y como se prevé en los artículos 208 y 209 de la Ley Federal del Derecho de Autor.</w:t>
      </w:r>
    </w:p>
    <w:p w:rsidR="005C2F25" w:rsidRPr="005C2F25" w:rsidRDefault="005C2F25" w:rsidP="005C2F25">
      <w:pPr>
        <w:shd w:val="clear" w:color="auto" w:fill="FFFFFF"/>
        <w:spacing w:after="101" w:line="240" w:lineRule="auto"/>
        <w:ind w:firstLine="288"/>
        <w:jc w:val="both"/>
        <w:rPr>
          <w:rFonts w:ascii="Arial" w:eastAsia="Times New Roman" w:hAnsi="Arial" w:cs="Arial"/>
          <w:color w:val="2F2F2F"/>
          <w:sz w:val="18"/>
          <w:szCs w:val="18"/>
          <w:lang w:eastAsia="es-MX"/>
        </w:rPr>
      </w:pPr>
      <w:r w:rsidRPr="005C2F25">
        <w:rPr>
          <w:rFonts w:ascii="Arial" w:eastAsia="Times New Roman" w:hAnsi="Arial" w:cs="Arial"/>
          <w:color w:val="000000"/>
          <w:sz w:val="18"/>
          <w:szCs w:val="18"/>
          <w:lang w:eastAsia="es-MX"/>
        </w:rPr>
        <w:t>Que en la Ley Federal de Procedimiento Administrativo se establece que se consideran días inhábiles aquellos en que tengan vacaciones generales las autoridades competentes o aquellos en que se suspenda el servicio de atención a usuarios, los que se harán del conocimiento del público mediante acuerdo del titular de la dependencia respectiva, publicado en el Diario Oficial de la Federación.</w:t>
      </w:r>
    </w:p>
    <w:p w:rsidR="005C2F25" w:rsidRPr="005C2F25" w:rsidRDefault="005C2F25" w:rsidP="005C2F25">
      <w:pPr>
        <w:shd w:val="clear" w:color="auto" w:fill="FFFFFF"/>
        <w:spacing w:after="101" w:line="240" w:lineRule="auto"/>
        <w:ind w:firstLine="288"/>
        <w:jc w:val="both"/>
        <w:rPr>
          <w:rFonts w:ascii="Arial" w:eastAsia="Times New Roman" w:hAnsi="Arial" w:cs="Arial"/>
          <w:color w:val="2F2F2F"/>
          <w:sz w:val="18"/>
          <w:szCs w:val="18"/>
          <w:lang w:eastAsia="es-MX"/>
        </w:rPr>
      </w:pPr>
      <w:r w:rsidRPr="005C2F25">
        <w:rPr>
          <w:rFonts w:ascii="Arial" w:eastAsia="Times New Roman" w:hAnsi="Arial" w:cs="Arial"/>
          <w:color w:val="000000"/>
          <w:sz w:val="18"/>
          <w:szCs w:val="18"/>
          <w:lang w:eastAsia="es-MX"/>
        </w:rPr>
        <w:t>En virtud de lo anterior, y con la finalidad de no afectar la prestación de servicios, se expide el siguiente:</w:t>
      </w:r>
    </w:p>
    <w:p w:rsidR="005C2F25" w:rsidRPr="005C2F25" w:rsidRDefault="005C2F25" w:rsidP="005C2F2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C2F25">
        <w:rPr>
          <w:rFonts w:ascii="Times" w:eastAsia="Times New Roman" w:hAnsi="Times" w:cs="Times"/>
          <w:b/>
          <w:bCs/>
          <w:color w:val="2F2F2F"/>
          <w:sz w:val="18"/>
          <w:szCs w:val="18"/>
          <w:lang w:eastAsia="es-MX"/>
        </w:rPr>
        <w:t>ACUERDO POR EL QUE SE SEÑALAN LOS DÍAS EN LOS QUE EL INSTITUTO NACIONAL DEL</w:t>
      </w:r>
      <w:r w:rsidRPr="005C2F25">
        <w:rPr>
          <w:rFonts w:ascii="Times New Roman" w:eastAsia="Times New Roman" w:hAnsi="Times New Roman" w:cs="Times New Roman"/>
          <w:b/>
          <w:bCs/>
          <w:color w:val="2F2F2F"/>
          <w:sz w:val="18"/>
          <w:szCs w:val="18"/>
          <w:lang w:eastAsia="es-MX"/>
        </w:rPr>
        <w:br/>
      </w:r>
      <w:r w:rsidRPr="005C2F25">
        <w:rPr>
          <w:rFonts w:ascii="Times" w:eastAsia="Times New Roman" w:hAnsi="Times" w:cs="Times"/>
          <w:b/>
          <w:bCs/>
          <w:color w:val="2F2F2F"/>
          <w:sz w:val="18"/>
          <w:szCs w:val="18"/>
          <w:lang w:eastAsia="es-MX"/>
        </w:rPr>
        <w:t>DERECHO DE AUTOR SUSPENDERÁ EL SERVICIO DE ATENCIÓN AL PÚBLICO EN EL MES DE</w:t>
      </w:r>
      <w:r w:rsidRPr="005C2F25">
        <w:rPr>
          <w:rFonts w:ascii="Times New Roman" w:eastAsia="Times New Roman" w:hAnsi="Times New Roman" w:cs="Times New Roman"/>
          <w:b/>
          <w:bCs/>
          <w:color w:val="2F2F2F"/>
          <w:sz w:val="18"/>
          <w:szCs w:val="18"/>
          <w:lang w:eastAsia="es-MX"/>
        </w:rPr>
        <w:br/>
      </w:r>
      <w:r w:rsidRPr="005C2F25">
        <w:rPr>
          <w:rFonts w:ascii="Times" w:eastAsia="Times New Roman" w:hAnsi="Times" w:cs="Times"/>
          <w:b/>
          <w:bCs/>
          <w:color w:val="2F2F2F"/>
          <w:sz w:val="18"/>
          <w:szCs w:val="18"/>
          <w:lang w:eastAsia="es-MX"/>
        </w:rPr>
        <w:t>DICIEMBRE DEL AÑO 2022</w:t>
      </w:r>
    </w:p>
    <w:p w:rsidR="005C2F25" w:rsidRPr="005C2F25" w:rsidRDefault="005C2F25" w:rsidP="005C2F25">
      <w:pPr>
        <w:shd w:val="clear" w:color="auto" w:fill="FFFFFF"/>
        <w:spacing w:after="101" w:line="240" w:lineRule="auto"/>
        <w:ind w:firstLine="288"/>
        <w:jc w:val="both"/>
        <w:rPr>
          <w:rFonts w:ascii="Arial" w:eastAsia="Times New Roman" w:hAnsi="Arial" w:cs="Arial"/>
          <w:color w:val="2F2F2F"/>
          <w:sz w:val="18"/>
          <w:szCs w:val="18"/>
          <w:lang w:eastAsia="es-MX"/>
        </w:rPr>
      </w:pPr>
      <w:r w:rsidRPr="005C2F25">
        <w:rPr>
          <w:rFonts w:ascii="Arial" w:eastAsia="Times New Roman" w:hAnsi="Arial" w:cs="Arial"/>
          <w:b/>
          <w:bCs/>
          <w:color w:val="2F2F2F"/>
          <w:sz w:val="18"/>
          <w:szCs w:val="18"/>
          <w:lang w:eastAsia="es-MX"/>
        </w:rPr>
        <w:t>PRIMERO.-</w:t>
      </w:r>
      <w:r w:rsidRPr="005C2F25">
        <w:rPr>
          <w:rFonts w:ascii="Arial" w:eastAsia="Times New Roman" w:hAnsi="Arial" w:cs="Arial"/>
          <w:color w:val="2F2F2F"/>
          <w:sz w:val="18"/>
          <w:szCs w:val="18"/>
          <w:lang w:eastAsia="es-MX"/>
        </w:rPr>
        <w:t> El Instituto Nacional del Derecho de Autor suspenderá el servicio de atención al público, además de los sábados y domingos, a partir del 21 de diciembre de 2022, reanudándose el 4 de enero de 2023.</w:t>
      </w:r>
    </w:p>
    <w:p w:rsidR="005C2F25" w:rsidRPr="005C2F25" w:rsidRDefault="005C2F25" w:rsidP="005C2F25">
      <w:pPr>
        <w:shd w:val="clear" w:color="auto" w:fill="FFFFFF"/>
        <w:spacing w:after="101" w:line="240" w:lineRule="auto"/>
        <w:ind w:firstLine="288"/>
        <w:jc w:val="both"/>
        <w:rPr>
          <w:rFonts w:ascii="Arial" w:eastAsia="Times New Roman" w:hAnsi="Arial" w:cs="Arial"/>
          <w:color w:val="2F2F2F"/>
          <w:sz w:val="18"/>
          <w:szCs w:val="18"/>
          <w:lang w:eastAsia="es-MX"/>
        </w:rPr>
      </w:pPr>
      <w:r w:rsidRPr="005C2F25">
        <w:rPr>
          <w:rFonts w:ascii="Arial" w:eastAsia="Times New Roman" w:hAnsi="Arial" w:cs="Arial"/>
          <w:b/>
          <w:bCs/>
          <w:color w:val="000000"/>
          <w:sz w:val="18"/>
          <w:szCs w:val="18"/>
          <w:lang w:eastAsia="es-MX"/>
        </w:rPr>
        <w:t>SEGUNDO.-</w:t>
      </w:r>
      <w:r w:rsidRPr="005C2F25">
        <w:rPr>
          <w:rFonts w:ascii="Arial" w:eastAsia="Times New Roman" w:hAnsi="Arial" w:cs="Arial"/>
          <w:color w:val="000000"/>
          <w:sz w:val="18"/>
          <w:szCs w:val="18"/>
          <w:lang w:eastAsia="es-MX"/>
        </w:rPr>
        <w:t> Los días señalados en el apartado </w:t>
      </w:r>
      <w:r w:rsidRPr="005C2F25">
        <w:rPr>
          <w:rFonts w:ascii="Arial" w:eastAsia="Times New Roman" w:hAnsi="Arial" w:cs="Arial"/>
          <w:b/>
          <w:bCs/>
          <w:color w:val="000000"/>
          <w:sz w:val="18"/>
          <w:szCs w:val="18"/>
          <w:lang w:eastAsia="es-MX"/>
        </w:rPr>
        <w:t>PRIMERO</w:t>
      </w:r>
      <w:r w:rsidRPr="005C2F25">
        <w:rPr>
          <w:rFonts w:ascii="Arial" w:eastAsia="Times New Roman" w:hAnsi="Arial" w:cs="Arial"/>
          <w:color w:val="000000"/>
          <w:sz w:val="18"/>
          <w:szCs w:val="18"/>
          <w:lang w:eastAsia="es-MX"/>
        </w:rPr>
        <w:t> se computarán como inhábiles para todos los efectos a que haya lugar, lo anterior en términos de lo dispuesto en la Ley Federal de Procedimiento Administrativo.</w:t>
      </w:r>
    </w:p>
    <w:p w:rsidR="005C2F25" w:rsidRPr="005C2F25" w:rsidRDefault="005C2F25" w:rsidP="005C2F25">
      <w:pPr>
        <w:shd w:val="clear" w:color="auto" w:fill="FFFFFF"/>
        <w:spacing w:after="101" w:line="240" w:lineRule="auto"/>
        <w:ind w:firstLine="288"/>
        <w:jc w:val="both"/>
        <w:rPr>
          <w:rFonts w:ascii="Arial" w:eastAsia="Times New Roman" w:hAnsi="Arial" w:cs="Arial"/>
          <w:color w:val="2F2F2F"/>
          <w:sz w:val="18"/>
          <w:szCs w:val="18"/>
          <w:lang w:eastAsia="es-MX"/>
        </w:rPr>
      </w:pPr>
      <w:r w:rsidRPr="005C2F25">
        <w:rPr>
          <w:rFonts w:ascii="Arial" w:eastAsia="Times New Roman" w:hAnsi="Arial" w:cs="Arial"/>
          <w:b/>
          <w:bCs/>
          <w:color w:val="000000"/>
          <w:sz w:val="18"/>
          <w:szCs w:val="18"/>
          <w:lang w:eastAsia="es-MX"/>
        </w:rPr>
        <w:t>TERCERO.-</w:t>
      </w:r>
      <w:r w:rsidRPr="005C2F25">
        <w:rPr>
          <w:rFonts w:ascii="Arial" w:eastAsia="Times New Roman" w:hAnsi="Arial" w:cs="Arial"/>
          <w:color w:val="000000"/>
          <w:sz w:val="18"/>
          <w:szCs w:val="18"/>
          <w:lang w:eastAsia="es-MX"/>
        </w:rPr>
        <w:t> El presente Acuerdo no implica la suspensión de labores para el personal del Instituto Nacional del Derecho de Autor. Dicha suspensión se regirá de conformidad con las disposiciones legales aplicables.</w:t>
      </w:r>
    </w:p>
    <w:p w:rsidR="005C2F25" w:rsidRPr="005C2F25" w:rsidRDefault="005C2F25" w:rsidP="005C2F2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C2F25">
        <w:rPr>
          <w:rFonts w:ascii="Times" w:eastAsia="Times New Roman" w:hAnsi="Times" w:cs="Times"/>
          <w:b/>
          <w:bCs/>
          <w:color w:val="2F2F2F"/>
          <w:sz w:val="18"/>
          <w:szCs w:val="18"/>
          <w:lang w:eastAsia="es-MX"/>
        </w:rPr>
        <w:t>TRANSITORIO</w:t>
      </w:r>
    </w:p>
    <w:p w:rsidR="005C2F25" w:rsidRPr="005C2F25" w:rsidRDefault="005C2F25" w:rsidP="005C2F25">
      <w:pPr>
        <w:shd w:val="clear" w:color="auto" w:fill="FFFFFF"/>
        <w:spacing w:after="101" w:line="240" w:lineRule="auto"/>
        <w:ind w:firstLine="288"/>
        <w:jc w:val="both"/>
        <w:rPr>
          <w:rFonts w:ascii="Arial" w:eastAsia="Times New Roman" w:hAnsi="Arial" w:cs="Arial"/>
          <w:color w:val="2F2F2F"/>
          <w:sz w:val="18"/>
          <w:szCs w:val="18"/>
          <w:lang w:eastAsia="es-MX"/>
        </w:rPr>
      </w:pPr>
      <w:r w:rsidRPr="005C2F25">
        <w:rPr>
          <w:rFonts w:ascii="Arial" w:eastAsia="Times New Roman" w:hAnsi="Arial" w:cs="Arial"/>
          <w:b/>
          <w:bCs/>
          <w:color w:val="000000"/>
          <w:sz w:val="18"/>
          <w:szCs w:val="18"/>
          <w:lang w:eastAsia="es-MX"/>
        </w:rPr>
        <w:t>ÚNICO.-</w:t>
      </w:r>
      <w:r w:rsidRPr="005C2F25">
        <w:rPr>
          <w:rFonts w:ascii="Arial" w:eastAsia="Times New Roman" w:hAnsi="Arial" w:cs="Arial"/>
          <w:color w:val="000000"/>
          <w:sz w:val="18"/>
          <w:szCs w:val="18"/>
          <w:lang w:eastAsia="es-MX"/>
        </w:rPr>
        <w:t> </w:t>
      </w:r>
      <w:r w:rsidRPr="005C2F25">
        <w:rPr>
          <w:rFonts w:ascii="Arial" w:eastAsia="Times New Roman" w:hAnsi="Arial" w:cs="Arial"/>
          <w:color w:val="2F2F2F"/>
          <w:sz w:val="18"/>
          <w:szCs w:val="18"/>
          <w:lang w:eastAsia="es-MX"/>
        </w:rPr>
        <w:t>El presente Acuerdo entrará en vigor al día siguiente de su publicación en el Diario Oficial de la Federación.</w:t>
      </w:r>
    </w:p>
    <w:p w:rsidR="005C2F25" w:rsidRPr="005C2F25" w:rsidRDefault="005C2F25" w:rsidP="005C2F25">
      <w:pPr>
        <w:shd w:val="clear" w:color="auto" w:fill="FFFFFF"/>
        <w:spacing w:after="101" w:line="240" w:lineRule="auto"/>
        <w:ind w:firstLine="288"/>
        <w:jc w:val="both"/>
        <w:rPr>
          <w:rFonts w:ascii="Arial" w:eastAsia="Times New Roman" w:hAnsi="Arial" w:cs="Arial"/>
          <w:color w:val="2F2F2F"/>
          <w:sz w:val="18"/>
          <w:szCs w:val="18"/>
          <w:lang w:eastAsia="es-MX"/>
        </w:rPr>
      </w:pPr>
      <w:r w:rsidRPr="005C2F25">
        <w:rPr>
          <w:rFonts w:ascii="Arial" w:eastAsia="Times New Roman" w:hAnsi="Arial" w:cs="Arial"/>
          <w:color w:val="000000"/>
          <w:sz w:val="18"/>
          <w:szCs w:val="18"/>
          <w:lang w:eastAsia="es-MX"/>
        </w:rPr>
        <w:t>Ciudad de México, a 18 de noviembre de 2022.- El Encargado del Despacho del Instituto Nacional del Derecho de Autor, </w:t>
      </w:r>
      <w:r w:rsidRPr="005C2F25">
        <w:rPr>
          <w:rFonts w:ascii="Arial" w:eastAsia="Times New Roman" w:hAnsi="Arial" w:cs="Arial"/>
          <w:b/>
          <w:bCs/>
          <w:color w:val="000000"/>
          <w:sz w:val="18"/>
          <w:szCs w:val="18"/>
          <w:lang w:eastAsia="es-MX"/>
        </w:rPr>
        <w:t>Marco Antonio Morales Montes</w:t>
      </w:r>
      <w:r w:rsidRPr="005C2F25">
        <w:rPr>
          <w:rFonts w:ascii="Arial" w:eastAsia="Times New Roman" w:hAnsi="Arial" w:cs="Arial"/>
          <w:color w:val="2F2F2F"/>
          <w:sz w:val="18"/>
          <w:szCs w:val="18"/>
          <w:lang w:eastAsia="es-MX"/>
        </w:rPr>
        <w:t>.- Rúbrica.</w:t>
      </w:r>
    </w:p>
    <w:p w:rsidR="005C2F25" w:rsidRDefault="005C2F25" w:rsidP="005C2F25">
      <w:pPr>
        <w:jc w:val="both"/>
      </w:pPr>
    </w:p>
    <w:sectPr w:rsidR="005C2F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F25"/>
    <w:rsid w:val="00092826"/>
    <w:rsid w:val="00591A29"/>
    <w:rsid w:val="005C2F25"/>
    <w:rsid w:val="00BE5B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F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F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835771">
      <w:bodyDiv w:val="1"/>
      <w:marLeft w:val="0"/>
      <w:marRight w:val="0"/>
      <w:marTop w:val="0"/>
      <w:marBottom w:val="0"/>
      <w:divBdr>
        <w:top w:val="none" w:sz="0" w:space="0" w:color="auto"/>
        <w:left w:val="none" w:sz="0" w:space="0" w:color="auto"/>
        <w:bottom w:val="none" w:sz="0" w:space="0" w:color="auto"/>
        <w:right w:val="none" w:sz="0" w:space="0" w:color="auto"/>
      </w:divBdr>
      <w:divsChild>
        <w:div w:id="519272129">
          <w:marLeft w:val="0"/>
          <w:marRight w:val="0"/>
          <w:marTop w:val="0"/>
          <w:marBottom w:val="101"/>
          <w:divBdr>
            <w:top w:val="none" w:sz="0" w:space="0" w:color="auto"/>
            <w:left w:val="none" w:sz="0" w:space="0" w:color="auto"/>
            <w:bottom w:val="none" w:sz="0" w:space="0" w:color="auto"/>
            <w:right w:val="none" w:sz="0" w:space="0" w:color="auto"/>
          </w:divBdr>
        </w:div>
        <w:div w:id="1750807420">
          <w:marLeft w:val="0"/>
          <w:marRight w:val="0"/>
          <w:marTop w:val="101"/>
          <w:marBottom w:val="101"/>
          <w:divBdr>
            <w:top w:val="none" w:sz="0" w:space="0" w:color="auto"/>
            <w:left w:val="none" w:sz="0" w:space="0" w:color="auto"/>
            <w:bottom w:val="none" w:sz="0" w:space="0" w:color="auto"/>
            <w:right w:val="none" w:sz="0" w:space="0" w:color="auto"/>
          </w:divBdr>
        </w:div>
        <w:div w:id="1122725808">
          <w:marLeft w:val="0"/>
          <w:marRight w:val="0"/>
          <w:marTop w:val="0"/>
          <w:marBottom w:val="101"/>
          <w:divBdr>
            <w:top w:val="none" w:sz="0" w:space="0" w:color="auto"/>
            <w:left w:val="none" w:sz="0" w:space="0" w:color="auto"/>
            <w:bottom w:val="none" w:sz="0" w:space="0" w:color="auto"/>
            <w:right w:val="none" w:sz="0" w:space="0" w:color="auto"/>
          </w:divBdr>
        </w:div>
        <w:div w:id="1816339246">
          <w:marLeft w:val="0"/>
          <w:marRight w:val="0"/>
          <w:marTop w:val="0"/>
          <w:marBottom w:val="101"/>
          <w:divBdr>
            <w:top w:val="none" w:sz="0" w:space="0" w:color="auto"/>
            <w:left w:val="none" w:sz="0" w:space="0" w:color="auto"/>
            <w:bottom w:val="none" w:sz="0" w:space="0" w:color="auto"/>
            <w:right w:val="none" w:sz="0" w:space="0" w:color="auto"/>
          </w:divBdr>
        </w:div>
        <w:div w:id="638340716">
          <w:marLeft w:val="0"/>
          <w:marRight w:val="0"/>
          <w:marTop w:val="0"/>
          <w:marBottom w:val="101"/>
          <w:divBdr>
            <w:top w:val="none" w:sz="0" w:space="0" w:color="auto"/>
            <w:left w:val="none" w:sz="0" w:space="0" w:color="auto"/>
            <w:bottom w:val="none" w:sz="0" w:space="0" w:color="auto"/>
            <w:right w:val="none" w:sz="0" w:space="0" w:color="auto"/>
          </w:divBdr>
        </w:div>
        <w:div w:id="555508547">
          <w:marLeft w:val="0"/>
          <w:marRight w:val="0"/>
          <w:marTop w:val="101"/>
          <w:marBottom w:val="101"/>
          <w:divBdr>
            <w:top w:val="none" w:sz="0" w:space="0" w:color="auto"/>
            <w:left w:val="none" w:sz="0" w:space="0" w:color="auto"/>
            <w:bottom w:val="none" w:sz="0" w:space="0" w:color="auto"/>
            <w:right w:val="none" w:sz="0" w:space="0" w:color="auto"/>
          </w:divBdr>
        </w:div>
        <w:div w:id="509367502">
          <w:marLeft w:val="0"/>
          <w:marRight w:val="0"/>
          <w:marTop w:val="0"/>
          <w:marBottom w:val="101"/>
          <w:divBdr>
            <w:top w:val="none" w:sz="0" w:space="0" w:color="auto"/>
            <w:left w:val="none" w:sz="0" w:space="0" w:color="auto"/>
            <w:bottom w:val="none" w:sz="0" w:space="0" w:color="auto"/>
            <w:right w:val="none" w:sz="0" w:space="0" w:color="auto"/>
          </w:divBdr>
        </w:div>
        <w:div w:id="1948803275">
          <w:marLeft w:val="0"/>
          <w:marRight w:val="0"/>
          <w:marTop w:val="0"/>
          <w:marBottom w:val="101"/>
          <w:divBdr>
            <w:top w:val="none" w:sz="0" w:space="0" w:color="auto"/>
            <w:left w:val="none" w:sz="0" w:space="0" w:color="auto"/>
            <w:bottom w:val="none" w:sz="0" w:space="0" w:color="auto"/>
            <w:right w:val="none" w:sz="0" w:space="0" w:color="auto"/>
          </w:divBdr>
        </w:div>
        <w:div w:id="48916975">
          <w:marLeft w:val="0"/>
          <w:marRight w:val="0"/>
          <w:marTop w:val="0"/>
          <w:marBottom w:val="101"/>
          <w:divBdr>
            <w:top w:val="none" w:sz="0" w:space="0" w:color="auto"/>
            <w:left w:val="none" w:sz="0" w:space="0" w:color="auto"/>
            <w:bottom w:val="none" w:sz="0" w:space="0" w:color="auto"/>
            <w:right w:val="none" w:sz="0" w:space="0" w:color="auto"/>
          </w:divBdr>
        </w:div>
        <w:div w:id="749157488">
          <w:marLeft w:val="0"/>
          <w:marRight w:val="0"/>
          <w:marTop w:val="101"/>
          <w:marBottom w:val="101"/>
          <w:divBdr>
            <w:top w:val="none" w:sz="0" w:space="0" w:color="auto"/>
            <w:left w:val="none" w:sz="0" w:space="0" w:color="auto"/>
            <w:bottom w:val="none" w:sz="0" w:space="0" w:color="auto"/>
            <w:right w:val="none" w:sz="0" w:space="0" w:color="auto"/>
          </w:divBdr>
        </w:div>
        <w:div w:id="490685349">
          <w:marLeft w:val="0"/>
          <w:marRight w:val="0"/>
          <w:marTop w:val="0"/>
          <w:marBottom w:val="101"/>
          <w:divBdr>
            <w:top w:val="none" w:sz="0" w:space="0" w:color="auto"/>
            <w:left w:val="none" w:sz="0" w:space="0" w:color="auto"/>
            <w:bottom w:val="none" w:sz="0" w:space="0" w:color="auto"/>
            <w:right w:val="none" w:sz="0" w:space="0" w:color="auto"/>
          </w:divBdr>
        </w:div>
        <w:div w:id="73697451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2022-12-12T20:50:00Z</dcterms:created>
  <dcterms:modified xsi:type="dcterms:W3CDTF">2022-12-12T20:50:00Z</dcterms:modified>
</cp:coreProperties>
</file>