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ACT-EXT-PUB/20/03/2020.04, ACT-PUB/15/04/2020.02, ACT-PUB/30/04/2020.02, incluyendo los acuerdos ACT-PUB/27/05/2020.04, ACT-PUB/10/06/2020.04, ACT-PUB/30/06/2020.05 y ACT-PUB/14/07/2020.06, en el sentido de ampliar sus efectos al 11 de agosto del año en curso inclusive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ACT-PUB/28/07/2020.04</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SE MODIFICAN Y ADICIONAN LOS DIVERSOS ACT-EXT-PUB/20/03/2020.02, ACT-EXT-PUB/20/03/2020.04, ACT-PUB/15/04/2020.02, ACT-PUB/30/04/2020.02, INCLUYENDO LOS ACUERDOS ACT-PUB/27/05/2020.04, ACT-PUB/10/06/2020.04, ACT-PUB/30/06/2020.05 y ACT-PUB/14/07/2020.06, EN EL SENTIDO DE AMPLIAR SUS EFECTOS AL 11 DE AGOSTO DEL AÑO EN CURSO INCLUSIVE.</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en los artículos 6º, apartado A, fracción VIII, 73, fracción XVI, Bases 1ª, 2ª, 3ª,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CONSIDERACIONES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Consejo General de Salubridad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para garantizar los derechos humanos de acceso a la información pública y de protección de los datos personales ante la emergencia sanitaria generada por el COVID-19, el Pleno de este Instituto emitió el ACT-PUB/30/04/2020.02, en el que determinó dejar sin efectos la suspensión de plazos y términos determinada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b w:val="1"/>
          <w:color w:val="2f2f2f"/>
          <w:sz w:val="18"/>
          <w:szCs w:val="18"/>
          <w:rtl w:val="0"/>
        </w:rPr>
        <w:t xml:space="preserve">realizan actividades esenciales en términos de los acuerdos supra indicados</w:t>
      </w:r>
      <w:r w:rsidDel="00000000" w:rsidR="00000000" w:rsidRPr="00000000">
        <w:rPr>
          <w:color w:val="2f2f2f"/>
          <w:sz w:val="18"/>
          <w:szCs w:val="18"/>
          <w:rtl w:val="0"/>
        </w:rPr>
        <w:t xml:space="preserve">, emitidos por la Secretaría de Salud; así como, en los procedimientos que se les instruyen en este Organismo Garante Nacional.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 emitido por la Secretaría de Salud.</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20 de mayo del año en curso, la Jefa de Gobierno de la Ciudad de México, dio a conocer el Plan Gradual hacia la Nueva Normalidad, en el que se contempla que dicha entidad se encuentra en semáforo rojo, colorimetría que representa una ocupación hospitalaria mayor al 65% o dos semanas de incremento estable.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27 de mayo de este año, el Pleno de este Instituto emitió el Acuerdo mediante el cual se modifican y adicionan los diversos ACT-EXT-PUB/20/03/2020.02, ACT-EXT-PUB/20/03/2020.04,</w:t>
      </w:r>
    </w:p>
    <w:p w:rsidR="00000000" w:rsidDel="00000000" w:rsidP="00000000" w:rsidRDefault="00000000" w:rsidRPr="00000000" w14:paraId="0000000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ACT-PUB/15/04/2020.02, ACT-PUB/30/04/2020.02, en el sentido de ampliar sus efectos al 15 de junio del año en curso inclusive.</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29 de mayo de 2020, se publicó en el Diario oficial de la Federación, el </w:t>
      </w:r>
      <w:r w:rsidDel="00000000" w:rsidR="00000000" w:rsidRPr="00000000">
        <w:rPr>
          <w:i w:val="1"/>
          <w:color w:val="2f2f2f"/>
          <w:sz w:val="18"/>
          <w:szCs w:val="18"/>
          <w:rtl w:val="0"/>
        </w:rPr>
        <w:t xml:space="preserve">ACUERDO por el que se establecen los Lineamientos Técnicos Específicos para la Reapertura de las Actividades Económicas</w:t>
      </w:r>
      <w:r w:rsidDel="00000000" w:rsidR="00000000" w:rsidRPr="00000000">
        <w:rPr>
          <w:color w:val="2f2f2f"/>
          <w:sz w:val="18"/>
          <w:szCs w:val="18"/>
          <w:rtl w:val="0"/>
        </w:rPr>
        <w:t xml:space="preserve">, en el que se establece que el Sistema de Alerta Sanitaria consiste en un semáforo de aplicación regional que permite comunicar la magnitud de la transmisión de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al 29 de mayo del año en curso también se publicó el </w:t>
      </w:r>
      <w:r w:rsidDel="00000000" w:rsidR="00000000" w:rsidRPr="00000000">
        <w:rPr>
          <w:i w:val="1"/>
          <w:color w:val="2f2f2f"/>
          <w:sz w:val="18"/>
          <w:szCs w:val="18"/>
          <w:rtl w:val="0"/>
        </w:rPr>
        <w:t xml:space="preserve">"SEXTO ACUERDO POR EL QUE SE ESTABLECEN LOS LINEAMIENTOS PARA LA EJECUCIÓN DEL PLAN GRADUAL HACIA LA NUEVA NORMALIDAD EN LA CIUDAD DE MÉXICO Y SE CREA EL COMITÉ DE MONITOREO" </w:t>
      </w:r>
      <w:r w:rsidDel="00000000" w:rsidR="00000000" w:rsidRPr="00000000">
        <w:rPr>
          <w:color w:val="2f2f2f"/>
          <w:sz w:val="18"/>
          <w:szCs w:val="18"/>
          <w:rtl w:val="0"/>
        </w:rPr>
        <w:t xml:space="preserve">el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10 de junio del año en curso, el Pleno de este Instituto emitió el acuerdo mediante el cual se modifican y adicionan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19 de junio de año en curso, se publicó en la Gaceta Oficial de la Ciudad de México el tercer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período comprendido del 22 al 28 de junio del presente año, el color del Semáforo permanece en ROJO hacia una incorporación gradual y ordenada al color NARANJA.</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26 de junio del año en curso se publicó en la Gaceta Oficial de la Ciudad de México el cuarto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periodo comprendido del 29 de junio al 05 de julio del presente año, el color del Semáforo Epidemiológico de la Ciudad de México será NARANJA.</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30 de junio de la presente anualidad, el Pleno de este Instituto, aprobó el acuerdo mediante el cual se modifican y adicionan los diversos ACT-EXT-PUB/20/03/2020.02, ACT-EXT-PUB/20/03/2020.04, ACT-PUB/15/04/2020.02, ACT-PUB/30/04/2020.02, ACT-PUB/27/05/2020.04 Y ACT-PUB/10/06/2020.04 en el sentido de ampliar sus efectos al 15 de julio del año en curso inclusive.</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03 de julio de este año, se publicó en la Gaceta Oficial de la Ciudad de México, el quinto aviso por el que se da a conocer el color del semáforo epidemiológico de la Ciudad de México, en el que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entre otras cosas, que en el período comprendido del 06 de julio al 12 de julio del presente año el color del Semáforo Epidemiológico de la Ciudad de México permanece en NARANJA.</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julio del año en curso, el Pleno de este Instituto, aprobó el Acuerdo mediante el cual se modifican y adicionan los diversos ACT-EXT-PUB/20/03/2020.02, ACT-EXT-PUB/20/03/2020.04, ACT-PUB/15/04/2020.02, ACT-PUB/30/04/2020.02, incluyendo los Acuerdos ACT-PUB/27/05/</w:t>
      </w:r>
    </w:p>
    <w:p w:rsidR="00000000" w:rsidDel="00000000" w:rsidP="00000000" w:rsidRDefault="00000000" w:rsidRPr="00000000" w14:paraId="0000001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2020.04, ACT-PUB/10/06/2020.04 y ACT-PUB/30/06/2020.05, en el sentido de ampliar sus efectos al 31 de julio del año en curso inclusive.</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24 de julio de 2020 se publicó en la Gaceta Oficial de la Ciudad de México el décimo primer aviso por el que se da a conocer el color del semáforo epidemiológico de la Ciudad de México, así como las medidas de protección a la salud que deberán observarse, en el cual se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que en el período comprendido del 27 de julio al 02 de agosto del presente año, el color del Semáforo Epidemiológico de la Ciudad de México permanece en NARANJA.</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Por lo expuesto, en las consideraciones de hecho y de Derecho, el Pleno del Instituto Nacional de Transparencia, Acceso a la Información y Protección de Datos Personales, emite el siguiente</w:t>
      </w: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aprueban las modificaciones y adiciones a los diversos ACT-EXT-PUB/20/03/2020.02, ACT-EXT-PUB/20/03/2020.04, ACT-PUB/15/04/2020.02, ACT-PUB/30/04/2020.02, incluyendo los acuerdos ACT-PUB/27/05/2020.04, ACT-PUB/10/06/2020.04, ACT-PUB/30/06/2020.05 y ACT-PUB/14/07/2020.06 en el sentido de ampliar sus efectos al 11 de agosto del año en curso inclusive.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exhorta a los sujetos obligados que, atendiendo al interés público, transparenten de manera proactiva sus acciones durante la emergencia sanitaria en particular las que estén relacionadas con la pandemia del virus SARS-CoV2 (COVID-19).</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 dispuesto en el punto de acuerdo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del Acuerdo ACT-PUB/30/04/2020.02 continuará surtiendo sus efectos en los términos ahí precisados, siendo aplicable para la totalidad de los medios de presentación de los recursos de revisión.</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Instituto continuará desarrollando sus funciones esenciales, privilegiando que las actividades se realicen con el personal mínimo e indispensable, mediante la implementación de guardias presenciales en casos que por su naturaleza lo requieran y a través de la realización del trabajo desde sus hogares, reiterando la entrega de reportes quincenales a los titulares de las áreas a las que están adscritos; en los demás casos, con apoyo de las herramientas tecnológicas y de comunicaciones.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deben exceptuar de las guardias presenciales a quienes conforme a la medida V del Acuerdo por el que se modifica el similar por el que se establecen acciones extraordinarias para atender la emergencia sanitaria generada por el virus SARS-CoV2, publicado el 31 de marzo de 2020, en el Diario Oficial de la Federación, deben de cumplir con el resguardo domiciliario de manera estricta como a toda persona mayor de 60 años de edad, estado de embarazo o puerperio inmediato, o con diagnóstico de hipertensión arterial, diabetes mellitus, enfermedad cardíaca o pulmonar crónicas, inmunosupresión (adquirida o provocada), insuficiencia renal o hepática, </w:t>
      </w:r>
      <w:r w:rsidDel="00000000" w:rsidR="00000000" w:rsidRPr="00000000">
        <w:rPr>
          <w:b w:val="1"/>
          <w:color w:val="2f2f2f"/>
          <w:sz w:val="18"/>
          <w:szCs w:val="18"/>
          <w:rtl w:val="0"/>
        </w:rPr>
        <w:t xml:space="preserve">independientemente de si su actividad laboral se considera esencial</w:t>
      </w:r>
      <w:r w:rsidDel="00000000" w:rsidR="00000000" w:rsidRPr="00000000">
        <w:rPr>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identificados con las claves ACT-EXT-PUB/20/03/2020.02, ACT-EXT-PUB/20/03/2020.04, ACT-PUB/15/04/2020.02, ACT-PUB/30/04/2020.02, incluyendo los acuerdos de ampliación ACT-PUB/27/05/2020.04, ACT-PUB/10/06/2020.04, ACT-PUB/30/06/2020.05 y ACT-PUB/14/07/2020.06.</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Se instruye 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El turno de los recursos de revisión interpuestos se efectuará de conformidad con lo previsto en el Acuerdo ACT-PUB/29/01/2020.06 ACUERDO MEDIANTE EL CUAL SE APRUEBA EL PROCEDIMIENTO DE TURNO TEMPORAL DE LOS MEDIOS DE IMPUGNACIÓN COMPETENCIA DEL INSTITUTO, ESTABLECIDOS EN LA LEY GENERAL DE PROTECCIÓN DE DATOS PERSONALES EN POSESIÓN DE SUJETOS OBLIGADOS, LEY GENERAL DE TRANSPARENCIA Y ACCESO A LA INFORMACIÓN PÚBLICA, EN LA LEY FEDERAL DE TRANSPARENCIA Y ACCESO A LA INFORMACIÓN PÚBLICA Y EN LA LEY FEDERAL DE TRANSPARENCIA Y ACCESO A LA INFORMACIÓN PÚBLICA GUBERNAMENTAL.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hace a los Sujetos Obligados que no se ubiquen en el supuesto del Considerando X del Acuerdo ACT-PUB/30/04/2020.02 y que no se precisan en el anexo del mismo, el procedimiento de turno de los recursos de revisión surtirá sus efectos en forma simultánea a la reanudación de plazos.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Se instruye al Secretario Técnico del Pleno que, con fundamento en lo dispuesto en el artículo 45, fracción IV, de la Ley Federal de Transparencia y Acceso a la Información Pública, expida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certificación del presente Acuerdo, para agilizar su cumplimiento.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El presente Acuerdo entrará en vigor al momento de su aprobación por el Pleno del Instituto Nacional de Transparencia, Acceso a la Información y Protección de Datos Personales.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celebrada el veintiocho de julio de dos mil veinte, ante Hugo Alejandro Córdova Díaz, Secretario Técnico del Pleno.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Comisionado Presidente, </w:t>
      </w:r>
      <w:r w:rsidDel="00000000" w:rsidR="00000000" w:rsidRPr="00000000">
        <w:rPr>
          <w:b w:val="1"/>
          <w:color w:val="2f2f2f"/>
          <w:sz w:val="18"/>
          <w:szCs w:val="18"/>
          <w:rtl w:val="0"/>
        </w:rPr>
        <w:t xml:space="preserve">Francisco Javier Acuña Llamas</w:t>
      </w:r>
      <w:r w:rsidDel="00000000" w:rsidR="00000000" w:rsidRPr="00000000">
        <w:rPr>
          <w:color w:val="2f2f2f"/>
          <w:sz w:val="18"/>
          <w:szCs w:val="18"/>
          <w:rtl w:val="0"/>
        </w:rPr>
        <w:t xml:space="preserve">.- Los Comisionados: </w:t>
      </w:r>
      <w:r w:rsidDel="00000000" w:rsidR="00000000" w:rsidRPr="00000000">
        <w:rPr>
          <w:b w:val="1"/>
          <w:color w:val="2f2f2f"/>
          <w:sz w:val="18"/>
          <w:szCs w:val="18"/>
          <w:rtl w:val="0"/>
        </w:rPr>
        <w:t xml:space="preserve">Oscar Mauricio Guerra Ford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Rosendoevgueni Monterrey Chepov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Blanca Lilia Ibarra Cadena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Josefina Román Vergara</w:t>
      </w:r>
      <w:r w:rsidDel="00000000" w:rsidR="00000000" w:rsidRPr="00000000">
        <w:rPr>
          <w:color w:val="2f2f2f"/>
          <w:sz w:val="18"/>
          <w:szCs w:val="18"/>
          <w:rtl w:val="0"/>
        </w:rPr>
        <w:t xml:space="preserve">.- El Secretario Técnico del Pleno, </w:t>
      </w:r>
      <w:r w:rsidDel="00000000" w:rsidR="00000000" w:rsidRPr="00000000">
        <w:rPr>
          <w:b w:val="1"/>
          <w:color w:val="2f2f2f"/>
          <w:sz w:val="18"/>
          <w:szCs w:val="18"/>
          <w:rtl w:val="0"/>
        </w:rPr>
        <w:t xml:space="preserve">Hugo Alejandro Córdova Díaz</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HUGO ALEJANDRO CÓRDOVA DÍAZ</w:t>
      </w:r>
      <w:r w:rsidDel="00000000" w:rsidR="00000000" w:rsidRPr="00000000">
        <w:rPr>
          <w:color w:val="2f2f2f"/>
          <w:sz w:val="16"/>
          <w:szCs w:val="16"/>
          <w:rtl w:val="0"/>
        </w:rPr>
        <w:t xml:space="preserve">, EN MI CARÁCTER DE SECRETARIO TÉCNICO DEL PLENO DEL </w:t>
      </w:r>
      <w:r w:rsidDel="00000000" w:rsidR="00000000" w:rsidRPr="00000000">
        <w:rPr>
          <w:b w:val="1"/>
          <w:color w:val="2f2f2f"/>
          <w:sz w:val="16"/>
          <w:szCs w:val="16"/>
          <w:rtl w:val="0"/>
        </w:rPr>
        <w:t xml:space="preserve">INSTITUTO NACIONAL DE TRANSPARENCIA, ACCESO A LA INFORMACIÓN Y PROTECCIÓN DE DATOS PERSONALES</w:t>
      </w:r>
      <w:r w:rsidDel="00000000" w:rsidR="00000000" w:rsidRPr="00000000">
        <w:rPr>
          <w:color w:val="2f2f2f"/>
          <w:sz w:val="16"/>
          <w:szCs w:val="16"/>
          <w:rtl w:val="0"/>
        </w:rPr>
        <w:t xml:space="preserv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CON FUNDAMENTO EN EL ARTÍCULO 45, FRACCIÓN IV, DE LA LEY FEDERAL DE TRANSPARENCIA Y ACCESO A LA INFORMACIÓN PÚBLICA, ASÍ COMO EN LO ORDENADO EN EL PUNTO DE ACUERDO </w:t>
      </w:r>
      <w:r w:rsidDel="00000000" w:rsidR="00000000" w:rsidRPr="00000000">
        <w:rPr>
          <w:b w:val="1"/>
          <w:color w:val="2f2f2f"/>
          <w:sz w:val="16"/>
          <w:szCs w:val="16"/>
          <w:rtl w:val="0"/>
        </w:rPr>
        <w:t xml:space="preserve">DÉCIMO TERCERO, DEL ACUERDO </w:t>
      </w:r>
      <w:r w:rsidDel="00000000" w:rsidR="00000000" w:rsidRPr="00000000">
        <w:rPr>
          <w:color w:val="2f2f2f"/>
          <w:sz w:val="16"/>
          <w:szCs w:val="16"/>
          <w:rtl w:val="0"/>
        </w:rPr>
        <w:t xml:space="preserve">ACT-PUB/28/07/2020.04, </w:t>
      </w:r>
      <w:r w:rsidDel="00000000" w:rsidR="00000000" w:rsidRPr="00000000">
        <w:rPr>
          <w:b w:val="1"/>
          <w:color w:val="2f2f2f"/>
          <w:sz w:val="16"/>
          <w:szCs w:val="16"/>
          <w:rtl w:val="0"/>
        </w:rPr>
        <w:t xml:space="preserve">CERTIFICO</w:t>
      </w:r>
      <w:r w:rsidDel="00000000" w:rsidR="00000000" w:rsidRPr="00000000">
        <w:rPr>
          <w:color w:val="2f2f2f"/>
          <w:sz w:val="16"/>
          <w:szCs w:val="16"/>
          <w:rtl w:val="0"/>
        </w:rPr>
        <w:t xml:space="preserve">: QUE EL PRESENTE DOCUMENTO ES FIEL Y EXACTA REPRODUCCIÓN DEL CITADO ACUERDO ACT-PUB/28/07/2020.04, APROBADO EN LA SESIÓN ORDINARIA DEL PLENO DE ESTE INSTITUTO, CELEBRADA EL VEINTIOCHO DE JULIO DE DOS MIL VEINTE; MISMO QUE SE EXPIDE EN UN TOTAL DE 9 FOJAS ÚTILES.- MÉXICO, CIUDAD DE MÉXICO, A 28 DE JULIO DE DOS MIL VEINTE.- Rúbrica.</w:t>
      </w:r>
    </w:p>
    <w:p w:rsidR="00000000" w:rsidDel="00000000" w:rsidP="00000000" w:rsidRDefault="00000000" w:rsidRPr="00000000" w14:paraId="0000003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2">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