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febrero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 SISTEMA NACIONAL DE BÚSQUEDA DE PERSONAS, DE LA LEY FEDERAL PARA PREVENIR Y SANCIONAR LOS DELITOS COMETIDOS EN MATERIA DE HIDROCARBUROS, DE LA LEY FEDERAL DE ARMAS DE FUEGO Y EXPLOSIVOS, DEL CÓDIGO PENAL FEDERAL, DE LA LEY GENERAL DE SALUD, DE LA LEY FEDERAL CONTRA LA DELINCUENCIA ORGANIZADA Y DE LA LEY DE VÍAS GENERALES DE COMUNICACIÓN.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Se reforman el artículo 167, párrafo tercero, los párrafos cuarto y quinto, que se fusionan para quedar como párrafo cuarto, recorriéndose en su orden los subsecuentes, la fracción XI del párrafo sexto que pasa a ser quinto, así como el párrafo octavo que pasa a ser séptimo, y se adicionan las fracciones XII, XIII, XIV, XV, XVI y XVII al párrafo sexto que pasa a ser quinto, así como los párrafos octavo y noveno, del Código Nacional de Procedimientos Penales, para quedar como sigue:</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167. Causas de procedencia</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Juez de control en el ámbito de su competencia, ordenará la prisión preventiva oficiosamente en los casos de abuso o violencia sexual contra menores, delincuencia organizada, homicidio doloso, feminicidio, violación, secuestro, trata de personas, robo de casa habitación, uso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 la ley en contra de la seguridad de la nación, el libre desarrollo de la personalidad, y de la salud.</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leyes generales de salud, secuestro, trata de personas, delitos electorales y desaparición forzada de personas y desaparición cometida por particulares, así como las leyes federales para prevenir y sancionar los delitos cometidos en materia de hidrocarburos, armas de fuego y explosivos, y contra la delincuencia organizada, establecerán los supuestos que ameriten prisión preventiva oficiosa de conformidad con lo dispuesto por el párrafo segundo del artículo 19 de la Constitución Política de los Estados Unidos Mexicanos.</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X. ...</w:t>
      </w:r>
    </w:p>
    <w:p w:rsidR="00000000" w:rsidDel="00000000" w:rsidP="00000000" w:rsidRDefault="00000000" w:rsidRPr="00000000" w14:paraId="0000001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 la salud, previsto en los artículos 194, 195, 196 Ter, 197, párrafo primero y 198, parte primera del párrafo tercero;</w:t>
      </w:r>
    </w:p>
    <w:p w:rsidR="00000000" w:rsidDel="00000000" w:rsidP="00000000" w:rsidRDefault="00000000" w:rsidRPr="00000000" w14:paraId="0000001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Abuso o violencia sexual contra menores, previsto en los artículos 261 en relación con el 260;</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Feminicidio, previsto en el artículo 325;</w:t>
      </w:r>
    </w:p>
    <w:p w:rsidR="00000000" w:rsidDel="00000000" w:rsidP="00000000" w:rsidRDefault="00000000" w:rsidRPr="00000000" w14:paraId="00000015">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Robo a casa habitación, previsto en el artículo 381 Bis;</w:t>
      </w:r>
    </w:p>
    <w:p w:rsidR="00000000" w:rsidDel="00000000" w:rsidP="00000000" w:rsidRDefault="00000000" w:rsidRPr="00000000" w14:paraId="00000016">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Ejercicio abusivo de funciones, previsto en las fracciones I y II del primer párrafo del artículo 220,</w:t>
      </w:r>
    </w:p>
    <w:p w:rsidR="00000000" w:rsidDel="00000000" w:rsidP="00000000" w:rsidRDefault="00000000" w:rsidRPr="00000000" w14:paraId="00000017">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en relación con su cuarto párrafo;</w:t>
      </w:r>
    </w:p>
    <w:p w:rsidR="00000000" w:rsidDel="00000000" w:rsidP="00000000" w:rsidRDefault="00000000" w:rsidRPr="00000000" w14:paraId="00000018">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Enriquecimiento ilícito previsto en el artículo 224, en relación con su séptimo párrafo, y</w:t>
      </w:r>
    </w:p>
    <w:p w:rsidR="00000000" w:rsidDel="00000000" w:rsidP="00000000" w:rsidRDefault="00000000" w:rsidRPr="00000000" w14:paraId="00000019">
      <w:pPr>
        <w:shd w:fill="ffffff" w:val="clear"/>
        <w:spacing w:after="80" w:lineRule="auto"/>
        <w:ind w:left="1440" w:hanging="5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Robo al transporte de carga, en cualquiera de sus modalidades, previsto en los artículos 376 Ter y 381, fracción XVII.</w:t>
      </w:r>
    </w:p>
    <w:p w:rsidR="00000000" w:rsidDel="00000000" w:rsidP="00000000" w:rsidRDefault="00000000" w:rsidRPr="00000000" w14:paraId="0000001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 ...</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juez no impondrá la prisión preventiva oficiosa y la sustituirá por otra medida cautelar, únicamente cuando lo solicite el Ministerio Público por no resultar proporcional para garantizar la comparecencia del imputado en el proceso, el desarrollo de la investigación, la protección de la víctima y de los testigos o de la comunidad o bien, cuando exista voluntad de las partes para celebrar un acuerdo reparatorio de cumplimiento inmediato, siempre que se trate de alguno de los delitos en los que sea procedente dicha forma de solución alterna del procedimiento. La solicitud deberá contar con la autorización del titular de la Fiscalía o de la persona funcionaria en la cual delegue esa facultad.</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prisión preventiva oficiosa ya hubiere sido impuesta, pero las partes manifiestan la voluntad de celebrar un acuerdo reparatorio de cumplimiento inmediato, el Ministerio Público solicitará al juez la sustitución de la medida cautelar para que las partes concreten el acuerdo con el apoyo del Órgano especializado en la materia.</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casos en los que la víctima u ofendido y la persona imputada deseen participar en un Mecanismo Alternativo de Solución de Controversias, y no sea factible modificar la medida cautelar de prisión preventiva, por existir riesgo de que el imputado se sustraiga del procedimiento o lo obstaculice, el o la Juez de Control podrá derivar el asunto al Órgano especializado en la materia, para promover la reparación del daño y concretar el acuerdo correspondiente.</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adiciona un párrafo segundo al artículo 6; así como los artículos 7 Bis y 11 Bis, de la Ley General en Materia de Delitos Electorales, para quedar como sigue:</w:t>
      </w:r>
    </w:p>
    <w:p w:rsidR="00000000" w:rsidDel="00000000" w:rsidP="00000000" w:rsidRDefault="00000000" w:rsidRPr="00000000" w14:paraId="0000002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6. ...</w:t>
      </w:r>
    </w:p>
    <w:p w:rsidR="00000000" w:rsidDel="00000000" w:rsidP="00000000" w:rsidRDefault="00000000" w:rsidRPr="00000000" w14:paraId="000000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persona juzgadora ordenará la prisión preventiva oficiosa tratándose de los delitos previstos en los artículos 7, fracción VII, párrafo tercero; 7 Bis; 11, fracción II; 11 Bis y 20, fracción II, de esta Ley, cuando se encuentren relacionados con el uso de programas sociales con fines electorales.</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7 Bis. </w:t>
      </w:r>
      <w:r w:rsidDel="00000000" w:rsidR="00000000" w:rsidRPr="00000000">
        <w:rPr>
          <w:color w:val="2f2f2f"/>
          <w:sz w:val="18"/>
          <w:szCs w:val="18"/>
          <w:rtl w:val="0"/>
        </w:rPr>
        <w:t xml:space="preserve">Se impondrá de trescientos a seiscientos días multa y prisión de cuatro a nueve años a quien, utilizando bienes, fondos, servicios o beneficios relacionados con programas sociales, ejerza cualquier tipo de presión sobre el electorado para votar o abstenerse de votar por una o un candidato, partido político o coalición, o bien para participar o abstenerse de participar en eventos proselitistas, o para votar o abstenerse de votar por alguna opción durante el procedimiento de consulta popular.</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11 Bis. </w:t>
      </w:r>
      <w:r w:rsidDel="00000000" w:rsidR="00000000" w:rsidRPr="00000000">
        <w:rPr>
          <w:color w:val="2f2f2f"/>
          <w:sz w:val="18"/>
          <w:szCs w:val="18"/>
          <w:rtl w:val="0"/>
        </w:rPr>
        <w:t xml:space="preserve">Se impondrá de quinientos a mil días multa y prisión de cuatro a nueve años, a la servidora o servidor público que, durante el proceso electoral, use o permita el uso de los recursos públicos, bienes, fondos, servicios, o beneficios relacionados con programas sociales con la finalidad de incidir en el electorado para posicionarse o posicionar ante el electorado a distinta o distinto servidor público, precandidato, aspirante a candidato independiente, candidato, partido político o coalición.</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Se adiciona un párrafo segundo al artículo 14 de la Ley General en Materia de Desaparición Forzada de Personas, Desaparición Cometida por Particulares y del Sistema Nacional de Búsqueda de Personas, para quedar como sigue:</w:t>
      </w:r>
    </w:p>
    <w:p w:rsidR="00000000" w:rsidDel="00000000" w:rsidP="00000000" w:rsidRDefault="00000000" w:rsidRPr="00000000" w14:paraId="0000002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14. ...</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juez o la jueza ordenará la prisión preventiva de manera oficiosa a las o los imputados por los delitos previstos en los artículos 27, 28, 31, 34, 35, 37 y 41 de esta Ley.</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Cuarto.-</w:t>
      </w:r>
      <w:r w:rsidDel="00000000" w:rsidR="00000000" w:rsidRPr="00000000">
        <w:rPr>
          <w:color w:val="2f2f2f"/>
          <w:sz w:val="18"/>
          <w:szCs w:val="18"/>
          <w:rtl w:val="0"/>
        </w:rPr>
        <w:t xml:space="preserve"> Se adiciona un párrafo tercero al artículo 4 de la Ley Federal para Prevenir y Sancionar los Delitos Cometidos en Materia de Hidrocarburos, para quedar como sigue:</w:t>
      </w:r>
    </w:p>
    <w:p w:rsidR="00000000" w:rsidDel="00000000" w:rsidP="00000000" w:rsidRDefault="00000000" w:rsidRPr="00000000" w14:paraId="0000002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w:t>
      </w:r>
    </w:p>
    <w:p w:rsidR="00000000" w:rsidDel="00000000" w:rsidP="00000000" w:rsidRDefault="00000000" w:rsidRPr="00000000" w14:paraId="0000002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medida de prisión preventiva será aplicable de oficio tratándose de los delitos previstos en los artículos 8; 9, primer párrafo, fracciones I, II y III, en relación con el segundo párrafo, incisos b) al d) y cuarto párrafo; 10, párrafo segundo, incisos a) y b); 11; 12, fracción III; 14; 15, párrafo segundo; 17, fracciones II y III; 18 y 19, de esta Ley.</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Quinto.-</w:t>
      </w:r>
      <w:r w:rsidDel="00000000" w:rsidR="00000000" w:rsidRPr="00000000">
        <w:rPr>
          <w:color w:val="2f2f2f"/>
          <w:sz w:val="18"/>
          <w:szCs w:val="18"/>
          <w:rtl w:val="0"/>
        </w:rPr>
        <w:t xml:space="preserve"> Se reforman los artículos 81, primer párrafo; 83 Ter, fracción II; 83 Quat, fracción II y 83 Quintus, fracción II, y se adiciona un artículo 92, de la Ley Federal de Armas de Fuego y Explosivos, para quedar como sigue:</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81.-</w:t>
      </w:r>
      <w:r w:rsidDel="00000000" w:rsidR="00000000" w:rsidRPr="00000000">
        <w:rPr>
          <w:color w:val="2f2f2f"/>
          <w:sz w:val="18"/>
          <w:szCs w:val="18"/>
          <w:rtl w:val="0"/>
        </w:rPr>
        <w:t xml:space="preserve"> Se sancionará con penas de tres a ocho años de prisión y de cien a cuatrocientos días multa, a quien porte un arma de las comprendidas en los artículos 9 y 10 de esta Ley sin tener expedida la licencia correspondiente.</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83 Ter.- ...</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Con prisión de cuatro a siete años y de cien a trescientos días multa, cuando se trate de las armas comprendidas en los incisos a) y b) del artículo 11 de esta Ley, y</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83 Quat.- ...</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 prisión de cuatro a siete años y de cien a trescientos días multa, si son para las armas que están comprendidas en los restantes incisos del artículo 11 de esta Ley.</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83 Quintus.-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 prisión de cuatro a ocho años y de doscientos a cuatrocientos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días multa, cuando se trate de más de cinco cargadores.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92.-</w:t>
      </w:r>
      <w:r w:rsidDel="00000000" w:rsidR="00000000" w:rsidRPr="00000000">
        <w:rPr>
          <w:color w:val="2f2f2f"/>
          <w:sz w:val="18"/>
          <w:szCs w:val="18"/>
          <w:rtl w:val="0"/>
        </w:rPr>
        <w:t xml:space="preserve"> Los delitos previstos en los artículos 83, fracciones II y III; 83 Bis; 83 Ter, fracciones II y III; 83 Quat, fracción II; 84, y 85 Bis, fracción III de esta Ley, tratándose de armas de fuego y explosivos de uso exclusivo del Ejército, la Armada o la Fuerza Aérea, ameritan prisión preventiva oficiosa.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Sexto.-</w:t>
      </w:r>
      <w:r w:rsidDel="00000000" w:rsidR="00000000" w:rsidRPr="00000000">
        <w:rPr>
          <w:color w:val="2f2f2f"/>
          <w:sz w:val="18"/>
          <w:szCs w:val="18"/>
          <w:rtl w:val="0"/>
        </w:rPr>
        <w:t xml:space="preserve"> Se reforma el artículo 160, primer párrafo; se adiciona un párrafo tercero al artículo 420, y se derogan las fracciones I y III del artículo 162, del Código Penal Federal, para quedar como sigue:</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160.-</w:t>
      </w:r>
      <w:r w:rsidDel="00000000" w:rsidR="00000000" w:rsidRPr="00000000">
        <w:rPr>
          <w:color w:val="2f2f2f"/>
          <w:sz w:val="18"/>
          <w:szCs w:val="18"/>
          <w:rtl w:val="0"/>
        </w:rPr>
        <w:t xml:space="preserve"> A quien porte, fabrique, importe, venda o acopie sin un fin lícito o con la intención de agredir, instrumentos que puedan ser utilizados para el ataque o la defensa, se le impondrá prisión de uno a seis años y de quinientas a mil veces el valor diario de la Unidad de Medida y Actualización, así como el decomiso.</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162.- ...</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Se deroga.</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Se deroga.</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V.- ...</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420.-</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Bis. ...</w:t>
      </w:r>
    </w:p>
    <w:p w:rsidR="00000000" w:rsidDel="00000000" w:rsidP="00000000" w:rsidRDefault="00000000" w:rsidRPr="00000000" w14:paraId="000000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previstos en la fracción IV del presente artículo y la fracción X del artículo 2o. de la Ley Federal contra la Delincuencia Organizada, se impondrá la pena de cinco a quince años de prisión y el equivalente de tres mil a seis mil días multa cuando se trate de algún ejemplar, partes, derivados, productos o subproductos de la especie totoaba macdonaldi.</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Séptimo.- </w:t>
      </w:r>
      <w:r w:rsidDel="00000000" w:rsidR="00000000" w:rsidRPr="00000000">
        <w:rPr>
          <w:color w:val="2f2f2f"/>
          <w:sz w:val="18"/>
          <w:szCs w:val="18"/>
          <w:rtl w:val="0"/>
        </w:rPr>
        <w:t xml:space="preserve">Se adiciona un segundo párrafo al artículo 480 de la Ley General de Salud, para quedar como sigue:</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480.- ...</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juez o la jueza ordenará la prisión preventiva de manera oficiosa a las y los imputados por los delitos previstos en los párrafos segundo y tercero, fracciones I, II y III del artículo 475 de esta Ley.</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Octavo.-</w:t>
      </w:r>
      <w:r w:rsidDel="00000000" w:rsidR="00000000" w:rsidRPr="00000000">
        <w:rPr>
          <w:color w:val="2f2f2f"/>
          <w:sz w:val="18"/>
          <w:szCs w:val="18"/>
          <w:rtl w:val="0"/>
        </w:rPr>
        <w:t xml:space="preserve"> Se reforma el artículo 2o., fracción II, de la Ley Federal contra la Delincuencia Organizada, para quedar como sigue:</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2o.- ...</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Acopio y tráfico de armas, previstos en los artículos 83 Bis, 84, 84 Bis, párrafo primero, 85 y 85 Bis, de la Ley Federal de Armas de Fuego y Explosivos;</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 ...</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Noveno.-</w:t>
      </w:r>
      <w:r w:rsidDel="00000000" w:rsidR="00000000" w:rsidRPr="00000000">
        <w:rPr>
          <w:color w:val="2f2f2f"/>
          <w:sz w:val="18"/>
          <w:szCs w:val="18"/>
          <w:rtl w:val="0"/>
        </w:rPr>
        <w:t xml:space="preserve"> Se reforman los artículos 533, primer párrafo y 534 de la Ley de Vías Generales de Comunicación, para quedar como sigue: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533.-</w:t>
      </w:r>
      <w:r w:rsidDel="00000000" w:rsidR="00000000" w:rsidRPr="00000000">
        <w:rPr>
          <w:b w:val="1"/>
          <w:i w:val="1"/>
          <w:color w:val="2f2f2f"/>
          <w:sz w:val="18"/>
          <w:szCs w:val="18"/>
          <w:rtl w:val="0"/>
        </w:rPr>
        <w:t xml:space="preserve"> </w:t>
      </w:r>
      <w:r w:rsidDel="00000000" w:rsidR="00000000" w:rsidRPr="00000000">
        <w:rPr>
          <w:color w:val="2f2f2f"/>
          <w:sz w:val="18"/>
          <w:szCs w:val="18"/>
          <w:rtl w:val="0"/>
        </w:rPr>
        <w:t xml:space="preserve">A quien dañe, perjudique o destruya las vías generales de comunicación, o los medios de transporte, o interrumpa la construcción de dichas vías, o total o parcialmente interrumpa o deteriore los servicios que operen en las vías generales de comunicación o los medios de transporte, se le sancionará con pena de dos a nueve años y multa de doscientas a mil veces el valor diario de la Unidad de Medida y Actualización al momento de cometerse el delito.</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534.- </w:t>
      </w:r>
      <w:r w:rsidDel="00000000" w:rsidR="00000000" w:rsidRPr="00000000">
        <w:rPr>
          <w:color w:val="2f2f2f"/>
          <w:sz w:val="18"/>
          <w:szCs w:val="18"/>
          <w:rtl w:val="0"/>
        </w:rPr>
        <w:t xml:space="preserve">Al que indebidamente y sin el propósito de interrumpir o perjudicar las vías generales de comunicación arroje en ellas cualquier obstáculo, impida sus desagües, descargue aguas, tale, pode o maltrate los árboles del derecho de vía, se le impondrá multa de doscientas a quinientas veces el valor diario de la Unidad de Medida y Actualización al momento de incurrir en la falta.</w:t>
      </w:r>
    </w:p>
    <w:p w:rsidR="00000000" w:rsidDel="00000000" w:rsidP="00000000" w:rsidRDefault="00000000" w:rsidRPr="00000000" w14:paraId="0000005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al día siguiente de su publicación en el Diario Oficial de la Federación.</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Quedan derogadas todas las disposiciones que se opongan al contenido del presente Decreto.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Los procedimientos penales que se estén substanciando a la entrada en vigor del presente Decreto se seguirán conforme a las disposiciones vigentes al momento de la comisión de los hechos.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las personas que hayan cometido un delito de los contemplados en el presente Decreto con anterioridad a su entrada en vigor, les serán aplicables las disposiciones vigentes en el momento en que se haya cometido.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personas sentenciadas continuarán cumpliendo la pena de conformidad con lo establecido en la legislación vigente en el momento en que la misma haya quedado firme.</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aplicación de las normas en los supuestos delictivos a que se refiere el presente Decreto, se hará conforme a lo dispuesto en el artículo 14 de la Constitución Política de los Estados Unidos Mexicanos.</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18 de febrero de 2021.-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Julieta Macías Rábago</w:t>
      </w:r>
      <w:r w:rsidDel="00000000" w:rsidR="00000000" w:rsidRPr="00000000">
        <w:rPr>
          <w:color w:val="2f2f2f"/>
          <w:sz w:val="18"/>
          <w:szCs w:val="18"/>
          <w:rtl w:val="0"/>
        </w:rPr>
        <w:t xml:space="preserve">, Secretaria.-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19 de febrero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63">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