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6A7" w:rsidRPr="004C26A7" w:rsidRDefault="004C26A7" w:rsidP="004C26A7">
      <w:pPr>
        <w:jc w:val="center"/>
        <w:rPr>
          <w:rFonts w:ascii="Verdana" w:hAnsi="Verdana"/>
          <w:b/>
          <w:bCs/>
          <w:color w:val="0070C0"/>
          <w:sz w:val="24"/>
        </w:rPr>
      </w:pPr>
      <w:r w:rsidRPr="004C26A7">
        <w:rPr>
          <w:rFonts w:ascii="Verdana" w:hAnsi="Verdana"/>
          <w:b/>
          <w:bCs/>
          <w:color w:val="0070C0"/>
          <w:sz w:val="24"/>
        </w:rPr>
        <w:t>Lineamientos del Sistema de Apertura Rápida de Empresas (SARE) y del Programa de Reconocimiento y Operación del SARE (PROSARE).</w:t>
      </w:r>
    </w:p>
    <w:p w:rsidR="0020025D" w:rsidRDefault="00AE5A41" w:rsidP="00AE5A41">
      <w:pPr>
        <w:jc w:val="center"/>
        <w:rPr>
          <w:rFonts w:ascii="Verdana" w:hAnsi="Verdana"/>
          <w:b/>
          <w:bCs/>
          <w:color w:val="0070C0"/>
          <w:sz w:val="24"/>
        </w:rPr>
      </w:pPr>
      <w:r w:rsidRPr="00AE5A41">
        <w:rPr>
          <w:rFonts w:ascii="Verdana" w:hAnsi="Verdana"/>
          <w:b/>
          <w:bCs/>
          <w:color w:val="0070C0"/>
          <w:sz w:val="24"/>
        </w:rPr>
        <w:t xml:space="preserve"> </w:t>
      </w:r>
      <w:r w:rsidR="0020025D">
        <w:rPr>
          <w:rFonts w:ascii="Verdana" w:hAnsi="Verdana"/>
          <w:b/>
          <w:bCs/>
          <w:color w:val="0070C0"/>
          <w:sz w:val="24"/>
        </w:rPr>
        <w:t>(DOF del 20 de mayo de 2019)</w:t>
      </w:r>
    </w:p>
    <w:p w:rsidR="004C26A7" w:rsidRPr="004C26A7" w:rsidRDefault="004C26A7" w:rsidP="004C26A7">
      <w:pPr>
        <w:jc w:val="both"/>
        <w:rPr>
          <w:rFonts w:ascii="Verdana" w:hAnsi="Verdana"/>
          <w:bCs/>
          <w:sz w:val="20"/>
        </w:rPr>
      </w:pPr>
      <w:r w:rsidRPr="004C26A7">
        <w:rPr>
          <w:rFonts w:ascii="Verdana" w:hAnsi="Verdana"/>
          <w:bCs/>
          <w:sz w:val="20"/>
        </w:rPr>
        <w:t>CÉSAR EMILIANO HERNÁNDEZ OCHOA, Comisionado de la Comisión Nacional de Mejora Regulatoria, órgano administrativo desconcentrado de la Secretaría de Economía, con fundamento en los artículos 24, fracción XII; 26, 27, fracciones I y VIII; 88 y artículo Décimo Primero Transitorio, fracciones I y II de la Ley General de Mejora Regulatoria; así como 3, fracción VII y 9, fracciones II, III, VII, inciso e), XIX y XX del Reglamento Interior de la Comisión Federal de Mejora Regulatoria.</w:t>
      </w:r>
    </w:p>
    <w:p w:rsidR="004C26A7" w:rsidRPr="004C26A7" w:rsidRDefault="004C26A7" w:rsidP="004C26A7">
      <w:pPr>
        <w:jc w:val="both"/>
        <w:rPr>
          <w:rFonts w:ascii="Verdana" w:hAnsi="Verdana"/>
          <w:b/>
          <w:bCs/>
          <w:sz w:val="20"/>
        </w:rPr>
      </w:pPr>
      <w:r w:rsidRPr="004C26A7">
        <w:rPr>
          <w:rFonts w:ascii="Verdana" w:hAnsi="Verdana"/>
          <w:b/>
          <w:bCs/>
          <w:sz w:val="20"/>
        </w:rPr>
        <w:t>CONSIDERANDO</w:t>
      </w:r>
    </w:p>
    <w:p w:rsidR="004C26A7" w:rsidRPr="004C26A7" w:rsidRDefault="004C26A7" w:rsidP="004C26A7">
      <w:pPr>
        <w:jc w:val="both"/>
        <w:rPr>
          <w:rFonts w:ascii="Verdana" w:hAnsi="Verdana"/>
          <w:bCs/>
          <w:sz w:val="20"/>
        </w:rPr>
      </w:pPr>
      <w:r w:rsidRPr="004C26A7">
        <w:rPr>
          <w:rFonts w:ascii="Verdana" w:hAnsi="Verdana"/>
          <w:bCs/>
          <w:sz w:val="20"/>
        </w:rPr>
        <w:t>Que el último párrafo del artículo 25 de la Constitución Política de los Estados Unidos Mexicanos establece que las autoridades de todos los órdenes de gobierno, en el ámbito de su competencia, deberán implementar políticas públicas de mejora regulatoria para la simplificación de regulaciones, trámites, servicios y demás objetivos que establezca la Ley General de Mejora Regulatoria;</w:t>
      </w:r>
    </w:p>
    <w:p w:rsidR="004C26A7" w:rsidRPr="004C26A7" w:rsidRDefault="004C26A7" w:rsidP="004C26A7">
      <w:pPr>
        <w:jc w:val="both"/>
        <w:rPr>
          <w:rFonts w:ascii="Verdana" w:hAnsi="Verdana"/>
          <w:bCs/>
          <w:sz w:val="20"/>
        </w:rPr>
      </w:pPr>
      <w:r w:rsidRPr="004C26A7">
        <w:rPr>
          <w:rFonts w:ascii="Verdana" w:hAnsi="Verdana"/>
          <w:bCs/>
          <w:sz w:val="20"/>
        </w:rPr>
        <w:t>Que el 18 de mayo de 2018 se publicó en el Diario Oficial de la Federación la Ley General de Mejora Regulatoria que tiene por objeto establecer los principios y las bases a los que deberán sujetarse los órdenes de gobierno, en el ámbito de sus respectivas competencias, en materia de mejora regulatoria a la que se deberán adherir los sujetos obligados de la Administración Pública Federal y sus respectivos homólogos de las entidades federativas, los municipios y alcaldías y sus dependencias y entidades;</w:t>
      </w:r>
    </w:p>
    <w:p w:rsidR="004C26A7" w:rsidRPr="004C26A7" w:rsidRDefault="004C26A7" w:rsidP="004C26A7">
      <w:pPr>
        <w:jc w:val="both"/>
        <w:rPr>
          <w:rFonts w:ascii="Verdana" w:hAnsi="Verdana"/>
          <w:bCs/>
          <w:sz w:val="20"/>
        </w:rPr>
      </w:pPr>
      <w:r w:rsidRPr="004C26A7">
        <w:rPr>
          <w:rFonts w:ascii="Verdana" w:hAnsi="Verdana"/>
          <w:bCs/>
          <w:sz w:val="20"/>
        </w:rPr>
        <w:t>Que la Ley General de Mejora Regulatoria establece en su artículo 23 que la Comisión Nacional de Mejora Regulatoria tiene como objetivo promover la mejora de las regulaciones y la simplificación de trámites y servicios, así como la transparencia en la elaboración y aplicación de los mismos, procurando que éstos generen beneficios superiores a sus costos y el máximo beneficio para la sociedad, y tiene, entre otras atribuciones, las de revisar el marco regulatorio nacional, diagnosticar su aplicación, así como crear, desarrollar, proponer y promover Programas Específicos de Simplificación y Mejora Regulatoria;</w:t>
      </w:r>
    </w:p>
    <w:p w:rsidR="004C26A7" w:rsidRPr="004C26A7" w:rsidRDefault="004C26A7" w:rsidP="004C26A7">
      <w:pPr>
        <w:jc w:val="both"/>
        <w:rPr>
          <w:rFonts w:ascii="Verdana" w:hAnsi="Verdana"/>
          <w:bCs/>
          <w:sz w:val="20"/>
        </w:rPr>
      </w:pPr>
      <w:r w:rsidRPr="004C26A7">
        <w:rPr>
          <w:rFonts w:ascii="Verdana" w:hAnsi="Verdana"/>
          <w:bCs/>
          <w:sz w:val="20"/>
        </w:rPr>
        <w:t>Que los Programas Específicos de Simplificación y Mejora Regulatoria son herramientas para promover la mejora de las regulaciones y la simplificación de trámites y servicios, así como fomentar la aplicación de buenas prácticas nacionales e internacionales en materia de mejora regulatoria, a través de certificaciones otorgadas por las Autoridades de Mejora Regulatoria;</w:t>
      </w:r>
    </w:p>
    <w:p w:rsidR="004C26A7" w:rsidRPr="004C26A7" w:rsidRDefault="004C26A7" w:rsidP="004C26A7">
      <w:pPr>
        <w:jc w:val="both"/>
        <w:rPr>
          <w:rFonts w:ascii="Verdana" w:hAnsi="Verdana"/>
          <w:bCs/>
          <w:sz w:val="20"/>
        </w:rPr>
      </w:pPr>
      <w:r w:rsidRPr="004C26A7">
        <w:rPr>
          <w:rFonts w:ascii="Verdana" w:hAnsi="Verdana"/>
          <w:bCs/>
          <w:sz w:val="20"/>
        </w:rPr>
        <w:t>Que el artículo Décimo Primero Transitorio de la Ley General de Mejora Regulatoria establece que el Sistema de Apertura Rápida de Empresas y el Programa de Reconocimiento y Operación del Sistema de Apertura Rápida de Empresas son Programas Específicos de Simplificación y Mejora Regulatoria;</w:t>
      </w:r>
    </w:p>
    <w:p w:rsidR="004C26A7" w:rsidRPr="004C26A7" w:rsidRDefault="004C26A7" w:rsidP="004C26A7">
      <w:pPr>
        <w:jc w:val="both"/>
        <w:rPr>
          <w:rFonts w:ascii="Verdana" w:hAnsi="Verdana"/>
          <w:bCs/>
          <w:sz w:val="20"/>
        </w:rPr>
      </w:pPr>
      <w:r w:rsidRPr="004C26A7">
        <w:rPr>
          <w:rFonts w:ascii="Verdana" w:hAnsi="Verdana"/>
          <w:bCs/>
          <w:sz w:val="20"/>
        </w:rPr>
        <w:lastRenderedPageBreak/>
        <w:t>Que el Sistema de Apertura Rápida de Empresas y el Programa de Reconocimiento y Operación del Sistema de Apertura Rápida de Empresas son herramientas que buscan facilitar el ambiente para hacer negocios y facilitar el establecimiento y funcionamiento de las empresas según su nivel de riesgo, considerando su tamaño, la rentabilidad social, la ubicación en zonas de atención prioritaria, así como otras características relevantes para el país;</w:t>
      </w:r>
    </w:p>
    <w:p w:rsidR="004C26A7" w:rsidRPr="004C26A7" w:rsidRDefault="004C26A7" w:rsidP="004C26A7">
      <w:pPr>
        <w:jc w:val="both"/>
        <w:rPr>
          <w:rFonts w:ascii="Verdana" w:hAnsi="Verdana"/>
          <w:bCs/>
          <w:sz w:val="20"/>
        </w:rPr>
      </w:pPr>
      <w:r w:rsidRPr="004C26A7">
        <w:rPr>
          <w:rFonts w:ascii="Verdana" w:hAnsi="Verdana"/>
          <w:bCs/>
          <w:sz w:val="20"/>
        </w:rPr>
        <w:t xml:space="preserve">Que el 10 de julio de 2009 la Junta de Gobierno del Instituto Nacional de Estadística y Geografía, publicó en el Diario Oficial de la Federación el Acuerdo para el uso del Sistema de Clasificación Industrial de América del Norte (SCIAN) en la recopilación, análisis y presentación de estadísticas económicas y sus actualizaciones, como clasificador obligatorio para las Unidades del Estado que generen u obtengan estadísticas económicas a través del Sistema Nacional de Información Estadística y </w:t>
      </w:r>
      <w:proofErr w:type="spellStart"/>
      <w:r w:rsidRPr="004C26A7">
        <w:rPr>
          <w:rFonts w:ascii="Verdana" w:hAnsi="Verdana"/>
          <w:bCs/>
          <w:sz w:val="20"/>
        </w:rPr>
        <w:t>Geográfica,substituyendo</w:t>
      </w:r>
      <w:proofErr w:type="spellEnd"/>
      <w:r w:rsidRPr="004C26A7">
        <w:rPr>
          <w:rFonts w:ascii="Verdana" w:hAnsi="Verdana"/>
          <w:bCs/>
          <w:sz w:val="20"/>
        </w:rPr>
        <w:t xml:space="preserve"> a la Clasificación Mexicana de Actividades y Productos;</w:t>
      </w:r>
    </w:p>
    <w:p w:rsidR="004C26A7" w:rsidRPr="004C26A7" w:rsidRDefault="004C26A7" w:rsidP="004C26A7">
      <w:pPr>
        <w:jc w:val="both"/>
        <w:rPr>
          <w:rFonts w:ascii="Verdana" w:hAnsi="Verdana"/>
          <w:bCs/>
          <w:sz w:val="20"/>
        </w:rPr>
      </w:pPr>
      <w:r w:rsidRPr="004C26A7">
        <w:rPr>
          <w:rFonts w:ascii="Verdana" w:hAnsi="Verdana"/>
          <w:bCs/>
          <w:sz w:val="20"/>
        </w:rPr>
        <w:t>Que de un total de 1,059 giros o clases de actividades económicas agrupados de conformidad con el Sistema de Clasificación Industrial de América del Norte, 42% correspondían a un total de 449 giros o actividades de bajo riesgo y susceptibles de ser desarrolladas por la micro, pequeña y mediana empresa, las cuales representan alrededor de 80% de las actividades económicas de más alta frecuencia en nuestro país;</w:t>
      </w:r>
    </w:p>
    <w:p w:rsidR="004C26A7" w:rsidRPr="004C26A7" w:rsidRDefault="004C26A7" w:rsidP="004C26A7">
      <w:pPr>
        <w:jc w:val="both"/>
        <w:rPr>
          <w:rFonts w:ascii="Verdana" w:hAnsi="Verdana"/>
          <w:bCs/>
          <w:sz w:val="20"/>
        </w:rPr>
      </w:pPr>
      <w:r w:rsidRPr="004C26A7">
        <w:rPr>
          <w:rFonts w:ascii="Verdana" w:hAnsi="Verdana"/>
          <w:bCs/>
          <w:sz w:val="20"/>
        </w:rPr>
        <w:t>Que el 4 de octubre de 2016 se publicó en el Diario Oficial de la Federación, el Acuerdo por el que se establecen los Lineamientos del Sistema de Apertura Rápida de Empresas (SARE) y del Programa de Reconocimiento y Operación del SARE (PROSARE) con el objeto de establecer las directrices a las que se ha de observar en la instalación del SARE y la operación y funcionamiento óptimo del PROSARE, garantizando estándares mínimos en la aplicación de dichos programas;</w:t>
      </w:r>
    </w:p>
    <w:p w:rsidR="004C26A7" w:rsidRPr="004C26A7" w:rsidRDefault="004C26A7" w:rsidP="004C26A7">
      <w:pPr>
        <w:jc w:val="both"/>
        <w:rPr>
          <w:rFonts w:ascii="Verdana" w:hAnsi="Verdana"/>
          <w:bCs/>
          <w:sz w:val="20"/>
        </w:rPr>
      </w:pPr>
      <w:r w:rsidRPr="004C26A7">
        <w:rPr>
          <w:rFonts w:ascii="Verdana" w:hAnsi="Verdana"/>
          <w:bCs/>
          <w:sz w:val="20"/>
        </w:rPr>
        <w:t>Que el 23 de julio de 2018 se incorporaron cambios en la estructura económica, se realizaron modificaciones relevantes a raíz de los acuerdos trilaterales con Canadá y Estados Unidos en los sectores 21, Minería; 22, Generación, transmisión, distribución y comercialización de energía eléctrica, suministro de agua y de gas natural por ductos al consumidor final; 51, Información en medios masivos, y 53, Servicios inmobiliarios y de alquiler de bienes muebles e intangibles. Los acuerdos trilaterales establecidos en estos</w:t>
      </w:r>
    </w:p>
    <w:p w:rsidR="004C26A7" w:rsidRPr="004C26A7" w:rsidRDefault="004C26A7" w:rsidP="004C26A7">
      <w:pPr>
        <w:jc w:val="both"/>
        <w:rPr>
          <w:rFonts w:ascii="Verdana" w:hAnsi="Verdana"/>
          <w:bCs/>
          <w:sz w:val="20"/>
        </w:rPr>
      </w:pPr>
      <w:proofErr w:type="gramStart"/>
      <w:r w:rsidRPr="004C26A7">
        <w:rPr>
          <w:rFonts w:ascii="Verdana" w:hAnsi="Verdana"/>
          <w:bCs/>
          <w:sz w:val="20"/>
        </w:rPr>
        <w:t>sectores</w:t>
      </w:r>
      <w:proofErr w:type="gramEnd"/>
      <w:r w:rsidRPr="004C26A7">
        <w:rPr>
          <w:rFonts w:ascii="Verdana" w:hAnsi="Verdana"/>
          <w:bCs/>
          <w:sz w:val="20"/>
        </w:rPr>
        <w:t xml:space="preserve"> también trajeron cambios en el nivel de detalle nacional del Sistema de Clasificación Industrial de América del Norte. Esto arrojó un total de 1,084 giros o clases de actividades económicas, 42% corresponden a 454 giros o actividades de bajo riesgo y susceptibles de ser desarrolladas por la micro, pequeña y mediana empresa;</w:t>
      </w:r>
    </w:p>
    <w:p w:rsidR="004C26A7" w:rsidRPr="004C26A7" w:rsidRDefault="004C26A7" w:rsidP="004C26A7">
      <w:pPr>
        <w:jc w:val="both"/>
        <w:rPr>
          <w:rFonts w:ascii="Verdana" w:hAnsi="Verdana"/>
          <w:bCs/>
          <w:sz w:val="20"/>
        </w:rPr>
      </w:pPr>
      <w:r w:rsidRPr="004C26A7">
        <w:rPr>
          <w:rFonts w:ascii="Verdana" w:hAnsi="Verdana"/>
          <w:bCs/>
          <w:sz w:val="20"/>
        </w:rPr>
        <w:t>Que el artículo 88 de la Ley General de Mejora Regulatoria establece que la Comisión Nacional de Mejora Regulatoria expedirá los lineamientos aplicables a los Programas Específicos de Simplificación y Mejora Regulatoria, para lo cual he tenido a bien expedir los siguientes:</w:t>
      </w:r>
    </w:p>
    <w:p w:rsidR="004C26A7" w:rsidRPr="004C26A7" w:rsidRDefault="004C26A7" w:rsidP="004C26A7">
      <w:pPr>
        <w:jc w:val="both"/>
        <w:rPr>
          <w:rFonts w:ascii="Verdana" w:hAnsi="Verdana"/>
          <w:b/>
          <w:bCs/>
          <w:sz w:val="20"/>
        </w:rPr>
      </w:pPr>
      <w:r w:rsidRPr="004C26A7">
        <w:rPr>
          <w:rFonts w:ascii="Verdana" w:hAnsi="Verdana"/>
          <w:b/>
          <w:bCs/>
          <w:sz w:val="20"/>
        </w:rPr>
        <w:lastRenderedPageBreak/>
        <w:t>LINEAMIENTOS DEL SISTEMA DE APERTURA RÁPIDA DE EMPRESAS (SARE) Y DEL PROGRAMA DE</w:t>
      </w:r>
      <w:r w:rsidRPr="004C26A7">
        <w:rPr>
          <w:rFonts w:ascii="Verdana" w:hAnsi="Verdana"/>
          <w:b/>
          <w:bCs/>
          <w:sz w:val="20"/>
        </w:rPr>
        <w:br/>
        <w:t>RECONOCIMIENTO Y OPERACIÓN DEL SARE (PROSARE)</w:t>
      </w:r>
    </w:p>
    <w:p w:rsidR="004C26A7" w:rsidRPr="004C26A7" w:rsidRDefault="004C26A7" w:rsidP="004C26A7">
      <w:pPr>
        <w:jc w:val="both"/>
        <w:rPr>
          <w:rFonts w:ascii="Verdana" w:hAnsi="Verdana"/>
          <w:bCs/>
          <w:sz w:val="20"/>
        </w:rPr>
      </w:pPr>
      <w:r w:rsidRPr="004C26A7">
        <w:rPr>
          <w:rFonts w:ascii="Verdana" w:hAnsi="Verdana"/>
          <w:b/>
          <w:bCs/>
          <w:sz w:val="20"/>
        </w:rPr>
        <w:t>DISPOSICIONES GENERALES</w:t>
      </w:r>
    </w:p>
    <w:p w:rsidR="004C26A7" w:rsidRPr="004C26A7" w:rsidRDefault="004C26A7" w:rsidP="004C26A7">
      <w:pPr>
        <w:jc w:val="both"/>
        <w:rPr>
          <w:rFonts w:ascii="Verdana" w:hAnsi="Verdana"/>
          <w:bCs/>
          <w:sz w:val="20"/>
        </w:rPr>
      </w:pPr>
      <w:r w:rsidRPr="004C26A7">
        <w:rPr>
          <w:rFonts w:ascii="Verdana" w:hAnsi="Verdana"/>
          <w:b/>
          <w:bCs/>
          <w:sz w:val="20"/>
        </w:rPr>
        <w:t>PRIMERO.</w:t>
      </w:r>
      <w:r w:rsidRPr="004C26A7">
        <w:rPr>
          <w:rFonts w:ascii="Verdana" w:hAnsi="Verdana"/>
          <w:bCs/>
          <w:sz w:val="20"/>
        </w:rPr>
        <w:t> Los presentes lineamientos tienen por objeto establecer los estándares mínimos, formatos, procedimiento, indicadores, métricas y mecanismos para la operación y correcto funcionamiento del Programa del Sistema de Apertura Rápida de Empresas y para la operación y funcionamiento óptimo del Programa de Reconocimiento y Operación del Sistema de Apertura Rápida de Empresas, así como los criterios para la expedición, obtención, vigencia, revocación y renovación de la certificación que otorgue la Comisión Nacional de Mejora Regulatoria a solicitud de la autoridad municipal.</w:t>
      </w:r>
    </w:p>
    <w:p w:rsidR="004C26A7" w:rsidRPr="004C26A7" w:rsidRDefault="004C26A7" w:rsidP="004C26A7">
      <w:pPr>
        <w:jc w:val="both"/>
        <w:rPr>
          <w:rFonts w:ascii="Verdana" w:hAnsi="Verdana"/>
          <w:bCs/>
          <w:sz w:val="20"/>
        </w:rPr>
      </w:pPr>
      <w:r w:rsidRPr="004C26A7">
        <w:rPr>
          <w:rFonts w:ascii="Verdana" w:hAnsi="Verdana"/>
          <w:b/>
          <w:bCs/>
          <w:sz w:val="20"/>
        </w:rPr>
        <w:t>SEGUNDO.</w:t>
      </w:r>
      <w:r w:rsidRPr="004C26A7">
        <w:rPr>
          <w:rFonts w:ascii="Verdana" w:hAnsi="Verdana"/>
          <w:bCs/>
          <w:sz w:val="20"/>
        </w:rPr>
        <w:t> Para efectos de estos lineamientos se entenderá por:</w:t>
      </w:r>
    </w:p>
    <w:p w:rsidR="004C26A7" w:rsidRPr="004C26A7" w:rsidRDefault="004C26A7" w:rsidP="004C26A7">
      <w:pPr>
        <w:jc w:val="both"/>
        <w:rPr>
          <w:rFonts w:ascii="Verdana" w:hAnsi="Verdana"/>
          <w:bCs/>
          <w:sz w:val="20"/>
        </w:rPr>
      </w:pPr>
      <w:r w:rsidRPr="004C26A7">
        <w:rPr>
          <w:rFonts w:ascii="Verdana" w:hAnsi="Verdana"/>
          <w:b/>
          <w:bCs/>
          <w:sz w:val="20"/>
        </w:rPr>
        <w:t>I.</w:t>
      </w:r>
      <w:r w:rsidRPr="004C26A7">
        <w:rPr>
          <w:rFonts w:ascii="Verdana" w:hAnsi="Verdana"/>
          <w:bCs/>
          <w:sz w:val="20"/>
        </w:rPr>
        <w:t>        </w:t>
      </w:r>
      <w:r w:rsidRPr="004C26A7">
        <w:rPr>
          <w:rFonts w:ascii="Verdana" w:hAnsi="Verdana"/>
          <w:b/>
          <w:bCs/>
          <w:sz w:val="20"/>
        </w:rPr>
        <w:t>Autoridad de Mejora Regulatoria:</w:t>
      </w:r>
      <w:r w:rsidRPr="004C26A7">
        <w:rPr>
          <w:rFonts w:ascii="Verdana" w:hAnsi="Verdana"/>
          <w:bCs/>
          <w:sz w:val="20"/>
        </w:rPr>
        <w:t> Las comisiones de mejora regulatoria de las entidades federativas, municipales o de alcaldías o equivalentes, los comités, las unidades administrativas o áreas responsables de conducir la política de mejora regulatoria en sus respectivos ámbitos de competencia;</w:t>
      </w:r>
    </w:p>
    <w:p w:rsidR="004C26A7" w:rsidRPr="004C26A7" w:rsidRDefault="004C26A7" w:rsidP="004C26A7">
      <w:pPr>
        <w:jc w:val="both"/>
        <w:rPr>
          <w:rFonts w:ascii="Verdana" w:hAnsi="Verdana"/>
          <w:bCs/>
          <w:sz w:val="20"/>
        </w:rPr>
      </w:pPr>
      <w:r w:rsidRPr="004C26A7">
        <w:rPr>
          <w:rFonts w:ascii="Verdana" w:hAnsi="Verdana"/>
          <w:b/>
          <w:bCs/>
          <w:sz w:val="20"/>
        </w:rPr>
        <w:t>II.</w:t>
      </w:r>
      <w:r w:rsidRPr="004C26A7">
        <w:rPr>
          <w:rFonts w:ascii="Verdana" w:hAnsi="Verdana"/>
          <w:bCs/>
          <w:sz w:val="20"/>
        </w:rPr>
        <w:t>       </w:t>
      </w:r>
      <w:r w:rsidRPr="004C26A7">
        <w:rPr>
          <w:rFonts w:ascii="Verdana" w:hAnsi="Verdana"/>
          <w:b/>
          <w:bCs/>
          <w:sz w:val="20"/>
        </w:rPr>
        <w:t>Autoridades Municipales:</w:t>
      </w:r>
      <w:r w:rsidRPr="004C26A7">
        <w:rPr>
          <w:rFonts w:ascii="Verdana" w:hAnsi="Verdana"/>
          <w:bCs/>
          <w:sz w:val="20"/>
        </w:rPr>
        <w:t> Usado indistintamente en plural o singular, según se requiera en el texto de los lineamientos, las autoridades municipales o de las alcaldías de la Ciudad de México;</w:t>
      </w:r>
    </w:p>
    <w:p w:rsidR="004C26A7" w:rsidRPr="004C26A7" w:rsidRDefault="004C26A7" w:rsidP="004C26A7">
      <w:pPr>
        <w:jc w:val="both"/>
        <w:rPr>
          <w:rFonts w:ascii="Verdana" w:hAnsi="Verdana"/>
          <w:bCs/>
          <w:sz w:val="20"/>
        </w:rPr>
      </w:pPr>
      <w:r w:rsidRPr="004C26A7">
        <w:rPr>
          <w:rFonts w:ascii="Verdana" w:hAnsi="Verdana"/>
          <w:b/>
          <w:bCs/>
          <w:sz w:val="20"/>
        </w:rPr>
        <w:t>III.</w:t>
      </w:r>
      <w:r w:rsidRPr="004C26A7">
        <w:rPr>
          <w:rFonts w:ascii="Verdana" w:hAnsi="Verdana"/>
          <w:bCs/>
          <w:sz w:val="20"/>
        </w:rPr>
        <w:t>      </w:t>
      </w:r>
      <w:r w:rsidRPr="004C26A7">
        <w:rPr>
          <w:rFonts w:ascii="Verdana" w:hAnsi="Verdana"/>
          <w:b/>
          <w:bCs/>
          <w:sz w:val="20"/>
        </w:rPr>
        <w:t>Autorización: </w:t>
      </w:r>
      <w:r w:rsidRPr="004C26A7">
        <w:rPr>
          <w:rFonts w:ascii="Verdana" w:hAnsi="Verdana"/>
          <w:bCs/>
          <w:sz w:val="20"/>
        </w:rPr>
        <w:t>La Resolución que emite la autoridad municipal y que permite a una Empresa de Bajo Riesgo iniciar actividades, e incluye, sin limitar, la utilización del uso de suelo, todos los trámites municipales y cualquier permiso, licencia o término análogo, así como los avisos que las Empresas de Bajo Riesgo requieran presentar ante dicha Autoridad Municipal para el inicio de sus operaciones;</w:t>
      </w:r>
    </w:p>
    <w:p w:rsidR="004C26A7" w:rsidRPr="004C26A7" w:rsidRDefault="004C26A7" w:rsidP="004C26A7">
      <w:pPr>
        <w:jc w:val="both"/>
        <w:rPr>
          <w:rFonts w:ascii="Verdana" w:hAnsi="Verdana"/>
          <w:bCs/>
          <w:sz w:val="20"/>
        </w:rPr>
      </w:pPr>
      <w:r w:rsidRPr="004C26A7">
        <w:rPr>
          <w:rFonts w:ascii="Verdana" w:hAnsi="Verdana"/>
          <w:b/>
          <w:bCs/>
          <w:sz w:val="20"/>
        </w:rPr>
        <w:t>IV.</w:t>
      </w:r>
      <w:r w:rsidRPr="004C26A7">
        <w:rPr>
          <w:rFonts w:ascii="Verdana" w:hAnsi="Verdana"/>
          <w:bCs/>
          <w:sz w:val="20"/>
        </w:rPr>
        <w:t>      </w:t>
      </w:r>
      <w:r w:rsidRPr="004C26A7">
        <w:rPr>
          <w:rFonts w:ascii="Verdana" w:hAnsi="Verdana"/>
          <w:b/>
          <w:bCs/>
          <w:sz w:val="20"/>
        </w:rPr>
        <w:t>Catálogo de Giros de Bajo Riesgo: </w:t>
      </w:r>
      <w:r w:rsidRPr="004C26A7">
        <w:rPr>
          <w:rFonts w:ascii="Verdana" w:hAnsi="Verdana"/>
          <w:bCs/>
          <w:sz w:val="20"/>
        </w:rPr>
        <w:t>El concentrado que enlista las actividades económicas que no representan un riesgo por sus implicaciones para la salud humana, animal y vegetal, la seguridad y el medio ambiente, y que se encuentran clasificadas de conformidad con el SCIAN, mismas actividades que se precisan en el Anexo Uno;</w:t>
      </w:r>
    </w:p>
    <w:p w:rsidR="004C26A7" w:rsidRPr="004C26A7" w:rsidRDefault="004C26A7" w:rsidP="004C26A7">
      <w:pPr>
        <w:jc w:val="both"/>
        <w:rPr>
          <w:rFonts w:ascii="Verdana" w:hAnsi="Verdana"/>
          <w:bCs/>
          <w:sz w:val="20"/>
        </w:rPr>
      </w:pPr>
      <w:r w:rsidRPr="004C26A7">
        <w:rPr>
          <w:rFonts w:ascii="Verdana" w:hAnsi="Verdana"/>
          <w:b/>
          <w:bCs/>
          <w:sz w:val="20"/>
        </w:rPr>
        <w:t>V.</w:t>
      </w:r>
      <w:r w:rsidRPr="004C26A7">
        <w:rPr>
          <w:rFonts w:ascii="Verdana" w:hAnsi="Verdana"/>
          <w:bCs/>
          <w:sz w:val="20"/>
        </w:rPr>
        <w:t>       </w:t>
      </w:r>
      <w:r w:rsidRPr="004C26A7">
        <w:rPr>
          <w:rFonts w:ascii="Verdana" w:hAnsi="Verdana"/>
          <w:b/>
          <w:bCs/>
          <w:sz w:val="20"/>
        </w:rPr>
        <w:t>Certificado PROSARE:</w:t>
      </w:r>
      <w:r w:rsidRPr="004C26A7">
        <w:rPr>
          <w:rFonts w:ascii="Verdana" w:hAnsi="Verdana"/>
          <w:bCs/>
          <w:sz w:val="20"/>
        </w:rPr>
        <w:t> El documento emitido por la Comisión Nacional y dirigido a la Autoridad Municipal mediante el cual la Comisión Nacional de Mejora Regulatoria reconoce el cumplimento de los estándares mínimos para el funcionamiento del SARE conforme a lo establecido en los presentes lineamientos;</w:t>
      </w:r>
    </w:p>
    <w:p w:rsidR="004C26A7" w:rsidRPr="004C26A7" w:rsidRDefault="004C26A7" w:rsidP="004C26A7">
      <w:pPr>
        <w:jc w:val="both"/>
        <w:rPr>
          <w:rFonts w:ascii="Verdana" w:hAnsi="Verdana"/>
          <w:bCs/>
          <w:sz w:val="20"/>
        </w:rPr>
      </w:pPr>
      <w:r w:rsidRPr="004C26A7">
        <w:rPr>
          <w:rFonts w:ascii="Verdana" w:hAnsi="Verdana"/>
          <w:b/>
          <w:bCs/>
          <w:sz w:val="20"/>
        </w:rPr>
        <w:t>VI.</w:t>
      </w:r>
      <w:r w:rsidRPr="004C26A7">
        <w:rPr>
          <w:rFonts w:ascii="Verdana" w:hAnsi="Verdana"/>
          <w:bCs/>
          <w:sz w:val="20"/>
        </w:rPr>
        <w:t>      </w:t>
      </w:r>
      <w:r w:rsidRPr="004C26A7">
        <w:rPr>
          <w:rFonts w:ascii="Verdana" w:hAnsi="Verdana"/>
          <w:b/>
          <w:bCs/>
          <w:sz w:val="20"/>
        </w:rPr>
        <w:t>Certificado SARE:</w:t>
      </w:r>
      <w:r w:rsidRPr="004C26A7">
        <w:rPr>
          <w:rFonts w:ascii="Verdana" w:hAnsi="Verdana"/>
          <w:bCs/>
          <w:sz w:val="20"/>
        </w:rPr>
        <w:t> El documento foliado emitido por la Comisión Nacional y dirigido a la Autoridad Municipal mediante el cual la Comisión Nacional reconoce la instalación del SARE conforme a los presentes lineamientos;</w:t>
      </w:r>
    </w:p>
    <w:p w:rsidR="004C26A7" w:rsidRPr="004C26A7" w:rsidRDefault="004C26A7" w:rsidP="004C26A7">
      <w:pPr>
        <w:jc w:val="both"/>
        <w:rPr>
          <w:rFonts w:ascii="Verdana" w:hAnsi="Verdana"/>
          <w:bCs/>
          <w:sz w:val="20"/>
        </w:rPr>
      </w:pPr>
      <w:r w:rsidRPr="004C26A7">
        <w:rPr>
          <w:rFonts w:ascii="Verdana" w:hAnsi="Verdana"/>
          <w:b/>
          <w:bCs/>
          <w:sz w:val="20"/>
        </w:rPr>
        <w:t>VII.</w:t>
      </w:r>
      <w:r w:rsidRPr="004C26A7">
        <w:rPr>
          <w:rFonts w:ascii="Verdana" w:hAnsi="Verdana"/>
          <w:bCs/>
          <w:sz w:val="20"/>
        </w:rPr>
        <w:t>     </w:t>
      </w:r>
      <w:r w:rsidRPr="004C26A7">
        <w:rPr>
          <w:rFonts w:ascii="Verdana" w:hAnsi="Verdana"/>
          <w:b/>
          <w:bCs/>
          <w:sz w:val="20"/>
        </w:rPr>
        <w:t>Comisión Nacional: </w:t>
      </w:r>
      <w:r w:rsidRPr="004C26A7">
        <w:rPr>
          <w:rFonts w:ascii="Verdana" w:hAnsi="Verdana"/>
          <w:bCs/>
          <w:sz w:val="20"/>
        </w:rPr>
        <w:t>La Comisión Nacional de Mejora Regulatoria;</w:t>
      </w:r>
    </w:p>
    <w:p w:rsidR="004C26A7" w:rsidRPr="004C26A7" w:rsidRDefault="004C26A7" w:rsidP="004C26A7">
      <w:pPr>
        <w:jc w:val="both"/>
        <w:rPr>
          <w:rFonts w:ascii="Verdana" w:hAnsi="Verdana"/>
          <w:bCs/>
          <w:sz w:val="20"/>
        </w:rPr>
      </w:pPr>
      <w:r w:rsidRPr="004C26A7">
        <w:rPr>
          <w:rFonts w:ascii="Verdana" w:hAnsi="Verdana"/>
          <w:b/>
          <w:bCs/>
          <w:sz w:val="20"/>
        </w:rPr>
        <w:lastRenderedPageBreak/>
        <w:t>VIII.</w:t>
      </w:r>
      <w:r w:rsidRPr="004C26A7">
        <w:rPr>
          <w:rFonts w:ascii="Verdana" w:hAnsi="Verdana"/>
          <w:bCs/>
          <w:sz w:val="20"/>
        </w:rPr>
        <w:t>    </w:t>
      </w:r>
      <w:r w:rsidRPr="004C26A7">
        <w:rPr>
          <w:rFonts w:ascii="Verdana" w:hAnsi="Verdana"/>
          <w:b/>
          <w:bCs/>
          <w:sz w:val="20"/>
        </w:rPr>
        <w:t>Diagnóstico PROSARE: </w:t>
      </w:r>
      <w:r w:rsidRPr="004C26A7">
        <w:rPr>
          <w:rFonts w:ascii="Verdana" w:hAnsi="Verdana"/>
          <w:bCs/>
          <w:sz w:val="20"/>
        </w:rPr>
        <w:t>El documento elaborado por la Comisión Nacional y dirigido a la Autoridad Municipal que informa de los resultados y recomendaciones del Sistema de Evaluación PROSARE con el objetivo de potenciar el impacto y los beneficios de la Ventanilla Única;</w:t>
      </w:r>
    </w:p>
    <w:p w:rsidR="004C26A7" w:rsidRPr="004C26A7" w:rsidRDefault="004C26A7" w:rsidP="004C26A7">
      <w:pPr>
        <w:jc w:val="both"/>
        <w:rPr>
          <w:rFonts w:ascii="Verdana" w:hAnsi="Verdana"/>
          <w:bCs/>
          <w:sz w:val="20"/>
        </w:rPr>
      </w:pPr>
      <w:r w:rsidRPr="004C26A7">
        <w:rPr>
          <w:rFonts w:ascii="Verdana" w:hAnsi="Verdana"/>
          <w:b/>
          <w:bCs/>
          <w:sz w:val="20"/>
        </w:rPr>
        <w:t>IX.</w:t>
      </w:r>
      <w:r w:rsidRPr="004C26A7">
        <w:rPr>
          <w:rFonts w:ascii="Verdana" w:hAnsi="Verdana"/>
          <w:bCs/>
          <w:sz w:val="20"/>
        </w:rPr>
        <w:t>      </w:t>
      </w:r>
      <w:r w:rsidRPr="004C26A7">
        <w:rPr>
          <w:rFonts w:ascii="Verdana" w:hAnsi="Verdana"/>
          <w:b/>
          <w:bCs/>
          <w:sz w:val="20"/>
        </w:rPr>
        <w:t>Empresa de Bajo Riesgo:</w:t>
      </w:r>
      <w:r w:rsidRPr="004C26A7">
        <w:rPr>
          <w:rFonts w:ascii="Verdana" w:hAnsi="Verdana"/>
          <w:bCs/>
          <w:sz w:val="20"/>
        </w:rPr>
        <w:t> Las Personas físicas o morales que realizan las actividades económicas contempladas en el Catálogo de Giros de Bajo Riesgo;</w:t>
      </w:r>
    </w:p>
    <w:p w:rsidR="004C26A7" w:rsidRPr="004C26A7" w:rsidRDefault="004C26A7" w:rsidP="004C26A7">
      <w:pPr>
        <w:jc w:val="both"/>
        <w:rPr>
          <w:rFonts w:ascii="Verdana" w:hAnsi="Verdana"/>
          <w:bCs/>
          <w:sz w:val="20"/>
        </w:rPr>
      </w:pPr>
      <w:r w:rsidRPr="004C26A7">
        <w:rPr>
          <w:rFonts w:ascii="Verdana" w:hAnsi="Verdana"/>
          <w:b/>
          <w:bCs/>
          <w:sz w:val="20"/>
        </w:rPr>
        <w:t>X.</w:t>
      </w:r>
      <w:r w:rsidRPr="004C26A7">
        <w:rPr>
          <w:rFonts w:ascii="Verdana" w:hAnsi="Verdana"/>
          <w:bCs/>
          <w:sz w:val="20"/>
        </w:rPr>
        <w:t>       </w:t>
      </w:r>
      <w:r w:rsidRPr="004C26A7">
        <w:rPr>
          <w:rFonts w:ascii="Verdana" w:hAnsi="Verdana"/>
          <w:b/>
          <w:bCs/>
          <w:sz w:val="20"/>
        </w:rPr>
        <w:t>Formato Único de Apertura:</w:t>
      </w:r>
      <w:r w:rsidRPr="004C26A7">
        <w:rPr>
          <w:rFonts w:ascii="Verdana" w:hAnsi="Verdana"/>
          <w:bCs/>
          <w:sz w:val="20"/>
        </w:rPr>
        <w:t> El documento único emitido por la Autoridad Municipal que contiene el requerimiento de la totalidad de los datos y documentos que las Empresas de Bajo Riesgo deben de presentar a dicha Autoridad Municipal, a través de la Ventanilla Única, para iniciar el procedimiento de obtención de la Autorización;</w:t>
      </w:r>
    </w:p>
    <w:p w:rsidR="004C26A7" w:rsidRPr="004C26A7" w:rsidRDefault="004C26A7" w:rsidP="004C26A7">
      <w:pPr>
        <w:jc w:val="both"/>
        <w:rPr>
          <w:rFonts w:ascii="Verdana" w:hAnsi="Verdana"/>
          <w:bCs/>
          <w:sz w:val="20"/>
        </w:rPr>
      </w:pPr>
      <w:r w:rsidRPr="004C26A7">
        <w:rPr>
          <w:rFonts w:ascii="Verdana" w:hAnsi="Verdana"/>
          <w:b/>
          <w:bCs/>
          <w:sz w:val="20"/>
        </w:rPr>
        <w:t>XI.</w:t>
      </w:r>
      <w:r w:rsidRPr="004C26A7">
        <w:rPr>
          <w:rFonts w:ascii="Verdana" w:hAnsi="Verdana"/>
          <w:bCs/>
          <w:sz w:val="20"/>
        </w:rPr>
        <w:t>      </w:t>
      </w:r>
      <w:r w:rsidRPr="004C26A7">
        <w:rPr>
          <w:rFonts w:ascii="Verdana" w:hAnsi="Verdana"/>
          <w:b/>
          <w:bCs/>
          <w:sz w:val="20"/>
        </w:rPr>
        <w:t>Manual de Operación: </w:t>
      </w:r>
      <w:r w:rsidRPr="004C26A7">
        <w:rPr>
          <w:rFonts w:ascii="Verdana" w:hAnsi="Verdana"/>
          <w:bCs/>
          <w:sz w:val="20"/>
        </w:rPr>
        <w:t>El documento emitido por la Autoridad Municipal que contiene los procedimientos, unidades administrativas, plazos y características específicas para la operación de la Ventanilla Única, debiendo incluir al menos la siguiente información: (i) fundamento jurídico que rige la operación de la Ventanilla Única; (ii) las unidades administrativas y servidores públicos</w:t>
      </w:r>
    </w:p>
    <w:p w:rsidR="004C26A7" w:rsidRPr="004C26A7" w:rsidRDefault="004C26A7" w:rsidP="004C26A7">
      <w:pPr>
        <w:jc w:val="both"/>
        <w:rPr>
          <w:rFonts w:ascii="Verdana" w:hAnsi="Verdana"/>
          <w:bCs/>
          <w:sz w:val="20"/>
        </w:rPr>
      </w:pPr>
      <w:r w:rsidRPr="004C26A7">
        <w:rPr>
          <w:rFonts w:ascii="Verdana" w:hAnsi="Verdana"/>
          <w:bCs/>
          <w:sz w:val="20"/>
        </w:rPr>
        <w:t xml:space="preserve">responsables de la operación de la Ventanilla Única; (iii) diagramas de procedimiento; (iv) definición de las etapas y plazos para la obtención de la Autorización; (v) definición de la interacción entre las dependencias, organismos, unidades administrativas y servidores públicos que participan en el procedimiento; (vi) dependencia y servidor público responsable de la Ventanilla Única; (vii) responsabilidades específicas por área o servidor público que opera en la Ventanilla Única; (viii) causas por las que se puede rechazar la solicitud de los interesados; (ix) procedimiento para </w:t>
      </w:r>
      <w:proofErr w:type="spellStart"/>
      <w:r w:rsidRPr="004C26A7">
        <w:rPr>
          <w:rFonts w:ascii="Verdana" w:hAnsi="Verdana"/>
          <w:bCs/>
          <w:sz w:val="20"/>
        </w:rPr>
        <w:t>laintegración</w:t>
      </w:r>
      <w:proofErr w:type="spellEnd"/>
      <w:r w:rsidRPr="004C26A7">
        <w:rPr>
          <w:rFonts w:ascii="Verdana" w:hAnsi="Verdana"/>
          <w:bCs/>
          <w:sz w:val="20"/>
        </w:rPr>
        <w:t xml:space="preserve"> del reporte de monitoreo y seguimiento de la Ventanilla Única, e (x) indicadores de desempeño de la Ventanilla Única;</w:t>
      </w:r>
    </w:p>
    <w:p w:rsidR="004C26A7" w:rsidRPr="004C26A7" w:rsidRDefault="004C26A7" w:rsidP="004C26A7">
      <w:pPr>
        <w:jc w:val="both"/>
        <w:rPr>
          <w:rFonts w:ascii="Verdana" w:hAnsi="Verdana"/>
          <w:bCs/>
          <w:sz w:val="20"/>
        </w:rPr>
      </w:pPr>
      <w:r w:rsidRPr="004C26A7">
        <w:rPr>
          <w:rFonts w:ascii="Verdana" w:hAnsi="Verdana"/>
          <w:b/>
          <w:bCs/>
          <w:sz w:val="20"/>
        </w:rPr>
        <w:t>XII.</w:t>
      </w:r>
      <w:r w:rsidRPr="004C26A7">
        <w:rPr>
          <w:rFonts w:ascii="Verdana" w:hAnsi="Verdana"/>
          <w:bCs/>
          <w:sz w:val="20"/>
        </w:rPr>
        <w:t>     </w:t>
      </w:r>
      <w:r w:rsidRPr="004C26A7">
        <w:rPr>
          <w:rFonts w:ascii="Verdana" w:hAnsi="Verdana"/>
          <w:b/>
          <w:bCs/>
          <w:sz w:val="20"/>
        </w:rPr>
        <w:t>PROSARE:</w:t>
      </w:r>
      <w:r w:rsidRPr="004C26A7">
        <w:rPr>
          <w:rFonts w:ascii="Verdana" w:hAnsi="Verdana"/>
          <w:bCs/>
          <w:sz w:val="20"/>
        </w:rPr>
        <w:t> El Programa de Reconocimiento y Operación del SARE creado e implementado por la Comisión Nacional, para mantener el cumplimento de los estándares y funcionamiento óptimo del SARE conforme a lo establecido en estos lineamientos;</w:t>
      </w:r>
    </w:p>
    <w:p w:rsidR="004C26A7" w:rsidRPr="004C26A7" w:rsidRDefault="004C26A7" w:rsidP="004C26A7">
      <w:pPr>
        <w:jc w:val="both"/>
        <w:rPr>
          <w:rFonts w:ascii="Verdana" w:hAnsi="Verdana"/>
          <w:bCs/>
          <w:sz w:val="20"/>
        </w:rPr>
      </w:pPr>
      <w:r w:rsidRPr="004C26A7">
        <w:rPr>
          <w:rFonts w:ascii="Verdana" w:hAnsi="Verdana"/>
          <w:b/>
          <w:bCs/>
          <w:sz w:val="20"/>
        </w:rPr>
        <w:t>XIII.</w:t>
      </w:r>
      <w:r w:rsidRPr="004C26A7">
        <w:rPr>
          <w:rFonts w:ascii="Verdana" w:hAnsi="Verdana"/>
          <w:bCs/>
          <w:sz w:val="20"/>
        </w:rPr>
        <w:t>    </w:t>
      </w:r>
      <w:r w:rsidRPr="004C26A7">
        <w:rPr>
          <w:rFonts w:ascii="Verdana" w:hAnsi="Verdana"/>
          <w:b/>
          <w:bCs/>
          <w:sz w:val="20"/>
        </w:rPr>
        <w:t>SARE: </w:t>
      </w:r>
      <w:r w:rsidRPr="004C26A7">
        <w:rPr>
          <w:rFonts w:ascii="Verdana" w:hAnsi="Verdana"/>
          <w:bCs/>
          <w:sz w:val="20"/>
        </w:rPr>
        <w:t>El Sistema de Apertura Rápida de Empresas a través del cual la Autoridad Municipal ejecuta las acciones para que las Empresas de Bajo Riesgo puedan iniciar operaciones en un máximo de tres días hábiles a partir del ingreso de su solicitud, otorgándosele la Autorización correspondiente;</w:t>
      </w:r>
    </w:p>
    <w:p w:rsidR="004C26A7" w:rsidRPr="004C26A7" w:rsidRDefault="004C26A7" w:rsidP="004C26A7">
      <w:pPr>
        <w:jc w:val="both"/>
        <w:rPr>
          <w:rFonts w:ascii="Verdana" w:hAnsi="Verdana"/>
          <w:bCs/>
          <w:sz w:val="20"/>
        </w:rPr>
      </w:pPr>
      <w:r w:rsidRPr="004C26A7">
        <w:rPr>
          <w:rFonts w:ascii="Verdana" w:hAnsi="Verdana"/>
          <w:b/>
          <w:bCs/>
          <w:sz w:val="20"/>
        </w:rPr>
        <w:t>XIV.</w:t>
      </w:r>
      <w:r w:rsidRPr="004C26A7">
        <w:rPr>
          <w:rFonts w:ascii="Verdana" w:hAnsi="Verdana"/>
          <w:bCs/>
          <w:sz w:val="20"/>
        </w:rPr>
        <w:t>    </w:t>
      </w:r>
      <w:r w:rsidRPr="004C26A7">
        <w:rPr>
          <w:rFonts w:ascii="Verdana" w:hAnsi="Verdana"/>
          <w:b/>
          <w:bCs/>
          <w:sz w:val="20"/>
        </w:rPr>
        <w:t>SCIAN: </w:t>
      </w:r>
      <w:r w:rsidRPr="004C26A7">
        <w:rPr>
          <w:rFonts w:ascii="Verdana" w:hAnsi="Verdana"/>
          <w:bCs/>
          <w:sz w:val="20"/>
        </w:rPr>
        <w:t>El Sistema de Clasificación Industrial de América del Norte publicado por el Instituto Nacional de Información Estadística y Geográfica;</w:t>
      </w:r>
    </w:p>
    <w:p w:rsidR="004C26A7" w:rsidRPr="004C26A7" w:rsidRDefault="004C26A7" w:rsidP="004C26A7">
      <w:pPr>
        <w:jc w:val="both"/>
        <w:rPr>
          <w:rFonts w:ascii="Verdana" w:hAnsi="Verdana"/>
          <w:bCs/>
          <w:sz w:val="20"/>
        </w:rPr>
      </w:pPr>
      <w:r w:rsidRPr="004C26A7">
        <w:rPr>
          <w:rFonts w:ascii="Verdana" w:hAnsi="Verdana"/>
          <w:b/>
          <w:bCs/>
          <w:sz w:val="20"/>
        </w:rPr>
        <w:t>XV.</w:t>
      </w:r>
      <w:r w:rsidRPr="004C26A7">
        <w:rPr>
          <w:rFonts w:ascii="Verdana" w:hAnsi="Verdana"/>
          <w:bCs/>
          <w:sz w:val="20"/>
        </w:rPr>
        <w:t>     </w:t>
      </w:r>
      <w:r w:rsidRPr="004C26A7">
        <w:rPr>
          <w:rFonts w:ascii="Verdana" w:hAnsi="Verdana"/>
          <w:b/>
          <w:bCs/>
          <w:sz w:val="20"/>
        </w:rPr>
        <w:t>Sistema de Evaluación:</w:t>
      </w:r>
      <w:r w:rsidRPr="004C26A7">
        <w:rPr>
          <w:rFonts w:ascii="Verdana" w:hAnsi="Verdana"/>
          <w:bCs/>
          <w:sz w:val="20"/>
        </w:rPr>
        <w:t> La metodología diseñada por la Comisión Nacional que le permite evaluar a través de una herramienta informática, en una escala de 0 a 100 puntos y de manera objetiva, el funcionamiento de un SARE conforme el lineamiento Tercero del presente instrumento, y</w:t>
      </w:r>
    </w:p>
    <w:p w:rsidR="004C26A7" w:rsidRPr="004C26A7" w:rsidRDefault="004C26A7" w:rsidP="004C26A7">
      <w:pPr>
        <w:jc w:val="both"/>
        <w:rPr>
          <w:rFonts w:ascii="Verdana" w:hAnsi="Verdana"/>
          <w:bCs/>
          <w:sz w:val="20"/>
        </w:rPr>
      </w:pPr>
      <w:r w:rsidRPr="004C26A7">
        <w:rPr>
          <w:rFonts w:ascii="Verdana" w:hAnsi="Verdana"/>
          <w:b/>
          <w:bCs/>
          <w:sz w:val="20"/>
        </w:rPr>
        <w:lastRenderedPageBreak/>
        <w:t>XVI.</w:t>
      </w:r>
      <w:r w:rsidRPr="004C26A7">
        <w:rPr>
          <w:rFonts w:ascii="Verdana" w:hAnsi="Verdana"/>
          <w:bCs/>
          <w:sz w:val="20"/>
        </w:rPr>
        <w:t>    </w:t>
      </w:r>
      <w:r w:rsidRPr="004C26A7">
        <w:rPr>
          <w:rFonts w:ascii="Verdana" w:hAnsi="Verdana"/>
          <w:b/>
          <w:bCs/>
          <w:sz w:val="20"/>
        </w:rPr>
        <w:t>Ventanilla Única:</w:t>
      </w:r>
      <w:r w:rsidRPr="004C26A7">
        <w:rPr>
          <w:rFonts w:ascii="Verdana" w:hAnsi="Verdana"/>
          <w:bCs/>
          <w:sz w:val="20"/>
        </w:rPr>
        <w:t> El módulo de atención empresarial, físico, electrónico o una combinación de ambos, operado por la Autoridad Municipal para la emisión de la Autorización.</w:t>
      </w:r>
    </w:p>
    <w:p w:rsidR="004C26A7" w:rsidRPr="004C26A7" w:rsidRDefault="004C26A7" w:rsidP="004C26A7">
      <w:pPr>
        <w:jc w:val="both"/>
        <w:rPr>
          <w:rFonts w:ascii="Verdana" w:hAnsi="Verdana"/>
          <w:bCs/>
          <w:sz w:val="20"/>
        </w:rPr>
      </w:pPr>
      <w:r w:rsidRPr="004C26A7">
        <w:rPr>
          <w:rFonts w:ascii="Verdana" w:hAnsi="Verdana"/>
          <w:b/>
          <w:bCs/>
          <w:sz w:val="20"/>
        </w:rPr>
        <w:t>DEL SISTEMA DE APERTURA RÁPIDA DE EMPRESAS</w:t>
      </w:r>
    </w:p>
    <w:p w:rsidR="004C26A7" w:rsidRPr="004C26A7" w:rsidRDefault="004C26A7" w:rsidP="004C26A7">
      <w:pPr>
        <w:jc w:val="both"/>
        <w:rPr>
          <w:rFonts w:ascii="Verdana" w:hAnsi="Verdana"/>
          <w:bCs/>
          <w:sz w:val="20"/>
        </w:rPr>
      </w:pPr>
      <w:r w:rsidRPr="004C26A7">
        <w:rPr>
          <w:rFonts w:ascii="Verdana" w:hAnsi="Verdana"/>
          <w:b/>
          <w:bCs/>
          <w:sz w:val="20"/>
        </w:rPr>
        <w:t>TERCERO.</w:t>
      </w:r>
      <w:r w:rsidRPr="004C26A7">
        <w:rPr>
          <w:rFonts w:ascii="Verdana" w:hAnsi="Verdana"/>
          <w:bCs/>
          <w:sz w:val="20"/>
        </w:rPr>
        <w:t> La Comisión Nacional emitirá el Certificado SARE a un municipio o alcaldía cuando la Autoridad Municipal acredite lo siguiente:</w:t>
      </w:r>
    </w:p>
    <w:p w:rsidR="004C26A7" w:rsidRPr="004C26A7" w:rsidRDefault="004C26A7" w:rsidP="004C26A7">
      <w:pPr>
        <w:jc w:val="both"/>
        <w:rPr>
          <w:rFonts w:ascii="Verdana" w:hAnsi="Verdana"/>
          <w:bCs/>
          <w:sz w:val="20"/>
        </w:rPr>
      </w:pPr>
      <w:r w:rsidRPr="004C26A7">
        <w:rPr>
          <w:rFonts w:ascii="Verdana" w:hAnsi="Verdana"/>
          <w:b/>
          <w:bCs/>
          <w:sz w:val="20"/>
        </w:rPr>
        <w:t>I.</w:t>
      </w:r>
      <w:r w:rsidRPr="004C26A7">
        <w:rPr>
          <w:rFonts w:ascii="Verdana" w:hAnsi="Verdana"/>
          <w:bCs/>
          <w:sz w:val="20"/>
        </w:rPr>
        <w:t>        Tiene identificado el número de formatos, trámites, requisitos, costo, interacciones y tiempos vigentes antes y después del establecimiento del SARE;</w:t>
      </w:r>
    </w:p>
    <w:p w:rsidR="004C26A7" w:rsidRPr="004C26A7" w:rsidRDefault="004C26A7" w:rsidP="004C26A7">
      <w:pPr>
        <w:jc w:val="both"/>
        <w:rPr>
          <w:rFonts w:ascii="Verdana" w:hAnsi="Verdana"/>
          <w:bCs/>
          <w:sz w:val="20"/>
        </w:rPr>
      </w:pPr>
      <w:r w:rsidRPr="004C26A7">
        <w:rPr>
          <w:rFonts w:ascii="Verdana" w:hAnsi="Verdana"/>
          <w:b/>
          <w:bCs/>
          <w:sz w:val="20"/>
        </w:rPr>
        <w:t>II.</w:t>
      </w:r>
      <w:r w:rsidRPr="004C26A7">
        <w:rPr>
          <w:rFonts w:ascii="Verdana" w:hAnsi="Verdana"/>
          <w:bCs/>
          <w:sz w:val="20"/>
        </w:rPr>
        <w:t>       La instalación de la Ventanilla Única en donde se proporcione la información, recepción, gestión y resolución de todos los trámites municipales para la apertura de una Empresa de Bajo Riesgo;</w:t>
      </w:r>
    </w:p>
    <w:p w:rsidR="004C26A7" w:rsidRPr="004C26A7" w:rsidRDefault="004C26A7" w:rsidP="004C26A7">
      <w:pPr>
        <w:jc w:val="both"/>
        <w:rPr>
          <w:rFonts w:ascii="Verdana" w:hAnsi="Verdana"/>
          <w:bCs/>
          <w:sz w:val="20"/>
        </w:rPr>
      </w:pPr>
      <w:r w:rsidRPr="004C26A7">
        <w:rPr>
          <w:rFonts w:ascii="Verdana" w:hAnsi="Verdana"/>
          <w:b/>
          <w:bCs/>
          <w:sz w:val="20"/>
        </w:rPr>
        <w:t>III.</w:t>
      </w:r>
      <w:r w:rsidRPr="004C26A7">
        <w:rPr>
          <w:rFonts w:ascii="Verdana" w:hAnsi="Verdana"/>
          <w:bCs/>
          <w:sz w:val="20"/>
        </w:rPr>
        <w:t>      La emisión del Formato Único de Apertura para la solicitud de la Autorización, de manera impresa o en formato electrónico, en el entendido de que la Autoridad Municipal no podrá solicitar requisitos, datos o documentos adicionales o distintos a los establecidos en dicho Formato Único de Apertura;</w:t>
      </w:r>
    </w:p>
    <w:p w:rsidR="004C26A7" w:rsidRPr="004C26A7" w:rsidRDefault="004C26A7" w:rsidP="004C26A7">
      <w:pPr>
        <w:jc w:val="both"/>
        <w:rPr>
          <w:rFonts w:ascii="Verdana" w:hAnsi="Verdana"/>
          <w:bCs/>
          <w:sz w:val="20"/>
        </w:rPr>
      </w:pPr>
      <w:r w:rsidRPr="004C26A7">
        <w:rPr>
          <w:rFonts w:ascii="Verdana" w:hAnsi="Verdana"/>
          <w:b/>
          <w:bCs/>
          <w:sz w:val="20"/>
        </w:rPr>
        <w:t>IV.</w:t>
      </w:r>
      <w:r w:rsidRPr="004C26A7">
        <w:rPr>
          <w:rFonts w:ascii="Verdana" w:hAnsi="Verdana"/>
          <w:bCs/>
          <w:sz w:val="20"/>
        </w:rPr>
        <w:t>      La publicación del Formato Único de Apertura en la página de Internet de la Autoridad Municipal;</w:t>
      </w:r>
    </w:p>
    <w:p w:rsidR="004C26A7" w:rsidRPr="004C26A7" w:rsidRDefault="004C26A7" w:rsidP="004C26A7">
      <w:pPr>
        <w:jc w:val="both"/>
        <w:rPr>
          <w:rFonts w:ascii="Verdana" w:hAnsi="Verdana"/>
          <w:bCs/>
          <w:sz w:val="20"/>
        </w:rPr>
      </w:pPr>
      <w:r w:rsidRPr="004C26A7">
        <w:rPr>
          <w:rFonts w:ascii="Verdana" w:hAnsi="Verdana"/>
          <w:b/>
          <w:bCs/>
          <w:sz w:val="20"/>
        </w:rPr>
        <w:t>V.</w:t>
      </w:r>
      <w:r w:rsidRPr="004C26A7">
        <w:rPr>
          <w:rFonts w:ascii="Verdana" w:hAnsi="Verdana"/>
          <w:bCs/>
          <w:sz w:val="20"/>
        </w:rPr>
        <w:t>       La inclusión de al menos 50% de los giros establecidos en el Anexo Uno para locales previamente construidos;</w:t>
      </w:r>
    </w:p>
    <w:p w:rsidR="004C26A7" w:rsidRPr="004C26A7" w:rsidRDefault="004C26A7" w:rsidP="004C26A7">
      <w:pPr>
        <w:jc w:val="both"/>
        <w:rPr>
          <w:rFonts w:ascii="Verdana" w:hAnsi="Verdana"/>
          <w:bCs/>
          <w:sz w:val="20"/>
        </w:rPr>
      </w:pPr>
      <w:r w:rsidRPr="004C26A7">
        <w:rPr>
          <w:rFonts w:ascii="Verdana" w:hAnsi="Verdana"/>
          <w:bCs/>
          <w:sz w:val="20"/>
        </w:rPr>
        <w:t>         Para este porcentaje se podrán contabilizar los giros de mediano riesgo que se tengan de acuerdo con el SCIAN, así como los giros o actividades que no necesiten ningún tipo de autorización municipal para operar y se encuentren señalados en el Catálogo de Giros de Bajo Riesgo. Dichas actividades económicas deberán homologarse y clasificarse de conformidad con el SCIAN;</w:t>
      </w:r>
    </w:p>
    <w:p w:rsidR="004C26A7" w:rsidRPr="004C26A7" w:rsidRDefault="004C26A7" w:rsidP="004C26A7">
      <w:pPr>
        <w:jc w:val="both"/>
        <w:rPr>
          <w:rFonts w:ascii="Verdana" w:hAnsi="Verdana"/>
          <w:bCs/>
          <w:sz w:val="20"/>
        </w:rPr>
      </w:pPr>
      <w:r w:rsidRPr="004C26A7">
        <w:rPr>
          <w:rFonts w:ascii="Verdana" w:hAnsi="Verdana"/>
          <w:b/>
          <w:bCs/>
          <w:sz w:val="20"/>
        </w:rPr>
        <w:t>VII.</w:t>
      </w:r>
      <w:r w:rsidRPr="004C26A7">
        <w:rPr>
          <w:rFonts w:ascii="Verdana" w:hAnsi="Verdana"/>
          <w:bCs/>
          <w:sz w:val="20"/>
        </w:rPr>
        <w:t>     Publicar y actualizar en la página de Internet de la Autoridad Municipal las actividades económicas del Catálogo de Giros de Bajo Riesgo reconocidas para la operación de Empresas de Bajo Riesgo en dicho municipio o alcaldía;</w:t>
      </w:r>
    </w:p>
    <w:p w:rsidR="004C26A7" w:rsidRPr="004C26A7" w:rsidRDefault="004C26A7" w:rsidP="004C26A7">
      <w:pPr>
        <w:jc w:val="both"/>
        <w:rPr>
          <w:rFonts w:ascii="Verdana" w:hAnsi="Verdana"/>
          <w:bCs/>
          <w:sz w:val="20"/>
        </w:rPr>
      </w:pPr>
      <w:r w:rsidRPr="004C26A7">
        <w:rPr>
          <w:rFonts w:ascii="Verdana" w:hAnsi="Verdana"/>
          <w:b/>
          <w:bCs/>
          <w:sz w:val="20"/>
        </w:rPr>
        <w:t>VIII.</w:t>
      </w:r>
      <w:r w:rsidRPr="004C26A7">
        <w:rPr>
          <w:rFonts w:ascii="Verdana" w:hAnsi="Verdana"/>
          <w:bCs/>
          <w:sz w:val="20"/>
        </w:rPr>
        <w:t>    Elaborar y emitir un Manual de Operación en el que se describe los procedimientos, unidades administrativas, plazos y características específicas para la operación del SARE;</w:t>
      </w:r>
    </w:p>
    <w:p w:rsidR="004C26A7" w:rsidRPr="004C26A7" w:rsidRDefault="004C26A7" w:rsidP="004C26A7">
      <w:pPr>
        <w:jc w:val="both"/>
        <w:rPr>
          <w:rFonts w:ascii="Verdana" w:hAnsi="Verdana"/>
          <w:bCs/>
          <w:sz w:val="20"/>
        </w:rPr>
      </w:pPr>
      <w:r w:rsidRPr="004C26A7">
        <w:rPr>
          <w:rFonts w:ascii="Verdana" w:hAnsi="Verdana"/>
          <w:b/>
          <w:bCs/>
          <w:sz w:val="20"/>
        </w:rPr>
        <w:t>IX.</w:t>
      </w:r>
      <w:r w:rsidRPr="004C26A7">
        <w:rPr>
          <w:rFonts w:ascii="Verdana" w:hAnsi="Verdana"/>
          <w:bCs/>
          <w:sz w:val="20"/>
        </w:rPr>
        <w:t>      La resolución a las solicitudes de Autorización en un plazo no mayor a tres días hábiles y en un máximo de dos visitas, contados a partir de que el solicitante acumule los requisitos, entregue los mismos a la Autoridad Municipal y ésta emita la resolución correspondiente;</w:t>
      </w:r>
    </w:p>
    <w:p w:rsidR="004C26A7" w:rsidRPr="004C26A7" w:rsidRDefault="004C26A7" w:rsidP="004C26A7">
      <w:pPr>
        <w:jc w:val="both"/>
        <w:rPr>
          <w:rFonts w:ascii="Verdana" w:hAnsi="Verdana"/>
          <w:bCs/>
          <w:sz w:val="20"/>
        </w:rPr>
      </w:pPr>
      <w:r w:rsidRPr="004C26A7">
        <w:rPr>
          <w:rFonts w:ascii="Verdana" w:hAnsi="Verdana"/>
          <w:b/>
          <w:bCs/>
          <w:sz w:val="20"/>
        </w:rPr>
        <w:t>X.</w:t>
      </w:r>
      <w:r w:rsidRPr="004C26A7">
        <w:rPr>
          <w:rFonts w:ascii="Verdana" w:hAnsi="Verdana"/>
          <w:bCs/>
          <w:sz w:val="20"/>
        </w:rPr>
        <w:t>       Contar con la señalética que permita a los usuarios identificar físicamente la Ventanilla Única, dando a conocer de manera clara, precisa y concreta la información sobre los requisitos, plazos, costos y beneficios del Ventanilla Única, y</w:t>
      </w:r>
    </w:p>
    <w:p w:rsidR="004C26A7" w:rsidRPr="004C26A7" w:rsidRDefault="004C26A7" w:rsidP="004C26A7">
      <w:pPr>
        <w:jc w:val="both"/>
        <w:rPr>
          <w:rFonts w:ascii="Verdana" w:hAnsi="Verdana"/>
          <w:bCs/>
          <w:sz w:val="20"/>
        </w:rPr>
      </w:pPr>
      <w:r w:rsidRPr="004C26A7">
        <w:rPr>
          <w:rFonts w:ascii="Verdana" w:hAnsi="Verdana"/>
          <w:b/>
          <w:bCs/>
          <w:sz w:val="20"/>
        </w:rPr>
        <w:lastRenderedPageBreak/>
        <w:t>XI.</w:t>
      </w:r>
      <w:r w:rsidRPr="004C26A7">
        <w:rPr>
          <w:rFonts w:ascii="Verdana" w:hAnsi="Verdana"/>
          <w:bCs/>
          <w:sz w:val="20"/>
        </w:rPr>
        <w:t>      Las modificaciones al marco normativo municipal y/o acuerdo (s) de cabildo que reflejen el</w:t>
      </w:r>
    </w:p>
    <w:p w:rsidR="004C26A7" w:rsidRPr="004C26A7" w:rsidRDefault="004C26A7" w:rsidP="004C26A7">
      <w:pPr>
        <w:jc w:val="both"/>
        <w:rPr>
          <w:rFonts w:ascii="Verdana" w:hAnsi="Verdana"/>
          <w:bCs/>
          <w:sz w:val="20"/>
        </w:rPr>
      </w:pPr>
      <w:proofErr w:type="gramStart"/>
      <w:r w:rsidRPr="004C26A7">
        <w:rPr>
          <w:rFonts w:ascii="Verdana" w:hAnsi="Verdana"/>
          <w:bCs/>
          <w:sz w:val="20"/>
        </w:rPr>
        <w:t>cumplimiento</w:t>
      </w:r>
      <w:proofErr w:type="gramEnd"/>
      <w:r w:rsidRPr="004C26A7">
        <w:rPr>
          <w:rFonts w:ascii="Verdana" w:hAnsi="Verdana"/>
          <w:bCs/>
          <w:sz w:val="20"/>
        </w:rPr>
        <w:t xml:space="preserve"> de lo establecido en las fracciones I, II, III, V, VII y VIII de estos Lineamientos.</w:t>
      </w:r>
    </w:p>
    <w:p w:rsidR="004C26A7" w:rsidRPr="004C26A7" w:rsidRDefault="004C26A7" w:rsidP="004C26A7">
      <w:pPr>
        <w:jc w:val="both"/>
        <w:rPr>
          <w:rFonts w:ascii="Verdana" w:hAnsi="Verdana"/>
          <w:bCs/>
          <w:sz w:val="20"/>
        </w:rPr>
      </w:pPr>
      <w:r w:rsidRPr="004C26A7">
        <w:rPr>
          <w:rFonts w:ascii="Verdana" w:hAnsi="Verdana"/>
          <w:b/>
          <w:bCs/>
          <w:sz w:val="20"/>
        </w:rPr>
        <w:t>CUARTO.</w:t>
      </w:r>
      <w:r w:rsidRPr="004C26A7">
        <w:rPr>
          <w:rFonts w:ascii="Verdana" w:hAnsi="Verdana"/>
          <w:bCs/>
          <w:sz w:val="20"/>
        </w:rPr>
        <w:t> A través del SARE la Autoridad Municipal promoverá la vinculación de los trámites federales, estatales, municipales, y/o de las alcaldías para la apertura y operación de empresas, de conformidad con las disposiciones normativas aplicables y fomentando el uso de las tecnologías de la información.</w:t>
      </w:r>
    </w:p>
    <w:p w:rsidR="004C26A7" w:rsidRPr="004C26A7" w:rsidRDefault="004C26A7" w:rsidP="004C26A7">
      <w:pPr>
        <w:jc w:val="both"/>
        <w:rPr>
          <w:rFonts w:ascii="Verdana" w:hAnsi="Verdana"/>
          <w:bCs/>
          <w:sz w:val="20"/>
        </w:rPr>
      </w:pPr>
      <w:r w:rsidRPr="004C26A7">
        <w:rPr>
          <w:rFonts w:ascii="Verdana" w:hAnsi="Verdana"/>
          <w:b/>
          <w:bCs/>
          <w:sz w:val="20"/>
        </w:rPr>
        <w:t>QUINTO.</w:t>
      </w:r>
      <w:r w:rsidRPr="004C26A7">
        <w:rPr>
          <w:rFonts w:ascii="Verdana" w:hAnsi="Verdana"/>
          <w:bCs/>
          <w:sz w:val="20"/>
        </w:rPr>
        <w:t> La Comisión Nacional emitirá el Certificado SARE conforme al siguiente procedimiento:</w:t>
      </w:r>
    </w:p>
    <w:p w:rsidR="004C26A7" w:rsidRPr="004C26A7" w:rsidRDefault="004C26A7" w:rsidP="004C26A7">
      <w:pPr>
        <w:jc w:val="both"/>
        <w:rPr>
          <w:rFonts w:ascii="Verdana" w:hAnsi="Verdana"/>
          <w:bCs/>
          <w:sz w:val="20"/>
        </w:rPr>
      </w:pPr>
      <w:r w:rsidRPr="004C26A7">
        <w:rPr>
          <w:rFonts w:ascii="Verdana" w:hAnsi="Verdana"/>
          <w:b/>
          <w:bCs/>
          <w:sz w:val="20"/>
        </w:rPr>
        <w:t>I.</w:t>
      </w:r>
      <w:r w:rsidRPr="004C26A7">
        <w:rPr>
          <w:rFonts w:ascii="Verdana" w:hAnsi="Verdana"/>
          <w:bCs/>
          <w:sz w:val="20"/>
        </w:rPr>
        <w:t xml:space="preserve">        Inicia con la recepción por parte de la Comisión Nacional de la carta de intención signada por el Presidente Municipal, Alcalde </w:t>
      </w:r>
      <w:proofErr w:type="spellStart"/>
      <w:r w:rsidRPr="004C26A7">
        <w:rPr>
          <w:rFonts w:ascii="Verdana" w:hAnsi="Verdana"/>
          <w:bCs/>
          <w:sz w:val="20"/>
        </w:rPr>
        <w:t>u</w:t>
      </w:r>
      <w:proofErr w:type="spellEnd"/>
      <w:r w:rsidRPr="004C26A7">
        <w:rPr>
          <w:rFonts w:ascii="Verdana" w:hAnsi="Verdana"/>
          <w:bCs/>
          <w:sz w:val="20"/>
        </w:rPr>
        <w:t xml:space="preserve"> homólogo y dirigida al Comisionado Nacional, en donde manifieste su interés en obtener el Certificado SARE. La carta de intención deberá contener al menos los elementos contenidos en el formato del Anexo Tres; así como del formato de solicitud SARE, precisado en el Anexo Cuatro</w:t>
      </w:r>
      <w:r w:rsidRPr="004C26A7">
        <w:rPr>
          <w:rFonts w:ascii="Verdana" w:hAnsi="Verdana"/>
          <w:b/>
          <w:bCs/>
          <w:sz w:val="20"/>
        </w:rPr>
        <w:t>.</w:t>
      </w:r>
      <w:r w:rsidRPr="004C26A7">
        <w:rPr>
          <w:rFonts w:ascii="Verdana" w:hAnsi="Verdana"/>
          <w:bCs/>
          <w:sz w:val="20"/>
        </w:rPr>
        <w:t> Dicho formato deberá estar debidamente llenado y acompañado de la información soporte solicitada en el mismo;</w:t>
      </w:r>
    </w:p>
    <w:p w:rsidR="004C26A7" w:rsidRPr="004C26A7" w:rsidRDefault="004C26A7" w:rsidP="004C26A7">
      <w:pPr>
        <w:jc w:val="both"/>
        <w:rPr>
          <w:rFonts w:ascii="Verdana" w:hAnsi="Verdana"/>
          <w:bCs/>
          <w:sz w:val="20"/>
        </w:rPr>
      </w:pPr>
      <w:r w:rsidRPr="004C26A7">
        <w:rPr>
          <w:rFonts w:ascii="Verdana" w:hAnsi="Verdana"/>
          <w:b/>
          <w:bCs/>
          <w:sz w:val="20"/>
        </w:rPr>
        <w:t>II.</w:t>
      </w:r>
      <w:r w:rsidRPr="004C26A7">
        <w:rPr>
          <w:rFonts w:ascii="Verdana" w:hAnsi="Verdana"/>
          <w:bCs/>
          <w:sz w:val="20"/>
        </w:rPr>
        <w:t>       La Comisión Nacional verificará que la información enviada por la Autoridad Municipal sea precisa, cierta y completa. Una vez verificada la información, en dicho supuesto, la Comisión Nacional programará una visita de verificación y validación de la información presentada, misma que será establecida de común acuerdo con la Autoridad Municipal;</w:t>
      </w:r>
    </w:p>
    <w:p w:rsidR="004C26A7" w:rsidRPr="004C26A7" w:rsidRDefault="004C26A7" w:rsidP="004C26A7">
      <w:pPr>
        <w:jc w:val="both"/>
        <w:rPr>
          <w:rFonts w:ascii="Verdana" w:hAnsi="Verdana"/>
          <w:bCs/>
          <w:sz w:val="20"/>
        </w:rPr>
      </w:pPr>
      <w:r w:rsidRPr="004C26A7">
        <w:rPr>
          <w:rFonts w:ascii="Verdana" w:hAnsi="Verdana"/>
          <w:b/>
          <w:bCs/>
          <w:sz w:val="20"/>
        </w:rPr>
        <w:t>III.</w:t>
      </w:r>
      <w:r w:rsidRPr="004C26A7">
        <w:rPr>
          <w:rFonts w:ascii="Verdana" w:hAnsi="Verdana"/>
          <w:bCs/>
          <w:sz w:val="20"/>
        </w:rPr>
        <w:t>      En la visita de verificación y validación, la Comisión Nacional corroborará la información enviada por la Autoridad Municipal, y al mismo tiempo se identificarán las instalaciones, funcionalidad operativa, organizacional y administrativa de la Ventanilla Única;</w:t>
      </w:r>
    </w:p>
    <w:p w:rsidR="004C26A7" w:rsidRPr="004C26A7" w:rsidRDefault="004C26A7" w:rsidP="004C26A7">
      <w:pPr>
        <w:jc w:val="both"/>
        <w:rPr>
          <w:rFonts w:ascii="Verdana" w:hAnsi="Verdana"/>
          <w:bCs/>
          <w:sz w:val="20"/>
        </w:rPr>
      </w:pPr>
      <w:r w:rsidRPr="004C26A7">
        <w:rPr>
          <w:rFonts w:ascii="Verdana" w:hAnsi="Verdana"/>
          <w:b/>
          <w:bCs/>
          <w:sz w:val="20"/>
        </w:rPr>
        <w:t>IV.</w:t>
      </w:r>
      <w:r w:rsidRPr="004C26A7">
        <w:rPr>
          <w:rFonts w:ascii="Verdana" w:hAnsi="Verdana"/>
          <w:bCs/>
          <w:sz w:val="20"/>
        </w:rPr>
        <w:t xml:space="preserve">      Posterior a la visita de verificación y validación, la Comisión Nacional emitirá un oficio de resultados dirigido al Presidente Municipal, Alcalde correspondiente </w:t>
      </w:r>
      <w:proofErr w:type="spellStart"/>
      <w:r w:rsidRPr="004C26A7">
        <w:rPr>
          <w:rFonts w:ascii="Verdana" w:hAnsi="Verdana"/>
          <w:bCs/>
          <w:sz w:val="20"/>
        </w:rPr>
        <w:t>u</w:t>
      </w:r>
      <w:proofErr w:type="spellEnd"/>
      <w:r w:rsidRPr="004C26A7">
        <w:rPr>
          <w:rFonts w:ascii="Verdana" w:hAnsi="Verdana"/>
          <w:bCs/>
          <w:sz w:val="20"/>
        </w:rPr>
        <w:t xml:space="preserve"> homólogo, el cual contendrá los resultados obtenidos, y</w:t>
      </w:r>
    </w:p>
    <w:p w:rsidR="004C26A7" w:rsidRPr="004C26A7" w:rsidRDefault="004C26A7" w:rsidP="004C26A7">
      <w:pPr>
        <w:jc w:val="both"/>
        <w:rPr>
          <w:rFonts w:ascii="Verdana" w:hAnsi="Verdana"/>
          <w:bCs/>
          <w:sz w:val="20"/>
        </w:rPr>
      </w:pPr>
      <w:r w:rsidRPr="004C26A7">
        <w:rPr>
          <w:rFonts w:ascii="Verdana" w:hAnsi="Verdana"/>
          <w:b/>
          <w:bCs/>
          <w:sz w:val="20"/>
        </w:rPr>
        <w:t>V.</w:t>
      </w:r>
      <w:r w:rsidRPr="004C26A7">
        <w:rPr>
          <w:rFonts w:ascii="Verdana" w:hAnsi="Verdana"/>
          <w:bCs/>
          <w:sz w:val="20"/>
        </w:rPr>
        <w:t>       En caso de que la Autoridad Municipal cumpla con los parámetros señalados en el lineamiento Cuarto del presente instrumento y una vez que la Autoridad Municipal haya emitido al menos una Autorización, la Comisión Nacional otorgará el Certificado SARE correspondiente.</w:t>
      </w:r>
    </w:p>
    <w:p w:rsidR="004C26A7" w:rsidRPr="004C26A7" w:rsidRDefault="004C26A7" w:rsidP="004C26A7">
      <w:pPr>
        <w:jc w:val="both"/>
        <w:rPr>
          <w:rFonts w:ascii="Verdana" w:hAnsi="Verdana"/>
          <w:bCs/>
          <w:sz w:val="20"/>
        </w:rPr>
      </w:pPr>
      <w:r w:rsidRPr="004C26A7">
        <w:rPr>
          <w:rFonts w:ascii="Verdana" w:hAnsi="Verdana"/>
          <w:bCs/>
          <w:sz w:val="20"/>
        </w:rPr>
        <w:t>El procedimiento anteriormente referido se llevará a cabo debiéndose ejecutar cada etapa. En caso de no cumplirse, por causa atribuible a la Autoridad Municipal, la Comisión Nacional desechará el procedimiento, situación que será notificada mediante oficio. Asimismo, la implementación del Programa se sujetará a las cargas de trabajo y presupuesto de la Comisión Nacional.</w:t>
      </w:r>
    </w:p>
    <w:p w:rsidR="004C26A7" w:rsidRPr="004C26A7" w:rsidRDefault="004C26A7" w:rsidP="004C26A7">
      <w:pPr>
        <w:jc w:val="both"/>
        <w:rPr>
          <w:rFonts w:ascii="Verdana" w:hAnsi="Verdana"/>
          <w:bCs/>
          <w:sz w:val="20"/>
        </w:rPr>
      </w:pPr>
      <w:r w:rsidRPr="004C26A7">
        <w:rPr>
          <w:rFonts w:ascii="Verdana" w:hAnsi="Verdana"/>
          <w:b/>
          <w:bCs/>
          <w:sz w:val="20"/>
        </w:rPr>
        <w:lastRenderedPageBreak/>
        <w:t>SEXTO.</w:t>
      </w:r>
      <w:r w:rsidRPr="004C26A7">
        <w:rPr>
          <w:rFonts w:ascii="Verdana" w:hAnsi="Verdana"/>
          <w:bCs/>
          <w:sz w:val="20"/>
        </w:rPr>
        <w:t> Los Certificados SARE que emita la Comisión Nacional tendrán una vigencia de dos años. A solicitud de la Autoridad Municipal y dentro del plazo de dos meses previo a la conclusión de la vigencia del Certificado SARE, la Comisión Nacional podrá llevar a cabo el PROSARE bajo los criterios establecidos en el presente instrumento.</w:t>
      </w:r>
    </w:p>
    <w:p w:rsidR="004C26A7" w:rsidRPr="004C26A7" w:rsidRDefault="004C26A7" w:rsidP="004C26A7">
      <w:pPr>
        <w:jc w:val="both"/>
        <w:rPr>
          <w:rFonts w:ascii="Verdana" w:hAnsi="Verdana"/>
          <w:bCs/>
          <w:sz w:val="20"/>
        </w:rPr>
      </w:pPr>
      <w:r w:rsidRPr="004C26A7">
        <w:rPr>
          <w:rFonts w:ascii="Verdana" w:hAnsi="Verdana"/>
          <w:b/>
          <w:bCs/>
          <w:sz w:val="20"/>
        </w:rPr>
        <w:t>SÉPTIMO. </w:t>
      </w:r>
      <w:r w:rsidRPr="004C26A7">
        <w:rPr>
          <w:rFonts w:ascii="Verdana" w:hAnsi="Verdana"/>
          <w:bCs/>
          <w:sz w:val="20"/>
        </w:rPr>
        <w:t>La Comisión Nacional publicará en su página de Internet, y mantendrá actualizado permanentemente, el listado oficial de Certificados SARE y Certificados PROSARE emitidos que se encuentren vigentes conforme a los presentes lineamientos.</w:t>
      </w:r>
    </w:p>
    <w:p w:rsidR="004C26A7" w:rsidRPr="004C26A7" w:rsidRDefault="004C26A7" w:rsidP="004C26A7">
      <w:pPr>
        <w:jc w:val="both"/>
        <w:rPr>
          <w:rFonts w:ascii="Verdana" w:hAnsi="Verdana"/>
          <w:bCs/>
          <w:sz w:val="20"/>
        </w:rPr>
      </w:pPr>
      <w:r w:rsidRPr="004C26A7">
        <w:rPr>
          <w:rFonts w:ascii="Verdana" w:hAnsi="Verdana"/>
          <w:b/>
          <w:bCs/>
          <w:sz w:val="20"/>
        </w:rPr>
        <w:t>OCTAVO. </w:t>
      </w:r>
      <w:r w:rsidRPr="004C26A7">
        <w:rPr>
          <w:rFonts w:ascii="Verdana" w:hAnsi="Verdana"/>
          <w:bCs/>
          <w:sz w:val="20"/>
        </w:rPr>
        <w:t>En caso de que la Autoridad Municipal realice</w:t>
      </w:r>
      <w:r w:rsidRPr="004C26A7">
        <w:rPr>
          <w:rFonts w:ascii="Verdana" w:hAnsi="Verdana"/>
          <w:b/>
          <w:bCs/>
          <w:sz w:val="20"/>
        </w:rPr>
        <w:t> </w:t>
      </w:r>
      <w:r w:rsidRPr="004C26A7">
        <w:rPr>
          <w:rFonts w:ascii="Verdana" w:hAnsi="Verdana"/>
          <w:bCs/>
          <w:sz w:val="20"/>
        </w:rPr>
        <w:t>una modificación al Formato Único de Apertura y a las actividades económicas del Catálogo de Giros de Bajo Riesgo reconocidas por la misma para la operación de Empresas de Bajo Riesgo en dicho municipio o alcaldía, dentro de un plazo de veinte días hábiles a partir del día siguiente a aquel en que se efectúe la modificación, deberá notificar a la Autoridad de Mejora Regulatoria Estatal y Municipal, y a la Comisión Nacional respecto a tal movimiento.</w:t>
      </w:r>
    </w:p>
    <w:p w:rsidR="004C26A7" w:rsidRPr="004C26A7" w:rsidRDefault="004C26A7" w:rsidP="004C26A7">
      <w:pPr>
        <w:jc w:val="both"/>
        <w:rPr>
          <w:rFonts w:ascii="Verdana" w:hAnsi="Verdana"/>
          <w:bCs/>
          <w:sz w:val="20"/>
        </w:rPr>
      </w:pPr>
      <w:r w:rsidRPr="004C26A7">
        <w:rPr>
          <w:rFonts w:ascii="Verdana" w:hAnsi="Verdana"/>
          <w:b/>
          <w:bCs/>
          <w:sz w:val="20"/>
        </w:rPr>
        <w:t>NOVENO.</w:t>
      </w:r>
      <w:r w:rsidRPr="004C26A7">
        <w:rPr>
          <w:rFonts w:ascii="Verdana" w:hAnsi="Verdana"/>
          <w:bCs/>
          <w:sz w:val="20"/>
        </w:rPr>
        <w:t> La Autoridad Municipal que obtuvo el certificado SARE deberá enviar a la dirección de correo electrónico: </w:t>
      </w:r>
      <w:r w:rsidRPr="004C26A7">
        <w:rPr>
          <w:rFonts w:ascii="Verdana" w:hAnsi="Verdana"/>
          <w:bCs/>
          <w:sz w:val="20"/>
          <w:u w:val="single"/>
        </w:rPr>
        <w:t>indicadorsare@conamer.gob.mx</w:t>
      </w:r>
      <w:r w:rsidRPr="004C26A7">
        <w:rPr>
          <w:rFonts w:ascii="Verdana" w:hAnsi="Verdana"/>
          <w:bCs/>
          <w:sz w:val="20"/>
        </w:rPr>
        <w:t>, el reporte mensual de monitoreo y seguimiento, mismo que deberá contener la información precisada en el Anexo Dos.</w:t>
      </w:r>
    </w:p>
    <w:p w:rsidR="004C26A7" w:rsidRPr="004C26A7" w:rsidRDefault="004C26A7" w:rsidP="004C26A7">
      <w:pPr>
        <w:jc w:val="both"/>
        <w:rPr>
          <w:rFonts w:ascii="Verdana" w:hAnsi="Verdana"/>
          <w:bCs/>
          <w:sz w:val="20"/>
        </w:rPr>
      </w:pPr>
      <w:r w:rsidRPr="004C26A7">
        <w:rPr>
          <w:rFonts w:ascii="Verdana" w:hAnsi="Verdana"/>
          <w:bCs/>
          <w:sz w:val="20"/>
        </w:rPr>
        <w:t>Las cifras referidas en el reporte mensual de monitoreo y seguimiento deben estar sustentadas en los registros administrativos de la Autoridad Municipal correspondientes a cada Ventanilla Única del SARE.</w:t>
      </w:r>
    </w:p>
    <w:p w:rsidR="004C26A7" w:rsidRPr="004C26A7" w:rsidRDefault="004C26A7" w:rsidP="004C26A7">
      <w:pPr>
        <w:jc w:val="both"/>
        <w:rPr>
          <w:rFonts w:ascii="Verdana" w:hAnsi="Verdana"/>
          <w:bCs/>
          <w:sz w:val="20"/>
        </w:rPr>
      </w:pPr>
      <w:r w:rsidRPr="004C26A7">
        <w:rPr>
          <w:rFonts w:ascii="Verdana" w:hAnsi="Verdana"/>
          <w:b/>
          <w:bCs/>
          <w:sz w:val="20"/>
        </w:rPr>
        <w:t>DÉCIMO.</w:t>
      </w:r>
      <w:r w:rsidRPr="004C26A7">
        <w:rPr>
          <w:rFonts w:ascii="Verdana" w:hAnsi="Verdana"/>
          <w:bCs/>
          <w:sz w:val="20"/>
        </w:rPr>
        <w:t> El Certificado SARE estará sujeto a las siguientes causas de revocación:</w:t>
      </w:r>
    </w:p>
    <w:p w:rsidR="004C26A7" w:rsidRPr="004C26A7" w:rsidRDefault="004C26A7" w:rsidP="004C26A7">
      <w:pPr>
        <w:jc w:val="both"/>
        <w:rPr>
          <w:rFonts w:ascii="Verdana" w:hAnsi="Verdana"/>
          <w:bCs/>
          <w:sz w:val="20"/>
        </w:rPr>
      </w:pPr>
      <w:r w:rsidRPr="004C26A7">
        <w:rPr>
          <w:rFonts w:ascii="Verdana" w:hAnsi="Verdana"/>
          <w:b/>
          <w:bCs/>
          <w:sz w:val="20"/>
        </w:rPr>
        <w:t>I.</w:t>
      </w:r>
      <w:r w:rsidRPr="004C26A7">
        <w:rPr>
          <w:rFonts w:ascii="Verdana" w:hAnsi="Verdana"/>
          <w:bCs/>
          <w:sz w:val="20"/>
        </w:rPr>
        <w:t>        Modificación o eliminación parcial o total de alguna regulación, trámite o servicio que contravenga los estándares mínimos de mejora regulatoria establecidos en el lineamiento tercero del presente instrumento, y</w:t>
      </w:r>
    </w:p>
    <w:p w:rsidR="004C26A7" w:rsidRPr="004C26A7" w:rsidRDefault="004C26A7" w:rsidP="004C26A7">
      <w:pPr>
        <w:jc w:val="both"/>
        <w:rPr>
          <w:rFonts w:ascii="Verdana" w:hAnsi="Verdana"/>
          <w:bCs/>
          <w:sz w:val="20"/>
        </w:rPr>
      </w:pPr>
      <w:r w:rsidRPr="004C26A7">
        <w:rPr>
          <w:rFonts w:ascii="Verdana" w:hAnsi="Verdana"/>
          <w:b/>
          <w:bCs/>
          <w:sz w:val="20"/>
        </w:rPr>
        <w:t>II.</w:t>
      </w:r>
      <w:r w:rsidRPr="004C26A7">
        <w:rPr>
          <w:rFonts w:ascii="Verdana" w:hAnsi="Verdana"/>
          <w:bCs/>
          <w:sz w:val="20"/>
        </w:rPr>
        <w:t>       Creación de una regulación, trámite o servicio relacionado con la Autorización, que contravenga los estándares mínimos de mejora regulatoria establecidos en el lineamiento tercero del presente instrumento.</w:t>
      </w:r>
    </w:p>
    <w:p w:rsidR="004C26A7" w:rsidRPr="004C26A7" w:rsidRDefault="004C26A7" w:rsidP="004C26A7">
      <w:pPr>
        <w:jc w:val="both"/>
        <w:rPr>
          <w:rFonts w:ascii="Verdana" w:hAnsi="Verdana"/>
          <w:bCs/>
          <w:sz w:val="20"/>
        </w:rPr>
      </w:pPr>
      <w:r w:rsidRPr="004C26A7">
        <w:rPr>
          <w:rFonts w:ascii="Verdana" w:hAnsi="Verdana"/>
          <w:b/>
          <w:bCs/>
          <w:sz w:val="20"/>
        </w:rPr>
        <w:t>DEL PROGRAMA DE OPERACIÓN Y RECONOCIMIENTO SARE</w:t>
      </w:r>
    </w:p>
    <w:p w:rsidR="004C26A7" w:rsidRPr="004C26A7" w:rsidRDefault="004C26A7" w:rsidP="004C26A7">
      <w:pPr>
        <w:jc w:val="both"/>
        <w:rPr>
          <w:rFonts w:ascii="Verdana" w:hAnsi="Verdana"/>
          <w:bCs/>
          <w:sz w:val="20"/>
        </w:rPr>
      </w:pPr>
      <w:r w:rsidRPr="004C26A7">
        <w:rPr>
          <w:rFonts w:ascii="Verdana" w:hAnsi="Verdana"/>
          <w:bCs/>
          <w:sz w:val="20"/>
        </w:rPr>
        <w:t> </w:t>
      </w:r>
    </w:p>
    <w:p w:rsidR="004C26A7" w:rsidRPr="004C26A7" w:rsidRDefault="004C26A7" w:rsidP="004C26A7">
      <w:pPr>
        <w:jc w:val="both"/>
        <w:rPr>
          <w:rFonts w:ascii="Verdana" w:hAnsi="Verdana"/>
          <w:bCs/>
          <w:sz w:val="20"/>
        </w:rPr>
      </w:pPr>
      <w:r w:rsidRPr="004C26A7">
        <w:rPr>
          <w:rFonts w:ascii="Verdana" w:hAnsi="Verdana"/>
          <w:b/>
          <w:bCs/>
          <w:sz w:val="20"/>
        </w:rPr>
        <w:t>DÉCIMO PRIMERO.</w:t>
      </w:r>
      <w:r w:rsidRPr="004C26A7">
        <w:rPr>
          <w:rFonts w:ascii="Verdana" w:hAnsi="Verdana"/>
          <w:bCs/>
          <w:sz w:val="20"/>
        </w:rPr>
        <w:t> El PROSARE tendrá por objeto:</w:t>
      </w:r>
    </w:p>
    <w:p w:rsidR="004C26A7" w:rsidRPr="004C26A7" w:rsidRDefault="004C26A7" w:rsidP="004C26A7">
      <w:pPr>
        <w:jc w:val="both"/>
        <w:rPr>
          <w:rFonts w:ascii="Verdana" w:hAnsi="Verdana"/>
          <w:bCs/>
          <w:sz w:val="20"/>
        </w:rPr>
      </w:pPr>
      <w:r w:rsidRPr="004C26A7">
        <w:rPr>
          <w:rFonts w:ascii="Verdana" w:hAnsi="Verdana"/>
          <w:b/>
          <w:bCs/>
          <w:sz w:val="20"/>
        </w:rPr>
        <w:t>I.</w:t>
      </w:r>
      <w:r w:rsidRPr="004C26A7">
        <w:rPr>
          <w:rFonts w:ascii="Verdana" w:hAnsi="Verdana"/>
          <w:bCs/>
          <w:sz w:val="20"/>
        </w:rPr>
        <w:t>        Fomentar el mantenimiento, actualización y el fortalecimiento del SARE;</w:t>
      </w:r>
    </w:p>
    <w:p w:rsidR="004C26A7" w:rsidRPr="004C26A7" w:rsidRDefault="004C26A7" w:rsidP="004C26A7">
      <w:pPr>
        <w:jc w:val="both"/>
        <w:rPr>
          <w:rFonts w:ascii="Verdana" w:hAnsi="Verdana"/>
          <w:bCs/>
          <w:sz w:val="20"/>
        </w:rPr>
      </w:pPr>
      <w:r w:rsidRPr="004C26A7">
        <w:rPr>
          <w:rFonts w:ascii="Verdana" w:hAnsi="Verdana"/>
          <w:b/>
          <w:bCs/>
          <w:sz w:val="20"/>
        </w:rPr>
        <w:t>II.</w:t>
      </w:r>
      <w:r w:rsidRPr="004C26A7">
        <w:rPr>
          <w:rFonts w:ascii="Verdana" w:hAnsi="Verdana"/>
          <w:bCs/>
          <w:sz w:val="20"/>
        </w:rPr>
        <w:t>       Rehabilitar aquellos SARE en cese de operación, y</w:t>
      </w:r>
    </w:p>
    <w:p w:rsidR="004C26A7" w:rsidRPr="004C26A7" w:rsidRDefault="004C26A7" w:rsidP="004C26A7">
      <w:pPr>
        <w:jc w:val="both"/>
        <w:rPr>
          <w:rFonts w:ascii="Verdana" w:hAnsi="Verdana"/>
          <w:bCs/>
          <w:sz w:val="20"/>
        </w:rPr>
      </w:pPr>
      <w:r w:rsidRPr="004C26A7">
        <w:rPr>
          <w:rFonts w:ascii="Verdana" w:hAnsi="Verdana"/>
          <w:b/>
          <w:bCs/>
          <w:sz w:val="20"/>
        </w:rPr>
        <w:t>III.</w:t>
      </w:r>
      <w:r w:rsidRPr="004C26A7">
        <w:rPr>
          <w:rFonts w:ascii="Verdana" w:hAnsi="Verdana"/>
          <w:bCs/>
          <w:sz w:val="20"/>
        </w:rPr>
        <w:t>      Reconocer y/o armonizar otros programas distintos al SARE que cumplan con los criterios previstos en los presentes lineamientos.</w:t>
      </w:r>
    </w:p>
    <w:p w:rsidR="004C26A7" w:rsidRPr="004C26A7" w:rsidRDefault="004C26A7" w:rsidP="004C26A7">
      <w:pPr>
        <w:jc w:val="both"/>
        <w:rPr>
          <w:rFonts w:ascii="Verdana" w:hAnsi="Verdana"/>
          <w:bCs/>
          <w:sz w:val="20"/>
        </w:rPr>
      </w:pPr>
      <w:r w:rsidRPr="004C26A7">
        <w:rPr>
          <w:rFonts w:ascii="Verdana" w:hAnsi="Verdana"/>
          <w:bCs/>
          <w:sz w:val="20"/>
        </w:rPr>
        <w:lastRenderedPageBreak/>
        <w:t>Asimismo, el PROSARE fungirá como una herramienta de monitoreo para aquellos SARE que actualmente operan y que desean impulsar mejores prácticas o, en su caso, elaborar un Diagnóstico PROSARE para garantizar el funcionamiento óptimo del SARE.</w:t>
      </w:r>
    </w:p>
    <w:p w:rsidR="004C26A7" w:rsidRPr="004C26A7" w:rsidRDefault="004C26A7" w:rsidP="004C26A7">
      <w:pPr>
        <w:jc w:val="both"/>
        <w:rPr>
          <w:rFonts w:ascii="Verdana" w:hAnsi="Verdana"/>
          <w:bCs/>
          <w:sz w:val="20"/>
        </w:rPr>
      </w:pPr>
      <w:r w:rsidRPr="004C26A7">
        <w:rPr>
          <w:rFonts w:ascii="Verdana" w:hAnsi="Verdana"/>
          <w:b/>
          <w:bCs/>
          <w:sz w:val="20"/>
        </w:rPr>
        <w:t>DÉCIMO SEGUNDO.</w:t>
      </w:r>
      <w:r w:rsidRPr="004C26A7">
        <w:rPr>
          <w:rFonts w:ascii="Verdana" w:hAnsi="Verdana"/>
          <w:bCs/>
          <w:sz w:val="20"/>
        </w:rPr>
        <w:t> La Comisión Nacional resolverá si emite o no el Certificado PROSARE conforme a los criterios establecidos en el siguiente cuadro: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063"/>
        <w:gridCol w:w="2130"/>
        <w:gridCol w:w="1798"/>
        <w:gridCol w:w="2721"/>
      </w:tblGrid>
      <w:tr w:rsidR="004C26A7" w:rsidRPr="004C26A7" w:rsidTr="004C26A7">
        <w:trPr>
          <w:trHeight w:val="349"/>
        </w:trPr>
        <w:tc>
          <w:tcPr>
            <w:tcW w:w="41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
                <w:bCs/>
                <w:sz w:val="20"/>
              </w:rPr>
              <w:t>CRITERIOS</w:t>
            </w:r>
          </w:p>
        </w:tc>
        <w:tc>
          <w:tcPr>
            <w:tcW w:w="1798"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
                <w:bCs/>
                <w:sz w:val="20"/>
              </w:rPr>
              <w:t>VIGENCIA DEL</w:t>
            </w:r>
            <w:r w:rsidRPr="004C26A7">
              <w:rPr>
                <w:rFonts w:ascii="Verdana" w:hAnsi="Verdana"/>
                <w:bCs/>
                <w:sz w:val="20"/>
              </w:rPr>
              <w:br/>
            </w:r>
            <w:r w:rsidRPr="004C26A7">
              <w:rPr>
                <w:rFonts w:ascii="Verdana" w:hAnsi="Verdana"/>
                <w:b/>
                <w:bCs/>
                <w:sz w:val="20"/>
              </w:rPr>
              <w:t>CERTIFICADO</w:t>
            </w:r>
            <w:r w:rsidRPr="004C26A7">
              <w:rPr>
                <w:rFonts w:ascii="Verdana" w:hAnsi="Verdana"/>
                <w:bCs/>
                <w:sz w:val="20"/>
              </w:rPr>
              <w:br/>
            </w:r>
            <w:r w:rsidRPr="004C26A7">
              <w:rPr>
                <w:rFonts w:ascii="Verdana" w:hAnsi="Verdana"/>
                <w:b/>
                <w:bCs/>
                <w:sz w:val="20"/>
              </w:rPr>
              <w:t>PROSARE</w:t>
            </w:r>
          </w:p>
        </w:tc>
        <w:tc>
          <w:tcPr>
            <w:tcW w:w="2721"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
                <w:bCs/>
                <w:sz w:val="20"/>
              </w:rPr>
              <w:t>TIEMPO PARA SOLICITAR</w:t>
            </w:r>
            <w:r w:rsidRPr="004C26A7">
              <w:rPr>
                <w:rFonts w:ascii="Verdana" w:hAnsi="Verdana"/>
                <w:bCs/>
                <w:sz w:val="20"/>
              </w:rPr>
              <w:br/>
            </w:r>
            <w:r w:rsidRPr="004C26A7">
              <w:rPr>
                <w:rFonts w:ascii="Verdana" w:hAnsi="Verdana"/>
                <w:b/>
                <w:bCs/>
                <w:sz w:val="20"/>
              </w:rPr>
              <w:t>NUEVAMENTE EL PROSARE</w:t>
            </w:r>
          </w:p>
        </w:tc>
      </w:tr>
      <w:tr w:rsidR="004C26A7" w:rsidRPr="004C26A7" w:rsidTr="004C26A7">
        <w:trPr>
          <w:trHeight w:val="800"/>
        </w:trPr>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
                <w:bCs/>
                <w:sz w:val="20"/>
              </w:rPr>
              <w:t>I. RESULTADO DEL</w:t>
            </w:r>
            <w:r w:rsidRPr="004C26A7">
              <w:rPr>
                <w:rFonts w:ascii="Verdana" w:hAnsi="Verdana"/>
                <w:bCs/>
                <w:sz w:val="20"/>
              </w:rPr>
              <w:br/>
            </w:r>
            <w:r w:rsidRPr="004C26A7">
              <w:rPr>
                <w:rFonts w:ascii="Verdana" w:hAnsi="Verdana"/>
                <w:b/>
                <w:bCs/>
                <w:sz w:val="20"/>
              </w:rPr>
              <w:t>SISTEMA DE</w:t>
            </w:r>
            <w:r w:rsidRPr="004C26A7">
              <w:rPr>
                <w:rFonts w:ascii="Verdana" w:hAnsi="Verdana"/>
                <w:bCs/>
                <w:sz w:val="20"/>
              </w:rPr>
              <w:br/>
            </w:r>
            <w:r w:rsidRPr="004C26A7">
              <w:rPr>
                <w:rFonts w:ascii="Verdana" w:hAnsi="Verdana"/>
                <w:b/>
                <w:bCs/>
                <w:sz w:val="20"/>
              </w:rPr>
              <w:t>EVALUACIÓN</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
                <w:bCs/>
                <w:sz w:val="20"/>
              </w:rPr>
              <w:t>II. PORCENTAJE DE</w:t>
            </w:r>
            <w:r w:rsidRPr="004C26A7">
              <w:rPr>
                <w:rFonts w:ascii="Verdana" w:hAnsi="Verdana"/>
                <w:bCs/>
                <w:sz w:val="20"/>
              </w:rPr>
              <w:br/>
            </w:r>
            <w:r w:rsidRPr="004C26A7">
              <w:rPr>
                <w:rFonts w:ascii="Verdana" w:hAnsi="Verdana"/>
                <w:b/>
                <w:bCs/>
                <w:sz w:val="20"/>
              </w:rPr>
              <w:t>GIROS LISTADOS EN</w:t>
            </w:r>
            <w:r w:rsidRPr="004C26A7">
              <w:rPr>
                <w:rFonts w:ascii="Verdana" w:hAnsi="Verdana"/>
                <w:bCs/>
                <w:sz w:val="20"/>
              </w:rPr>
              <w:br/>
            </w:r>
            <w:r w:rsidRPr="004C26A7">
              <w:rPr>
                <w:rFonts w:ascii="Verdana" w:hAnsi="Verdana"/>
                <w:b/>
                <w:bCs/>
                <w:sz w:val="20"/>
              </w:rPr>
              <w:t>EL ANEXO UNO</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C26A7" w:rsidRPr="004C26A7" w:rsidRDefault="004C26A7" w:rsidP="004C26A7">
            <w:pPr>
              <w:jc w:val="both"/>
              <w:rPr>
                <w:rFonts w:ascii="Verdana" w:hAnsi="Verdana"/>
                <w:bCs/>
                <w:sz w:val="20"/>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4C26A7" w:rsidRPr="004C26A7" w:rsidRDefault="004C26A7" w:rsidP="004C26A7">
            <w:pPr>
              <w:jc w:val="both"/>
              <w:rPr>
                <w:rFonts w:ascii="Verdana" w:hAnsi="Verdana"/>
                <w:bCs/>
                <w:sz w:val="20"/>
              </w:rPr>
            </w:pPr>
          </w:p>
        </w:tc>
      </w:tr>
      <w:tr w:rsidR="004C26A7" w:rsidRPr="004C26A7" w:rsidTr="004C26A7">
        <w:trPr>
          <w:trHeight w:val="800"/>
        </w:trPr>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Menos de 60 puntos</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No aplica</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Comisión Nacional</w:t>
            </w:r>
            <w:r w:rsidRPr="004C26A7">
              <w:rPr>
                <w:rFonts w:ascii="Verdana" w:hAnsi="Verdana"/>
                <w:bCs/>
                <w:sz w:val="20"/>
              </w:rPr>
              <w:br/>
              <w:t>no emite Certificado</w:t>
            </w:r>
            <w:r w:rsidRPr="004C26A7">
              <w:rPr>
                <w:rFonts w:ascii="Verdana" w:hAnsi="Verdana"/>
                <w:bCs/>
                <w:sz w:val="20"/>
              </w:rPr>
              <w:br/>
              <w:t>PROSARE</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Pasados 3 meses contados a</w:t>
            </w:r>
            <w:r w:rsidRPr="004C26A7">
              <w:rPr>
                <w:rFonts w:ascii="Verdana" w:hAnsi="Verdana"/>
                <w:bCs/>
                <w:sz w:val="20"/>
              </w:rPr>
              <w:br/>
              <w:t>partir de la fecha en que se</w:t>
            </w:r>
            <w:r w:rsidRPr="004C26A7">
              <w:rPr>
                <w:rFonts w:ascii="Verdana" w:hAnsi="Verdana"/>
                <w:bCs/>
                <w:sz w:val="20"/>
              </w:rPr>
              <w:br/>
              <w:t>obtuvo el resultado</w:t>
            </w:r>
          </w:p>
        </w:tc>
      </w:tr>
      <w:tr w:rsidR="004C26A7" w:rsidRPr="004C26A7" w:rsidTr="004C26A7">
        <w:trPr>
          <w:trHeight w:val="800"/>
        </w:trPr>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De 60 hasta 70 puntos</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Igual o mayor a 50%</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1 año</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Pasados 3 meses desde la</w:t>
            </w:r>
            <w:r w:rsidRPr="004C26A7">
              <w:rPr>
                <w:rFonts w:ascii="Verdana" w:hAnsi="Verdana"/>
                <w:bCs/>
                <w:sz w:val="20"/>
              </w:rPr>
              <w:br/>
              <w:t>fecha en que se obtuvo el</w:t>
            </w:r>
            <w:r w:rsidRPr="004C26A7">
              <w:rPr>
                <w:rFonts w:ascii="Verdana" w:hAnsi="Verdana"/>
                <w:bCs/>
                <w:sz w:val="20"/>
              </w:rPr>
              <w:br/>
              <w:t>resultado</w:t>
            </w:r>
          </w:p>
        </w:tc>
      </w:tr>
      <w:tr w:rsidR="004C26A7" w:rsidRPr="004C26A7" w:rsidTr="004C26A7">
        <w:trPr>
          <w:trHeight w:val="800"/>
        </w:trPr>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Más de 70 y hasta 90</w:t>
            </w:r>
            <w:r w:rsidRPr="004C26A7">
              <w:rPr>
                <w:rFonts w:ascii="Verdana" w:hAnsi="Verdana"/>
                <w:bCs/>
                <w:sz w:val="20"/>
              </w:rPr>
              <w:br/>
              <w:t>puntos</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Igual o mayor a 60%</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2 años</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Pasados 3 meses desde la</w:t>
            </w:r>
            <w:r w:rsidRPr="004C26A7">
              <w:rPr>
                <w:rFonts w:ascii="Verdana" w:hAnsi="Verdana"/>
                <w:bCs/>
                <w:sz w:val="20"/>
              </w:rPr>
              <w:br/>
              <w:t>fecha en que se obtuvo el</w:t>
            </w:r>
            <w:r w:rsidRPr="004C26A7">
              <w:rPr>
                <w:rFonts w:ascii="Verdana" w:hAnsi="Verdana"/>
                <w:bCs/>
                <w:sz w:val="20"/>
              </w:rPr>
              <w:br/>
              <w:t>resultado</w:t>
            </w:r>
          </w:p>
        </w:tc>
      </w:tr>
      <w:tr w:rsidR="004C26A7" w:rsidRPr="004C26A7" w:rsidTr="004C26A7">
        <w:trPr>
          <w:trHeight w:val="349"/>
        </w:trPr>
        <w:tc>
          <w:tcPr>
            <w:tcW w:w="20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Más de 90 puntos</w:t>
            </w:r>
          </w:p>
        </w:tc>
        <w:tc>
          <w:tcPr>
            <w:tcW w:w="21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Igual o mayor a 70%</w:t>
            </w:r>
          </w:p>
        </w:tc>
        <w:tc>
          <w:tcPr>
            <w:tcW w:w="17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3 años</w:t>
            </w:r>
          </w:p>
        </w:tc>
        <w:tc>
          <w:tcPr>
            <w:tcW w:w="27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C26A7" w:rsidRPr="004C26A7" w:rsidRDefault="004C26A7" w:rsidP="004C26A7">
            <w:pPr>
              <w:jc w:val="both"/>
              <w:rPr>
                <w:rFonts w:ascii="Verdana" w:hAnsi="Verdana"/>
                <w:bCs/>
                <w:sz w:val="20"/>
              </w:rPr>
            </w:pPr>
            <w:r w:rsidRPr="004C26A7">
              <w:rPr>
                <w:rFonts w:ascii="Verdana" w:hAnsi="Verdana"/>
                <w:bCs/>
                <w:sz w:val="20"/>
              </w:rPr>
              <w:t>En cualquier momento</w:t>
            </w:r>
          </w:p>
        </w:tc>
      </w:tr>
    </w:tbl>
    <w:p w:rsidR="004C26A7" w:rsidRPr="004C26A7" w:rsidRDefault="004C26A7" w:rsidP="004C26A7">
      <w:pPr>
        <w:jc w:val="both"/>
        <w:rPr>
          <w:rFonts w:ascii="Verdana" w:hAnsi="Verdana"/>
          <w:bCs/>
          <w:sz w:val="20"/>
        </w:rPr>
      </w:pPr>
      <w:r w:rsidRPr="004C26A7">
        <w:rPr>
          <w:rFonts w:ascii="Verdana" w:hAnsi="Verdana"/>
          <w:bCs/>
          <w:sz w:val="20"/>
        </w:rPr>
        <w:t> </w:t>
      </w:r>
    </w:p>
    <w:p w:rsidR="004C26A7" w:rsidRPr="004C26A7" w:rsidRDefault="004C26A7" w:rsidP="004C26A7">
      <w:pPr>
        <w:jc w:val="both"/>
        <w:rPr>
          <w:rFonts w:ascii="Verdana" w:hAnsi="Verdana"/>
          <w:bCs/>
          <w:sz w:val="20"/>
        </w:rPr>
      </w:pPr>
      <w:r w:rsidRPr="004C26A7">
        <w:rPr>
          <w:rFonts w:ascii="Verdana" w:hAnsi="Verdana"/>
          <w:bCs/>
          <w:sz w:val="20"/>
        </w:rPr>
        <w:t>La Comisión Nacional emitirá el Certificado PROSARE cuando el resultado del Sistema de Evaluación arroje una calificación igual o mayor a 60 puntos y contenga al menos el 50% de los giros establecidos en el Anexo Uno</w:t>
      </w:r>
      <w:r w:rsidRPr="004C26A7">
        <w:rPr>
          <w:rFonts w:ascii="Verdana" w:hAnsi="Verdana"/>
          <w:b/>
          <w:bCs/>
          <w:sz w:val="20"/>
        </w:rPr>
        <w:t>. </w:t>
      </w:r>
      <w:r w:rsidRPr="004C26A7">
        <w:rPr>
          <w:rFonts w:ascii="Verdana" w:hAnsi="Verdana"/>
          <w:bCs/>
          <w:sz w:val="20"/>
        </w:rPr>
        <w:t>La vigencia del Certificado PROSARE se determinará por el cumplimiento de los dos criterios referidos en el cuadro precedente. En el supuesto de que no se alcancen de manera simultánea los dos criterios, se tomará como referencia para determinar la vigencia del Certificado PROSARE la señalada para el criterio de menor avance.</w:t>
      </w:r>
    </w:p>
    <w:p w:rsidR="004C26A7" w:rsidRPr="004C26A7" w:rsidRDefault="004C26A7" w:rsidP="004C26A7">
      <w:pPr>
        <w:jc w:val="both"/>
        <w:rPr>
          <w:rFonts w:ascii="Verdana" w:hAnsi="Verdana"/>
          <w:bCs/>
          <w:sz w:val="20"/>
        </w:rPr>
      </w:pPr>
      <w:r w:rsidRPr="004C26A7">
        <w:rPr>
          <w:rFonts w:ascii="Verdana" w:hAnsi="Verdana"/>
          <w:b/>
          <w:bCs/>
          <w:sz w:val="20"/>
        </w:rPr>
        <w:t>DÉCIMO TERCERO.</w:t>
      </w:r>
      <w:r w:rsidRPr="004C26A7">
        <w:rPr>
          <w:rFonts w:ascii="Verdana" w:hAnsi="Verdana"/>
          <w:bCs/>
          <w:sz w:val="20"/>
        </w:rPr>
        <w:t> La Comisión Nacional emitirá el Certificado PROSARE conforme al siguiente procedimiento:</w:t>
      </w:r>
    </w:p>
    <w:p w:rsidR="004C26A7" w:rsidRPr="004C26A7" w:rsidRDefault="004C26A7" w:rsidP="004C26A7">
      <w:pPr>
        <w:jc w:val="both"/>
        <w:rPr>
          <w:rFonts w:ascii="Verdana" w:hAnsi="Verdana"/>
          <w:bCs/>
          <w:sz w:val="20"/>
        </w:rPr>
      </w:pPr>
      <w:r w:rsidRPr="004C26A7">
        <w:rPr>
          <w:rFonts w:ascii="Verdana" w:hAnsi="Verdana"/>
          <w:b/>
          <w:bCs/>
          <w:sz w:val="20"/>
        </w:rPr>
        <w:lastRenderedPageBreak/>
        <w:t>I.</w:t>
      </w:r>
      <w:r w:rsidRPr="004C26A7">
        <w:rPr>
          <w:rFonts w:ascii="Verdana" w:hAnsi="Verdana"/>
          <w:bCs/>
          <w:sz w:val="20"/>
        </w:rPr>
        <w:t xml:space="preserve">        Inicia con la recepción por parte de la Comisión Nacional de la carta de intención signada por el Presidente Municipal, Alcalde </w:t>
      </w:r>
      <w:proofErr w:type="spellStart"/>
      <w:r w:rsidRPr="004C26A7">
        <w:rPr>
          <w:rFonts w:ascii="Verdana" w:hAnsi="Verdana"/>
          <w:bCs/>
          <w:sz w:val="20"/>
        </w:rPr>
        <w:t>u</w:t>
      </w:r>
      <w:proofErr w:type="spellEnd"/>
      <w:r w:rsidRPr="004C26A7">
        <w:rPr>
          <w:rFonts w:ascii="Verdana" w:hAnsi="Verdana"/>
          <w:bCs/>
          <w:sz w:val="20"/>
        </w:rPr>
        <w:t xml:space="preserve"> homólogo y dirigida al Comisionado Nacional, en donde manifieste su interés en obtener el Certificado PROSARE. La carta de intención deberá contemplar al menos los elementos contenidos en el formato del Anexo Cinco; así como del formato de solicitud PROSARE, precisado en el Anexo Seis. Dicho formato deberá estar debidamente llenado y acompañado de la información soporte solicitada en el mismo;</w:t>
      </w:r>
    </w:p>
    <w:p w:rsidR="004C26A7" w:rsidRPr="004C26A7" w:rsidRDefault="004C26A7" w:rsidP="004C26A7">
      <w:pPr>
        <w:jc w:val="both"/>
        <w:rPr>
          <w:rFonts w:ascii="Verdana" w:hAnsi="Verdana"/>
          <w:bCs/>
          <w:sz w:val="20"/>
        </w:rPr>
      </w:pPr>
      <w:r w:rsidRPr="004C26A7">
        <w:rPr>
          <w:rFonts w:ascii="Verdana" w:hAnsi="Verdana"/>
          <w:b/>
          <w:bCs/>
          <w:sz w:val="20"/>
        </w:rPr>
        <w:t>III.</w:t>
      </w:r>
      <w:r w:rsidRPr="004C26A7">
        <w:rPr>
          <w:rFonts w:ascii="Verdana" w:hAnsi="Verdana"/>
          <w:bCs/>
          <w:sz w:val="20"/>
        </w:rPr>
        <w:t>      La Comisión Nacional enviará a la Autoridad Municipal el cuestionario PROSARE, mismo que permitirá aplicar el Sistema de Evaluación;</w:t>
      </w:r>
    </w:p>
    <w:p w:rsidR="004C26A7" w:rsidRPr="004C26A7" w:rsidRDefault="004C26A7" w:rsidP="004C26A7">
      <w:pPr>
        <w:jc w:val="both"/>
        <w:rPr>
          <w:rFonts w:ascii="Verdana" w:hAnsi="Verdana"/>
          <w:bCs/>
          <w:sz w:val="20"/>
        </w:rPr>
      </w:pPr>
      <w:r w:rsidRPr="004C26A7">
        <w:rPr>
          <w:rFonts w:ascii="Verdana" w:hAnsi="Verdana"/>
          <w:b/>
          <w:bCs/>
          <w:sz w:val="20"/>
        </w:rPr>
        <w:t>IV.</w:t>
      </w:r>
      <w:r w:rsidRPr="004C26A7">
        <w:rPr>
          <w:rFonts w:ascii="Verdana" w:hAnsi="Verdana"/>
          <w:bCs/>
          <w:sz w:val="20"/>
        </w:rPr>
        <w:t>      Dentro de los 10 días hábiles siguientes, la Autoridad Municipal responsable llenará el cuestionario PROSARE y enviará a la Comisión Nacional la información que pretenda acreditar las respuestas; dentro de las cuales se considerará al menos la información siguiente: (i) Manual de Operación; (ii) Formato de Apertura de Empresas (iii) Fundamento jurídico o acta de cabildo de la Ventanilla Única; (iv) Diagrama de flujo de operación de la Ventanilla Única; (v) Catálogo de Empresas de Bajo Riesgo homologado al SCIAN, y (vi) registros administrativos de la emisión de al menos tres autorizaciones otorgadas, previo a visita de verificación por parte de la Comisión Nacional;</w:t>
      </w:r>
    </w:p>
    <w:p w:rsidR="004C26A7" w:rsidRPr="004C26A7" w:rsidRDefault="004C26A7" w:rsidP="004C26A7">
      <w:pPr>
        <w:jc w:val="both"/>
        <w:rPr>
          <w:rFonts w:ascii="Verdana" w:hAnsi="Verdana"/>
          <w:bCs/>
          <w:sz w:val="20"/>
        </w:rPr>
      </w:pPr>
      <w:r w:rsidRPr="004C26A7">
        <w:rPr>
          <w:rFonts w:ascii="Verdana" w:hAnsi="Verdana"/>
          <w:b/>
          <w:bCs/>
          <w:sz w:val="20"/>
        </w:rPr>
        <w:t>V.</w:t>
      </w:r>
      <w:r w:rsidRPr="004C26A7">
        <w:rPr>
          <w:rFonts w:ascii="Verdana" w:hAnsi="Verdana"/>
          <w:bCs/>
          <w:sz w:val="20"/>
        </w:rPr>
        <w:t>       Una vez recibidas las respuestas al cuestionario PROSARE, la Comisión Nacional verificará que la</w:t>
      </w:r>
    </w:p>
    <w:p w:rsidR="004C26A7" w:rsidRPr="004C26A7" w:rsidRDefault="004C26A7" w:rsidP="004C26A7">
      <w:pPr>
        <w:jc w:val="both"/>
        <w:rPr>
          <w:rFonts w:ascii="Verdana" w:hAnsi="Verdana"/>
          <w:bCs/>
          <w:sz w:val="20"/>
        </w:rPr>
      </w:pPr>
      <w:proofErr w:type="gramStart"/>
      <w:r w:rsidRPr="004C26A7">
        <w:rPr>
          <w:rFonts w:ascii="Verdana" w:hAnsi="Verdana"/>
          <w:bCs/>
          <w:sz w:val="20"/>
        </w:rPr>
        <w:t>información</w:t>
      </w:r>
      <w:proofErr w:type="gramEnd"/>
      <w:r w:rsidRPr="004C26A7">
        <w:rPr>
          <w:rFonts w:ascii="Verdana" w:hAnsi="Verdana"/>
          <w:bCs/>
          <w:sz w:val="20"/>
        </w:rPr>
        <w:t xml:space="preserve"> enviada por la Autoridad Municipal es precisa, cierta y completa. En dicho supuesto, la Comisión Nacional programará una visita de verificación y validación de la información presentada misma que será establecida de común acuerdo con la Autoridad Municipal;</w:t>
      </w:r>
    </w:p>
    <w:p w:rsidR="004C26A7" w:rsidRPr="004C26A7" w:rsidRDefault="004C26A7" w:rsidP="004C26A7">
      <w:pPr>
        <w:jc w:val="both"/>
        <w:rPr>
          <w:rFonts w:ascii="Verdana" w:hAnsi="Verdana"/>
          <w:bCs/>
          <w:sz w:val="20"/>
        </w:rPr>
      </w:pPr>
      <w:r w:rsidRPr="004C26A7">
        <w:rPr>
          <w:rFonts w:ascii="Verdana" w:hAnsi="Verdana"/>
          <w:b/>
          <w:bCs/>
          <w:sz w:val="20"/>
        </w:rPr>
        <w:t>VI.</w:t>
      </w:r>
      <w:r w:rsidRPr="004C26A7">
        <w:rPr>
          <w:rFonts w:ascii="Verdana" w:hAnsi="Verdana"/>
          <w:bCs/>
          <w:sz w:val="20"/>
        </w:rPr>
        <w:t>      En la visita de verificación y validación la Comisión Nacional corroborará la información enviada por la Autoridad Municipal, y al mismo tiempo levantará la información necesaria para emitir el Diagnóstico PROSARE. En dicha visita se identificarán las instalaciones, funcionalidad operativa, organizacional y administrativa de la Ventanilla Única, y</w:t>
      </w:r>
    </w:p>
    <w:p w:rsidR="004C26A7" w:rsidRPr="004C26A7" w:rsidRDefault="004C26A7" w:rsidP="004C26A7">
      <w:pPr>
        <w:jc w:val="both"/>
        <w:rPr>
          <w:rFonts w:ascii="Verdana" w:hAnsi="Verdana"/>
          <w:bCs/>
          <w:sz w:val="20"/>
        </w:rPr>
      </w:pPr>
      <w:r w:rsidRPr="004C26A7">
        <w:rPr>
          <w:rFonts w:ascii="Verdana" w:hAnsi="Verdana"/>
          <w:b/>
          <w:bCs/>
          <w:sz w:val="20"/>
        </w:rPr>
        <w:t>VII.</w:t>
      </w:r>
      <w:r w:rsidRPr="004C26A7">
        <w:rPr>
          <w:rFonts w:ascii="Verdana" w:hAnsi="Verdana"/>
          <w:bCs/>
          <w:sz w:val="20"/>
        </w:rPr>
        <w:t xml:space="preserve">     Posterior a la visita de verificación y validación, la Comisión Nacional emitirá el Diagnóstico PROSARE, el cual contendrá los resultados obtenidos, las principales áreas de oportunidad, y las recomendaciones derivadas de las mismas. El diagnóstico irá acompañado de un oficio de resultados emitido por la Coordinación de Estados y Municipios dirigido al Presidente Municipal correspondiente, Alcalde </w:t>
      </w:r>
      <w:proofErr w:type="spellStart"/>
      <w:r w:rsidRPr="004C26A7">
        <w:rPr>
          <w:rFonts w:ascii="Verdana" w:hAnsi="Verdana"/>
          <w:bCs/>
          <w:sz w:val="20"/>
        </w:rPr>
        <w:t>u</w:t>
      </w:r>
      <w:proofErr w:type="spellEnd"/>
      <w:r w:rsidRPr="004C26A7">
        <w:rPr>
          <w:rFonts w:ascii="Verdana" w:hAnsi="Verdana"/>
          <w:bCs/>
          <w:sz w:val="20"/>
        </w:rPr>
        <w:t xml:space="preserve"> homólogo.</w:t>
      </w:r>
    </w:p>
    <w:p w:rsidR="004C26A7" w:rsidRPr="004C26A7" w:rsidRDefault="004C26A7" w:rsidP="004C26A7">
      <w:pPr>
        <w:jc w:val="both"/>
        <w:rPr>
          <w:rFonts w:ascii="Verdana" w:hAnsi="Verdana"/>
          <w:bCs/>
          <w:sz w:val="20"/>
        </w:rPr>
      </w:pPr>
      <w:r w:rsidRPr="004C26A7">
        <w:rPr>
          <w:rFonts w:ascii="Verdana" w:hAnsi="Verdana"/>
          <w:bCs/>
          <w:sz w:val="20"/>
        </w:rPr>
        <w:t>El procedimiento anteriormente referido se llevará a cabo debiéndose ejecutar cada etapa íntegramente. En caso de no cumplirse, por causa atribuible a la Autoridad Municipal, la Comisión Nacional desechará el procedimiento, situación que será notificada mediante oficio. Asimismo, la implementación del Programa se sujetará a las cargas de trabajo y presupuesto de la Comisión Nacional.</w:t>
      </w:r>
    </w:p>
    <w:p w:rsidR="004C26A7" w:rsidRPr="004C26A7" w:rsidRDefault="004C26A7" w:rsidP="004C26A7">
      <w:pPr>
        <w:jc w:val="both"/>
        <w:rPr>
          <w:rFonts w:ascii="Verdana" w:hAnsi="Verdana"/>
          <w:bCs/>
          <w:sz w:val="20"/>
        </w:rPr>
      </w:pPr>
      <w:r w:rsidRPr="004C26A7">
        <w:rPr>
          <w:rFonts w:ascii="Verdana" w:hAnsi="Verdana"/>
          <w:b/>
          <w:bCs/>
          <w:sz w:val="20"/>
        </w:rPr>
        <w:lastRenderedPageBreak/>
        <w:t>DÉCIMO CUARTO.</w:t>
      </w:r>
      <w:r w:rsidRPr="004C26A7">
        <w:rPr>
          <w:rFonts w:ascii="Verdana" w:hAnsi="Verdana"/>
          <w:bCs/>
          <w:sz w:val="20"/>
        </w:rPr>
        <w:t> A solicitud de la Autoridad Municipal, la Comisión Nacional podrá practicar visitas </w:t>
      </w:r>
      <w:r w:rsidRPr="004C26A7">
        <w:rPr>
          <w:rFonts w:ascii="Verdana" w:hAnsi="Verdana"/>
          <w:bCs/>
          <w:i/>
          <w:iCs/>
          <w:sz w:val="20"/>
        </w:rPr>
        <w:t>in</w:t>
      </w:r>
      <w:r w:rsidRPr="004C26A7">
        <w:rPr>
          <w:rFonts w:ascii="Verdana" w:hAnsi="Verdana"/>
          <w:bCs/>
          <w:sz w:val="20"/>
        </w:rPr>
        <w:t> </w:t>
      </w:r>
      <w:r w:rsidRPr="004C26A7">
        <w:rPr>
          <w:rFonts w:ascii="Verdana" w:hAnsi="Verdana"/>
          <w:bCs/>
          <w:i/>
          <w:iCs/>
          <w:sz w:val="20"/>
        </w:rPr>
        <w:t>situ</w:t>
      </w:r>
      <w:r w:rsidRPr="004C26A7">
        <w:rPr>
          <w:rFonts w:ascii="Verdana" w:hAnsi="Verdana"/>
          <w:bCs/>
          <w:sz w:val="20"/>
        </w:rPr>
        <w:t> a fin de verificar el cumplimiento del PROSARE conforme a los presentes lineamientos. Al término de la visita se levantará un acta debidamente circunstanciada, y en su caso, se podrá llevar a cabo una reevaluación conforme a lo establecido en el lineamiento Décimo Primero de este Instrumento. De darse el supuesto de no cumplir con los criterios establecidos para la obtención del Certificado PROSARE, la Autoridad Municipal podrá solicitar nuevamente el Certificado PROSARE pasados tres meses desde la fecha en que se obtuvo el último resultado.</w:t>
      </w:r>
    </w:p>
    <w:p w:rsidR="004C26A7" w:rsidRPr="004C26A7" w:rsidRDefault="004C26A7" w:rsidP="004C26A7">
      <w:pPr>
        <w:jc w:val="both"/>
        <w:rPr>
          <w:rFonts w:ascii="Verdana" w:hAnsi="Verdana"/>
          <w:bCs/>
          <w:sz w:val="20"/>
        </w:rPr>
      </w:pPr>
      <w:r w:rsidRPr="004C26A7">
        <w:rPr>
          <w:rFonts w:ascii="Verdana" w:hAnsi="Verdana"/>
          <w:bCs/>
          <w:sz w:val="20"/>
        </w:rPr>
        <w:t>Las cifras referidas en el reporte mensual de monitoreo y seguimiento deben estar sustentadas en los registros administrativos de la Autoridad Municipal correspondientes a cada Ventanilla Única.</w:t>
      </w:r>
    </w:p>
    <w:p w:rsidR="004C26A7" w:rsidRPr="004C26A7" w:rsidRDefault="004C26A7" w:rsidP="004C26A7">
      <w:pPr>
        <w:jc w:val="both"/>
        <w:rPr>
          <w:rFonts w:ascii="Verdana" w:hAnsi="Verdana"/>
          <w:bCs/>
          <w:sz w:val="20"/>
        </w:rPr>
      </w:pPr>
      <w:r w:rsidRPr="004C26A7">
        <w:rPr>
          <w:rFonts w:ascii="Verdana" w:hAnsi="Verdana"/>
          <w:b/>
          <w:bCs/>
          <w:sz w:val="20"/>
        </w:rPr>
        <w:t>DÉCIMO QUINTO.</w:t>
      </w:r>
      <w:r w:rsidRPr="004C26A7">
        <w:rPr>
          <w:rFonts w:ascii="Verdana" w:hAnsi="Verdana"/>
          <w:bCs/>
          <w:sz w:val="20"/>
        </w:rPr>
        <w:t> El Certificado PROSARE estará sujeto a las siguientes causas de revocación:</w:t>
      </w:r>
    </w:p>
    <w:p w:rsidR="004C26A7" w:rsidRPr="004C26A7" w:rsidRDefault="004C26A7" w:rsidP="004C26A7">
      <w:pPr>
        <w:jc w:val="both"/>
        <w:rPr>
          <w:rFonts w:ascii="Verdana" w:hAnsi="Verdana"/>
          <w:bCs/>
          <w:sz w:val="20"/>
        </w:rPr>
      </w:pPr>
      <w:r w:rsidRPr="004C26A7">
        <w:rPr>
          <w:rFonts w:ascii="Verdana" w:hAnsi="Verdana"/>
          <w:b/>
          <w:bCs/>
          <w:sz w:val="20"/>
        </w:rPr>
        <w:t>I.</w:t>
      </w:r>
      <w:r w:rsidRPr="004C26A7">
        <w:rPr>
          <w:rFonts w:ascii="Verdana" w:hAnsi="Verdana"/>
          <w:bCs/>
          <w:sz w:val="20"/>
        </w:rPr>
        <w:t>        Modificación o eliminación parcial o total de alguna regulación, trámite o servicio que contravenga los estándares mínimos de mejora regulatoria establecidos en el lineamiento tercero del presente instrumento, y</w:t>
      </w:r>
    </w:p>
    <w:p w:rsidR="004C26A7" w:rsidRPr="004C26A7" w:rsidRDefault="004C26A7" w:rsidP="004C26A7">
      <w:pPr>
        <w:jc w:val="both"/>
        <w:rPr>
          <w:rFonts w:ascii="Verdana" w:hAnsi="Verdana"/>
          <w:bCs/>
          <w:sz w:val="20"/>
        </w:rPr>
      </w:pPr>
      <w:r w:rsidRPr="004C26A7">
        <w:rPr>
          <w:rFonts w:ascii="Verdana" w:hAnsi="Verdana"/>
          <w:b/>
          <w:bCs/>
          <w:sz w:val="20"/>
        </w:rPr>
        <w:t>II.</w:t>
      </w:r>
      <w:r w:rsidRPr="004C26A7">
        <w:rPr>
          <w:rFonts w:ascii="Verdana" w:hAnsi="Verdana"/>
          <w:bCs/>
          <w:sz w:val="20"/>
        </w:rPr>
        <w:t>       Creación de una regulación, trámite o servicio relacionado con la Autorización, que contravenga los estándares mínimos de mejora regulatoria establecidos en el lineamiento tercero del presente instrumento.</w:t>
      </w:r>
    </w:p>
    <w:p w:rsidR="004C26A7" w:rsidRPr="004C26A7" w:rsidRDefault="004C26A7" w:rsidP="004C26A7">
      <w:pPr>
        <w:jc w:val="both"/>
        <w:rPr>
          <w:rFonts w:ascii="Verdana" w:hAnsi="Verdana"/>
          <w:b/>
          <w:bCs/>
          <w:sz w:val="20"/>
        </w:rPr>
      </w:pPr>
      <w:r w:rsidRPr="004C26A7">
        <w:rPr>
          <w:rFonts w:ascii="Verdana" w:hAnsi="Verdana"/>
          <w:b/>
          <w:bCs/>
          <w:sz w:val="20"/>
        </w:rPr>
        <w:t>TRANSITORIOS</w:t>
      </w:r>
    </w:p>
    <w:p w:rsidR="004C26A7" w:rsidRPr="004C26A7" w:rsidRDefault="004C26A7" w:rsidP="004C26A7">
      <w:pPr>
        <w:jc w:val="both"/>
        <w:rPr>
          <w:rFonts w:ascii="Verdana" w:hAnsi="Verdana"/>
          <w:bCs/>
          <w:sz w:val="20"/>
        </w:rPr>
      </w:pPr>
      <w:r w:rsidRPr="004C26A7">
        <w:rPr>
          <w:rFonts w:ascii="Verdana" w:hAnsi="Verdana"/>
          <w:b/>
          <w:bCs/>
          <w:sz w:val="20"/>
        </w:rPr>
        <w:t>PRIMERO.</w:t>
      </w:r>
      <w:r w:rsidRPr="004C26A7">
        <w:rPr>
          <w:rFonts w:ascii="Verdana" w:hAnsi="Verdana"/>
          <w:bCs/>
          <w:sz w:val="20"/>
        </w:rPr>
        <w:t> Los presentes Lineamientos entrarán en vigor el día siguiente de su publicación en el Diario Oficial de la Federación.</w:t>
      </w:r>
    </w:p>
    <w:p w:rsidR="004C26A7" w:rsidRPr="004C26A7" w:rsidRDefault="004C26A7" w:rsidP="004C26A7">
      <w:pPr>
        <w:jc w:val="both"/>
        <w:rPr>
          <w:rFonts w:ascii="Verdana" w:hAnsi="Verdana"/>
          <w:bCs/>
          <w:sz w:val="20"/>
        </w:rPr>
      </w:pPr>
      <w:r w:rsidRPr="004C26A7">
        <w:rPr>
          <w:rFonts w:ascii="Verdana" w:hAnsi="Verdana"/>
          <w:b/>
          <w:bCs/>
          <w:sz w:val="20"/>
        </w:rPr>
        <w:t>SEGUNDO.</w:t>
      </w:r>
      <w:r w:rsidRPr="004C26A7">
        <w:rPr>
          <w:rFonts w:ascii="Verdana" w:hAnsi="Verdana"/>
          <w:bCs/>
          <w:sz w:val="20"/>
        </w:rPr>
        <w:t> La Comisión Nacional dará a conocer el Catálogo de Giros de Bajo Riesgo, así como los formatos de reporte mensual de monitoreo y seguimiento, carta de intención del SARE, formato de solicitud SARE, carta de intención del PROSARE y formato de solicitud de certificación PROSARE referidos respectivamente bajo los "Anexo Uno", "Anexo Dos", "Anexo Tres", "Anexo Cuatro", "Anexo Cinco" y "Anexo Seis" en estos Lineamientos, en su sitio de Internet en un plazo máximo de cinco días hábiles siguientes al inicio de su vigencia.</w:t>
      </w:r>
    </w:p>
    <w:p w:rsidR="004C26A7" w:rsidRPr="004C26A7" w:rsidRDefault="004C26A7" w:rsidP="004C26A7">
      <w:pPr>
        <w:jc w:val="both"/>
        <w:rPr>
          <w:rFonts w:ascii="Verdana" w:hAnsi="Verdana"/>
          <w:bCs/>
          <w:sz w:val="20"/>
        </w:rPr>
      </w:pPr>
      <w:r w:rsidRPr="004C26A7">
        <w:rPr>
          <w:rFonts w:ascii="Verdana" w:hAnsi="Verdana"/>
          <w:b/>
          <w:bCs/>
          <w:sz w:val="20"/>
        </w:rPr>
        <w:t>TERCERO. </w:t>
      </w:r>
      <w:r w:rsidRPr="004C26A7">
        <w:rPr>
          <w:rFonts w:ascii="Verdana" w:hAnsi="Verdana"/>
          <w:bCs/>
          <w:sz w:val="20"/>
        </w:rPr>
        <w:t>Una vez que el presente Instrumento entre en vigor, la Comisión Nacional publicará en su página de Internet el listado oficial de aquellos municipios del país y alcaldías que hayan obtenido el Certificado SARE y/o Certificado PROSARE conforme a estos lineamientos.</w:t>
      </w:r>
    </w:p>
    <w:p w:rsidR="004C26A7" w:rsidRPr="004C26A7" w:rsidRDefault="004C26A7" w:rsidP="004C26A7">
      <w:pPr>
        <w:jc w:val="both"/>
        <w:rPr>
          <w:rFonts w:ascii="Verdana" w:hAnsi="Verdana"/>
          <w:bCs/>
          <w:sz w:val="20"/>
        </w:rPr>
      </w:pPr>
      <w:r w:rsidRPr="004C26A7">
        <w:rPr>
          <w:rFonts w:ascii="Verdana" w:hAnsi="Verdana"/>
          <w:b/>
          <w:bCs/>
          <w:sz w:val="20"/>
        </w:rPr>
        <w:t>CUARTO. </w:t>
      </w:r>
      <w:r w:rsidRPr="004C26A7">
        <w:rPr>
          <w:rFonts w:ascii="Verdana" w:hAnsi="Verdana"/>
          <w:bCs/>
          <w:sz w:val="20"/>
        </w:rPr>
        <w:t>Las Autoridades Municipales que previo a la emisión de los presentes lineamientos cuenten con un Certificado SARE y/o Certificado PROSARE vigentes, conforme al ACUERDO por el que se establecen los Lineamientos del Sistema de Apertura Rápida de Empresas (SARE) y del Programa de Reconocimiento y Operación del SARE (PROSARE) publicado el 4 de octubre de 2016 en el Diario Oficial de la Federación, continuarán con la vigencia establecida en los certificados correspondientes.</w:t>
      </w:r>
    </w:p>
    <w:p w:rsidR="004C26A7" w:rsidRPr="004C26A7" w:rsidRDefault="004C26A7" w:rsidP="004C26A7">
      <w:pPr>
        <w:jc w:val="both"/>
        <w:rPr>
          <w:rFonts w:ascii="Verdana" w:hAnsi="Verdana"/>
          <w:bCs/>
          <w:sz w:val="20"/>
        </w:rPr>
      </w:pPr>
      <w:r w:rsidRPr="004C26A7">
        <w:rPr>
          <w:rFonts w:ascii="Verdana" w:hAnsi="Verdana"/>
          <w:b/>
          <w:bCs/>
          <w:sz w:val="20"/>
        </w:rPr>
        <w:lastRenderedPageBreak/>
        <w:t>QUINTO. </w:t>
      </w:r>
      <w:r w:rsidRPr="004C26A7">
        <w:rPr>
          <w:rFonts w:ascii="Verdana" w:hAnsi="Verdana"/>
          <w:bCs/>
          <w:sz w:val="20"/>
        </w:rPr>
        <w:t>Se abroga el ACUERDO por el que se establecen los Lineamientos del Sistema de Apertura Rápida de Empresas (SARE) y del Programa de Reconocimiento y Operación del SARE (PROSARE) publicado el 4 de octubre de 2016 en el Diario Oficial de la Federación.</w:t>
      </w:r>
    </w:p>
    <w:p w:rsidR="004C26A7" w:rsidRPr="004C26A7" w:rsidRDefault="004C26A7" w:rsidP="004C26A7">
      <w:pPr>
        <w:jc w:val="both"/>
        <w:rPr>
          <w:rFonts w:ascii="Verdana" w:hAnsi="Verdana"/>
          <w:bCs/>
          <w:sz w:val="20"/>
        </w:rPr>
      </w:pPr>
      <w:r w:rsidRPr="004C26A7">
        <w:rPr>
          <w:rFonts w:ascii="Verdana" w:hAnsi="Verdana"/>
          <w:bCs/>
          <w:sz w:val="20"/>
        </w:rPr>
        <w:t>Atentamente</w:t>
      </w:r>
    </w:p>
    <w:p w:rsidR="004C26A7" w:rsidRPr="004C26A7" w:rsidRDefault="004C26A7" w:rsidP="004C26A7">
      <w:pPr>
        <w:jc w:val="both"/>
        <w:rPr>
          <w:rFonts w:ascii="Verdana" w:hAnsi="Verdana"/>
          <w:bCs/>
          <w:sz w:val="20"/>
        </w:rPr>
      </w:pPr>
      <w:r w:rsidRPr="004C26A7">
        <w:rPr>
          <w:rFonts w:ascii="Verdana" w:hAnsi="Verdana"/>
          <w:bCs/>
          <w:sz w:val="20"/>
        </w:rPr>
        <w:t>Ciudad de México, a 16 de mayo de 2019.- El Comisionado de la Comisión Nacional de Mejora Regulatoria, </w:t>
      </w:r>
      <w:r w:rsidRPr="004C26A7">
        <w:rPr>
          <w:rFonts w:ascii="Verdana" w:hAnsi="Verdana"/>
          <w:b/>
          <w:bCs/>
          <w:sz w:val="20"/>
        </w:rPr>
        <w:t>César Emiliano Hernández Ochoa</w:t>
      </w:r>
      <w:r w:rsidRPr="004C26A7">
        <w:rPr>
          <w:rFonts w:ascii="Verdana" w:hAnsi="Verdana"/>
          <w:bCs/>
          <w:sz w:val="20"/>
        </w:rPr>
        <w:t>.- Rúbrica.</w:t>
      </w:r>
    </w:p>
    <w:p w:rsidR="0020025D" w:rsidRPr="0020025D" w:rsidRDefault="0020025D" w:rsidP="0020025D">
      <w:pPr>
        <w:jc w:val="both"/>
        <w:rPr>
          <w:rFonts w:ascii="Verdana" w:hAnsi="Verdana"/>
          <w:bCs/>
          <w:sz w:val="20"/>
        </w:rPr>
      </w:pPr>
      <w:bookmarkStart w:id="0" w:name="_GoBack"/>
      <w:bookmarkEnd w:id="0"/>
    </w:p>
    <w:p w:rsidR="00BF3AEB" w:rsidRDefault="004C26A7"/>
    <w:sectPr w:rsidR="00BF3A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25D"/>
    <w:rsid w:val="0020025D"/>
    <w:rsid w:val="002228FA"/>
    <w:rsid w:val="004C26A7"/>
    <w:rsid w:val="00AE5A41"/>
    <w:rsid w:val="00C06C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7995">
      <w:bodyDiv w:val="1"/>
      <w:marLeft w:val="0"/>
      <w:marRight w:val="0"/>
      <w:marTop w:val="0"/>
      <w:marBottom w:val="0"/>
      <w:divBdr>
        <w:top w:val="none" w:sz="0" w:space="0" w:color="auto"/>
        <w:left w:val="none" w:sz="0" w:space="0" w:color="auto"/>
        <w:bottom w:val="none" w:sz="0" w:space="0" w:color="auto"/>
        <w:right w:val="none" w:sz="0" w:space="0" w:color="auto"/>
      </w:divBdr>
      <w:divsChild>
        <w:div w:id="1626697123">
          <w:marLeft w:val="0"/>
          <w:marRight w:val="0"/>
          <w:marTop w:val="0"/>
          <w:marBottom w:val="84"/>
          <w:divBdr>
            <w:top w:val="none" w:sz="0" w:space="0" w:color="auto"/>
            <w:left w:val="none" w:sz="0" w:space="0" w:color="auto"/>
            <w:bottom w:val="none" w:sz="0" w:space="0" w:color="auto"/>
            <w:right w:val="none" w:sz="0" w:space="0" w:color="auto"/>
          </w:divBdr>
        </w:div>
        <w:div w:id="1108621064">
          <w:marLeft w:val="0"/>
          <w:marRight w:val="0"/>
          <w:marTop w:val="101"/>
          <w:marBottom w:val="84"/>
          <w:divBdr>
            <w:top w:val="none" w:sz="0" w:space="0" w:color="auto"/>
            <w:left w:val="none" w:sz="0" w:space="0" w:color="auto"/>
            <w:bottom w:val="none" w:sz="0" w:space="0" w:color="auto"/>
            <w:right w:val="none" w:sz="0" w:space="0" w:color="auto"/>
          </w:divBdr>
        </w:div>
        <w:div w:id="1346637840">
          <w:marLeft w:val="0"/>
          <w:marRight w:val="0"/>
          <w:marTop w:val="0"/>
          <w:marBottom w:val="84"/>
          <w:divBdr>
            <w:top w:val="none" w:sz="0" w:space="0" w:color="auto"/>
            <w:left w:val="none" w:sz="0" w:space="0" w:color="auto"/>
            <w:bottom w:val="none" w:sz="0" w:space="0" w:color="auto"/>
            <w:right w:val="none" w:sz="0" w:space="0" w:color="auto"/>
          </w:divBdr>
        </w:div>
        <w:div w:id="1065227077">
          <w:marLeft w:val="0"/>
          <w:marRight w:val="0"/>
          <w:marTop w:val="0"/>
          <w:marBottom w:val="84"/>
          <w:divBdr>
            <w:top w:val="none" w:sz="0" w:space="0" w:color="auto"/>
            <w:left w:val="none" w:sz="0" w:space="0" w:color="auto"/>
            <w:bottom w:val="none" w:sz="0" w:space="0" w:color="auto"/>
            <w:right w:val="none" w:sz="0" w:space="0" w:color="auto"/>
          </w:divBdr>
        </w:div>
        <w:div w:id="963852560">
          <w:marLeft w:val="0"/>
          <w:marRight w:val="0"/>
          <w:marTop w:val="0"/>
          <w:marBottom w:val="84"/>
          <w:divBdr>
            <w:top w:val="none" w:sz="0" w:space="0" w:color="auto"/>
            <w:left w:val="none" w:sz="0" w:space="0" w:color="auto"/>
            <w:bottom w:val="none" w:sz="0" w:space="0" w:color="auto"/>
            <w:right w:val="none" w:sz="0" w:space="0" w:color="auto"/>
          </w:divBdr>
        </w:div>
        <w:div w:id="1126778487">
          <w:marLeft w:val="0"/>
          <w:marRight w:val="0"/>
          <w:marTop w:val="0"/>
          <w:marBottom w:val="84"/>
          <w:divBdr>
            <w:top w:val="none" w:sz="0" w:space="0" w:color="auto"/>
            <w:left w:val="none" w:sz="0" w:space="0" w:color="auto"/>
            <w:bottom w:val="none" w:sz="0" w:space="0" w:color="auto"/>
            <w:right w:val="none" w:sz="0" w:space="0" w:color="auto"/>
          </w:divBdr>
        </w:div>
        <w:div w:id="1621565280">
          <w:marLeft w:val="0"/>
          <w:marRight w:val="0"/>
          <w:marTop w:val="0"/>
          <w:marBottom w:val="84"/>
          <w:divBdr>
            <w:top w:val="none" w:sz="0" w:space="0" w:color="auto"/>
            <w:left w:val="none" w:sz="0" w:space="0" w:color="auto"/>
            <w:bottom w:val="none" w:sz="0" w:space="0" w:color="auto"/>
            <w:right w:val="none" w:sz="0" w:space="0" w:color="auto"/>
          </w:divBdr>
        </w:div>
        <w:div w:id="1233662010">
          <w:marLeft w:val="0"/>
          <w:marRight w:val="0"/>
          <w:marTop w:val="0"/>
          <w:marBottom w:val="84"/>
          <w:divBdr>
            <w:top w:val="none" w:sz="0" w:space="0" w:color="auto"/>
            <w:left w:val="none" w:sz="0" w:space="0" w:color="auto"/>
            <w:bottom w:val="none" w:sz="0" w:space="0" w:color="auto"/>
            <w:right w:val="none" w:sz="0" w:space="0" w:color="auto"/>
          </w:divBdr>
        </w:div>
        <w:div w:id="697196260">
          <w:marLeft w:val="0"/>
          <w:marRight w:val="0"/>
          <w:marTop w:val="0"/>
          <w:marBottom w:val="84"/>
          <w:divBdr>
            <w:top w:val="none" w:sz="0" w:space="0" w:color="auto"/>
            <w:left w:val="none" w:sz="0" w:space="0" w:color="auto"/>
            <w:bottom w:val="none" w:sz="0" w:space="0" w:color="auto"/>
            <w:right w:val="none" w:sz="0" w:space="0" w:color="auto"/>
          </w:divBdr>
        </w:div>
        <w:div w:id="2033412811">
          <w:marLeft w:val="0"/>
          <w:marRight w:val="0"/>
          <w:marTop w:val="0"/>
          <w:marBottom w:val="84"/>
          <w:divBdr>
            <w:top w:val="none" w:sz="0" w:space="0" w:color="auto"/>
            <w:left w:val="none" w:sz="0" w:space="0" w:color="auto"/>
            <w:bottom w:val="none" w:sz="0" w:space="0" w:color="auto"/>
            <w:right w:val="none" w:sz="0" w:space="0" w:color="auto"/>
          </w:divBdr>
        </w:div>
        <w:div w:id="407967273">
          <w:marLeft w:val="0"/>
          <w:marRight w:val="0"/>
          <w:marTop w:val="0"/>
          <w:marBottom w:val="84"/>
          <w:divBdr>
            <w:top w:val="none" w:sz="0" w:space="0" w:color="auto"/>
            <w:left w:val="none" w:sz="0" w:space="0" w:color="auto"/>
            <w:bottom w:val="none" w:sz="0" w:space="0" w:color="auto"/>
            <w:right w:val="none" w:sz="0" w:space="0" w:color="auto"/>
          </w:divBdr>
        </w:div>
        <w:div w:id="594099834">
          <w:marLeft w:val="0"/>
          <w:marRight w:val="0"/>
          <w:marTop w:val="0"/>
          <w:marBottom w:val="84"/>
          <w:divBdr>
            <w:top w:val="none" w:sz="0" w:space="0" w:color="auto"/>
            <w:left w:val="none" w:sz="0" w:space="0" w:color="auto"/>
            <w:bottom w:val="none" w:sz="0" w:space="0" w:color="auto"/>
            <w:right w:val="none" w:sz="0" w:space="0" w:color="auto"/>
          </w:divBdr>
        </w:div>
        <w:div w:id="1608080385">
          <w:marLeft w:val="0"/>
          <w:marRight w:val="0"/>
          <w:marTop w:val="0"/>
          <w:marBottom w:val="84"/>
          <w:divBdr>
            <w:top w:val="none" w:sz="0" w:space="0" w:color="auto"/>
            <w:left w:val="none" w:sz="0" w:space="0" w:color="auto"/>
            <w:bottom w:val="none" w:sz="0" w:space="0" w:color="auto"/>
            <w:right w:val="none" w:sz="0" w:space="0" w:color="auto"/>
          </w:divBdr>
        </w:div>
        <w:div w:id="1015769518">
          <w:marLeft w:val="0"/>
          <w:marRight w:val="0"/>
          <w:marTop w:val="0"/>
          <w:marBottom w:val="94"/>
          <w:divBdr>
            <w:top w:val="none" w:sz="0" w:space="0" w:color="auto"/>
            <w:left w:val="none" w:sz="0" w:space="0" w:color="auto"/>
            <w:bottom w:val="none" w:sz="0" w:space="0" w:color="auto"/>
            <w:right w:val="none" w:sz="0" w:space="0" w:color="auto"/>
          </w:divBdr>
        </w:div>
        <w:div w:id="1321230209">
          <w:marLeft w:val="0"/>
          <w:marRight w:val="0"/>
          <w:marTop w:val="101"/>
          <w:marBottom w:val="94"/>
          <w:divBdr>
            <w:top w:val="none" w:sz="0" w:space="0" w:color="auto"/>
            <w:left w:val="none" w:sz="0" w:space="0" w:color="auto"/>
            <w:bottom w:val="none" w:sz="0" w:space="0" w:color="auto"/>
            <w:right w:val="none" w:sz="0" w:space="0" w:color="auto"/>
          </w:divBdr>
        </w:div>
        <w:div w:id="2044477131">
          <w:marLeft w:val="0"/>
          <w:marRight w:val="0"/>
          <w:marTop w:val="0"/>
          <w:marBottom w:val="94"/>
          <w:divBdr>
            <w:top w:val="none" w:sz="0" w:space="0" w:color="auto"/>
            <w:left w:val="none" w:sz="0" w:space="0" w:color="auto"/>
            <w:bottom w:val="none" w:sz="0" w:space="0" w:color="auto"/>
            <w:right w:val="none" w:sz="0" w:space="0" w:color="auto"/>
          </w:divBdr>
        </w:div>
        <w:div w:id="183640252">
          <w:marLeft w:val="0"/>
          <w:marRight w:val="0"/>
          <w:marTop w:val="0"/>
          <w:marBottom w:val="94"/>
          <w:divBdr>
            <w:top w:val="none" w:sz="0" w:space="0" w:color="auto"/>
            <w:left w:val="none" w:sz="0" w:space="0" w:color="auto"/>
            <w:bottom w:val="none" w:sz="0" w:space="0" w:color="auto"/>
            <w:right w:val="none" w:sz="0" w:space="0" w:color="auto"/>
          </w:divBdr>
        </w:div>
        <w:div w:id="1447693349">
          <w:marLeft w:val="0"/>
          <w:marRight w:val="0"/>
          <w:marTop w:val="0"/>
          <w:marBottom w:val="94"/>
          <w:divBdr>
            <w:top w:val="none" w:sz="0" w:space="0" w:color="auto"/>
            <w:left w:val="none" w:sz="0" w:space="0" w:color="auto"/>
            <w:bottom w:val="none" w:sz="0" w:space="0" w:color="auto"/>
            <w:right w:val="none" w:sz="0" w:space="0" w:color="auto"/>
          </w:divBdr>
        </w:div>
        <w:div w:id="2038118520">
          <w:marLeft w:val="864"/>
          <w:marRight w:val="0"/>
          <w:marTop w:val="0"/>
          <w:marBottom w:val="94"/>
          <w:divBdr>
            <w:top w:val="none" w:sz="0" w:space="0" w:color="auto"/>
            <w:left w:val="none" w:sz="0" w:space="0" w:color="auto"/>
            <w:bottom w:val="none" w:sz="0" w:space="0" w:color="auto"/>
            <w:right w:val="none" w:sz="0" w:space="0" w:color="auto"/>
          </w:divBdr>
        </w:div>
        <w:div w:id="1622344692">
          <w:marLeft w:val="864"/>
          <w:marRight w:val="0"/>
          <w:marTop w:val="0"/>
          <w:marBottom w:val="94"/>
          <w:divBdr>
            <w:top w:val="none" w:sz="0" w:space="0" w:color="auto"/>
            <w:left w:val="none" w:sz="0" w:space="0" w:color="auto"/>
            <w:bottom w:val="none" w:sz="0" w:space="0" w:color="auto"/>
            <w:right w:val="none" w:sz="0" w:space="0" w:color="auto"/>
          </w:divBdr>
        </w:div>
        <w:div w:id="792135264">
          <w:marLeft w:val="864"/>
          <w:marRight w:val="0"/>
          <w:marTop w:val="0"/>
          <w:marBottom w:val="94"/>
          <w:divBdr>
            <w:top w:val="none" w:sz="0" w:space="0" w:color="auto"/>
            <w:left w:val="none" w:sz="0" w:space="0" w:color="auto"/>
            <w:bottom w:val="none" w:sz="0" w:space="0" w:color="auto"/>
            <w:right w:val="none" w:sz="0" w:space="0" w:color="auto"/>
          </w:divBdr>
        </w:div>
        <w:div w:id="408960950">
          <w:marLeft w:val="864"/>
          <w:marRight w:val="0"/>
          <w:marTop w:val="0"/>
          <w:marBottom w:val="94"/>
          <w:divBdr>
            <w:top w:val="none" w:sz="0" w:space="0" w:color="auto"/>
            <w:left w:val="none" w:sz="0" w:space="0" w:color="auto"/>
            <w:bottom w:val="none" w:sz="0" w:space="0" w:color="auto"/>
            <w:right w:val="none" w:sz="0" w:space="0" w:color="auto"/>
          </w:divBdr>
        </w:div>
        <w:div w:id="1001544986">
          <w:marLeft w:val="864"/>
          <w:marRight w:val="0"/>
          <w:marTop w:val="0"/>
          <w:marBottom w:val="94"/>
          <w:divBdr>
            <w:top w:val="none" w:sz="0" w:space="0" w:color="auto"/>
            <w:left w:val="none" w:sz="0" w:space="0" w:color="auto"/>
            <w:bottom w:val="none" w:sz="0" w:space="0" w:color="auto"/>
            <w:right w:val="none" w:sz="0" w:space="0" w:color="auto"/>
          </w:divBdr>
        </w:div>
        <w:div w:id="1438716315">
          <w:marLeft w:val="864"/>
          <w:marRight w:val="0"/>
          <w:marTop w:val="0"/>
          <w:marBottom w:val="94"/>
          <w:divBdr>
            <w:top w:val="none" w:sz="0" w:space="0" w:color="auto"/>
            <w:left w:val="none" w:sz="0" w:space="0" w:color="auto"/>
            <w:bottom w:val="none" w:sz="0" w:space="0" w:color="auto"/>
            <w:right w:val="none" w:sz="0" w:space="0" w:color="auto"/>
          </w:divBdr>
        </w:div>
        <w:div w:id="87893072">
          <w:marLeft w:val="864"/>
          <w:marRight w:val="0"/>
          <w:marTop w:val="0"/>
          <w:marBottom w:val="94"/>
          <w:divBdr>
            <w:top w:val="none" w:sz="0" w:space="0" w:color="auto"/>
            <w:left w:val="none" w:sz="0" w:space="0" w:color="auto"/>
            <w:bottom w:val="none" w:sz="0" w:space="0" w:color="auto"/>
            <w:right w:val="none" w:sz="0" w:space="0" w:color="auto"/>
          </w:divBdr>
        </w:div>
        <w:div w:id="675691238">
          <w:marLeft w:val="864"/>
          <w:marRight w:val="0"/>
          <w:marTop w:val="0"/>
          <w:marBottom w:val="94"/>
          <w:divBdr>
            <w:top w:val="none" w:sz="0" w:space="0" w:color="auto"/>
            <w:left w:val="none" w:sz="0" w:space="0" w:color="auto"/>
            <w:bottom w:val="none" w:sz="0" w:space="0" w:color="auto"/>
            <w:right w:val="none" w:sz="0" w:space="0" w:color="auto"/>
          </w:divBdr>
        </w:div>
        <w:div w:id="664094750">
          <w:marLeft w:val="864"/>
          <w:marRight w:val="0"/>
          <w:marTop w:val="0"/>
          <w:marBottom w:val="94"/>
          <w:divBdr>
            <w:top w:val="none" w:sz="0" w:space="0" w:color="auto"/>
            <w:left w:val="none" w:sz="0" w:space="0" w:color="auto"/>
            <w:bottom w:val="none" w:sz="0" w:space="0" w:color="auto"/>
            <w:right w:val="none" w:sz="0" w:space="0" w:color="auto"/>
          </w:divBdr>
        </w:div>
        <w:div w:id="1162817066">
          <w:marLeft w:val="864"/>
          <w:marRight w:val="0"/>
          <w:marTop w:val="0"/>
          <w:marBottom w:val="94"/>
          <w:divBdr>
            <w:top w:val="none" w:sz="0" w:space="0" w:color="auto"/>
            <w:left w:val="none" w:sz="0" w:space="0" w:color="auto"/>
            <w:bottom w:val="none" w:sz="0" w:space="0" w:color="auto"/>
            <w:right w:val="none" w:sz="0" w:space="0" w:color="auto"/>
          </w:divBdr>
        </w:div>
        <w:div w:id="348602198">
          <w:marLeft w:val="864"/>
          <w:marRight w:val="0"/>
          <w:marTop w:val="0"/>
          <w:marBottom w:val="84"/>
          <w:divBdr>
            <w:top w:val="none" w:sz="0" w:space="0" w:color="auto"/>
            <w:left w:val="none" w:sz="0" w:space="0" w:color="auto"/>
            <w:bottom w:val="none" w:sz="0" w:space="0" w:color="auto"/>
            <w:right w:val="none" w:sz="0" w:space="0" w:color="auto"/>
          </w:divBdr>
        </w:div>
        <w:div w:id="1601598819">
          <w:marLeft w:val="864"/>
          <w:marRight w:val="0"/>
          <w:marTop w:val="0"/>
          <w:marBottom w:val="84"/>
          <w:divBdr>
            <w:top w:val="none" w:sz="0" w:space="0" w:color="auto"/>
            <w:left w:val="none" w:sz="0" w:space="0" w:color="auto"/>
            <w:bottom w:val="none" w:sz="0" w:space="0" w:color="auto"/>
            <w:right w:val="none" w:sz="0" w:space="0" w:color="auto"/>
          </w:divBdr>
        </w:div>
        <w:div w:id="2095545362">
          <w:marLeft w:val="864"/>
          <w:marRight w:val="0"/>
          <w:marTop w:val="0"/>
          <w:marBottom w:val="101"/>
          <w:divBdr>
            <w:top w:val="none" w:sz="0" w:space="0" w:color="auto"/>
            <w:left w:val="none" w:sz="0" w:space="0" w:color="auto"/>
            <w:bottom w:val="none" w:sz="0" w:space="0" w:color="auto"/>
            <w:right w:val="none" w:sz="0" w:space="0" w:color="auto"/>
          </w:divBdr>
        </w:div>
        <w:div w:id="1847398876">
          <w:marLeft w:val="864"/>
          <w:marRight w:val="0"/>
          <w:marTop w:val="0"/>
          <w:marBottom w:val="101"/>
          <w:divBdr>
            <w:top w:val="none" w:sz="0" w:space="0" w:color="auto"/>
            <w:left w:val="none" w:sz="0" w:space="0" w:color="auto"/>
            <w:bottom w:val="none" w:sz="0" w:space="0" w:color="auto"/>
            <w:right w:val="none" w:sz="0" w:space="0" w:color="auto"/>
          </w:divBdr>
        </w:div>
        <w:div w:id="540358418">
          <w:marLeft w:val="864"/>
          <w:marRight w:val="0"/>
          <w:marTop w:val="0"/>
          <w:marBottom w:val="101"/>
          <w:divBdr>
            <w:top w:val="none" w:sz="0" w:space="0" w:color="auto"/>
            <w:left w:val="none" w:sz="0" w:space="0" w:color="auto"/>
            <w:bottom w:val="none" w:sz="0" w:space="0" w:color="auto"/>
            <w:right w:val="none" w:sz="0" w:space="0" w:color="auto"/>
          </w:divBdr>
        </w:div>
        <w:div w:id="1007052920">
          <w:marLeft w:val="864"/>
          <w:marRight w:val="0"/>
          <w:marTop w:val="0"/>
          <w:marBottom w:val="101"/>
          <w:divBdr>
            <w:top w:val="none" w:sz="0" w:space="0" w:color="auto"/>
            <w:left w:val="none" w:sz="0" w:space="0" w:color="auto"/>
            <w:bottom w:val="none" w:sz="0" w:space="0" w:color="auto"/>
            <w:right w:val="none" w:sz="0" w:space="0" w:color="auto"/>
          </w:divBdr>
        </w:div>
        <w:div w:id="1854419467">
          <w:marLeft w:val="864"/>
          <w:marRight w:val="0"/>
          <w:marTop w:val="0"/>
          <w:marBottom w:val="101"/>
          <w:divBdr>
            <w:top w:val="none" w:sz="0" w:space="0" w:color="auto"/>
            <w:left w:val="none" w:sz="0" w:space="0" w:color="auto"/>
            <w:bottom w:val="none" w:sz="0" w:space="0" w:color="auto"/>
            <w:right w:val="none" w:sz="0" w:space="0" w:color="auto"/>
          </w:divBdr>
        </w:div>
        <w:div w:id="2039886860">
          <w:marLeft w:val="0"/>
          <w:marRight w:val="0"/>
          <w:marTop w:val="0"/>
          <w:marBottom w:val="101"/>
          <w:divBdr>
            <w:top w:val="none" w:sz="0" w:space="0" w:color="auto"/>
            <w:left w:val="none" w:sz="0" w:space="0" w:color="auto"/>
            <w:bottom w:val="none" w:sz="0" w:space="0" w:color="auto"/>
            <w:right w:val="none" w:sz="0" w:space="0" w:color="auto"/>
          </w:divBdr>
        </w:div>
        <w:div w:id="1001933982">
          <w:marLeft w:val="0"/>
          <w:marRight w:val="0"/>
          <w:marTop w:val="0"/>
          <w:marBottom w:val="101"/>
          <w:divBdr>
            <w:top w:val="none" w:sz="0" w:space="0" w:color="auto"/>
            <w:left w:val="none" w:sz="0" w:space="0" w:color="auto"/>
            <w:bottom w:val="none" w:sz="0" w:space="0" w:color="auto"/>
            <w:right w:val="none" w:sz="0" w:space="0" w:color="auto"/>
          </w:divBdr>
        </w:div>
        <w:div w:id="1871146086">
          <w:marLeft w:val="864"/>
          <w:marRight w:val="0"/>
          <w:marTop w:val="0"/>
          <w:marBottom w:val="101"/>
          <w:divBdr>
            <w:top w:val="none" w:sz="0" w:space="0" w:color="auto"/>
            <w:left w:val="none" w:sz="0" w:space="0" w:color="auto"/>
            <w:bottom w:val="none" w:sz="0" w:space="0" w:color="auto"/>
            <w:right w:val="none" w:sz="0" w:space="0" w:color="auto"/>
          </w:divBdr>
        </w:div>
        <w:div w:id="482044258">
          <w:marLeft w:val="864"/>
          <w:marRight w:val="0"/>
          <w:marTop w:val="0"/>
          <w:marBottom w:val="101"/>
          <w:divBdr>
            <w:top w:val="none" w:sz="0" w:space="0" w:color="auto"/>
            <w:left w:val="none" w:sz="0" w:space="0" w:color="auto"/>
            <w:bottom w:val="none" w:sz="0" w:space="0" w:color="auto"/>
            <w:right w:val="none" w:sz="0" w:space="0" w:color="auto"/>
          </w:divBdr>
        </w:div>
        <w:div w:id="108932771">
          <w:marLeft w:val="864"/>
          <w:marRight w:val="0"/>
          <w:marTop w:val="0"/>
          <w:marBottom w:val="101"/>
          <w:divBdr>
            <w:top w:val="none" w:sz="0" w:space="0" w:color="auto"/>
            <w:left w:val="none" w:sz="0" w:space="0" w:color="auto"/>
            <w:bottom w:val="none" w:sz="0" w:space="0" w:color="auto"/>
            <w:right w:val="none" w:sz="0" w:space="0" w:color="auto"/>
          </w:divBdr>
        </w:div>
        <w:div w:id="833376114">
          <w:marLeft w:val="864"/>
          <w:marRight w:val="0"/>
          <w:marTop w:val="0"/>
          <w:marBottom w:val="101"/>
          <w:divBdr>
            <w:top w:val="none" w:sz="0" w:space="0" w:color="auto"/>
            <w:left w:val="none" w:sz="0" w:space="0" w:color="auto"/>
            <w:bottom w:val="none" w:sz="0" w:space="0" w:color="auto"/>
            <w:right w:val="none" w:sz="0" w:space="0" w:color="auto"/>
          </w:divBdr>
        </w:div>
        <w:div w:id="2065173154">
          <w:marLeft w:val="864"/>
          <w:marRight w:val="0"/>
          <w:marTop w:val="0"/>
          <w:marBottom w:val="101"/>
          <w:divBdr>
            <w:top w:val="none" w:sz="0" w:space="0" w:color="auto"/>
            <w:left w:val="none" w:sz="0" w:space="0" w:color="auto"/>
            <w:bottom w:val="none" w:sz="0" w:space="0" w:color="auto"/>
            <w:right w:val="none" w:sz="0" w:space="0" w:color="auto"/>
          </w:divBdr>
        </w:div>
        <w:div w:id="283007">
          <w:marLeft w:val="864"/>
          <w:marRight w:val="0"/>
          <w:marTop w:val="0"/>
          <w:marBottom w:val="101"/>
          <w:divBdr>
            <w:top w:val="none" w:sz="0" w:space="0" w:color="auto"/>
            <w:left w:val="none" w:sz="0" w:space="0" w:color="auto"/>
            <w:bottom w:val="none" w:sz="0" w:space="0" w:color="auto"/>
            <w:right w:val="none" w:sz="0" w:space="0" w:color="auto"/>
          </w:divBdr>
        </w:div>
        <w:div w:id="222564244">
          <w:marLeft w:val="864"/>
          <w:marRight w:val="0"/>
          <w:marTop w:val="0"/>
          <w:marBottom w:val="101"/>
          <w:divBdr>
            <w:top w:val="none" w:sz="0" w:space="0" w:color="auto"/>
            <w:left w:val="none" w:sz="0" w:space="0" w:color="auto"/>
            <w:bottom w:val="none" w:sz="0" w:space="0" w:color="auto"/>
            <w:right w:val="none" w:sz="0" w:space="0" w:color="auto"/>
          </w:divBdr>
        </w:div>
        <w:div w:id="504516387">
          <w:marLeft w:val="864"/>
          <w:marRight w:val="0"/>
          <w:marTop w:val="0"/>
          <w:marBottom w:val="101"/>
          <w:divBdr>
            <w:top w:val="none" w:sz="0" w:space="0" w:color="auto"/>
            <w:left w:val="none" w:sz="0" w:space="0" w:color="auto"/>
            <w:bottom w:val="none" w:sz="0" w:space="0" w:color="auto"/>
            <w:right w:val="none" w:sz="0" w:space="0" w:color="auto"/>
          </w:divBdr>
        </w:div>
        <w:div w:id="183860402">
          <w:marLeft w:val="864"/>
          <w:marRight w:val="0"/>
          <w:marTop w:val="0"/>
          <w:marBottom w:val="101"/>
          <w:divBdr>
            <w:top w:val="none" w:sz="0" w:space="0" w:color="auto"/>
            <w:left w:val="none" w:sz="0" w:space="0" w:color="auto"/>
            <w:bottom w:val="none" w:sz="0" w:space="0" w:color="auto"/>
            <w:right w:val="none" w:sz="0" w:space="0" w:color="auto"/>
          </w:divBdr>
        </w:div>
        <w:div w:id="1555657305">
          <w:marLeft w:val="864"/>
          <w:marRight w:val="0"/>
          <w:marTop w:val="0"/>
          <w:marBottom w:val="101"/>
          <w:divBdr>
            <w:top w:val="none" w:sz="0" w:space="0" w:color="auto"/>
            <w:left w:val="none" w:sz="0" w:space="0" w:color="auto"/>
            <w:bottom w:val="none" w:sz="0" w:space="0" w:color="auto"/>
            <w:right w:val="none" w:sz="0" w:space="0" w:color="auto"/>
          </w:divBdr>
        </w:div>
        <w:div w:id="2073457554">
          <w:marLeft w:val="864"/>
          <w:marRight w:val="0"/>
          <w:marTop w:val="0"/>
          <w:marBottom w:val="101"/>
          <w:divBdr>
            <w:top w:val="none" w:sz="0" w:space="0" w:color="auto"/>
            <w:left w:val="none" w:sz="0" w:space="0" w:color="auto"/>
            <w:bottom w:val="none" w:sz="0" w:space="0" w:color="auto"/>
            <w:right w:val="none" w:sz="0" w:space="0" w:color="auto"/>
          </w:divBdr>
        </w:div>
        <w:div w:id="1458378053">
          <w:marLeft w:val="864"/>
          <w:marRight w:val="0"/>
          <w:marTop w:val="0"/>
          <w:marBottom w:val="101"/>
          <w:divBdr>
            <w:top w:val="none" w:sz="0" w:space="0" w:color="auto"/>
            <w:left w:val="none" w:sz="0" w:space="0" w:color="auto"/>
            <w:bottom w:val="none" w:sz="0" w:space="0" w:color="auto"/>
            <w:right w:val="none" w:sz="0" w:space="0" w:color="auto"/>
          </w:divBdr>
        </w:div>
        <w:div w:id="310445084">
          <w:marLeft w:val="0"/>
          <w:marRight w:val="0"/>
          <w:marTop w:val="0"/>
          <w:marBottom w:val="84"/>
          <w:divBdr>
            <w:top w:val="none" w:sz="0" w:space="0" w:color="auto"/>
            <w:left w:val="none" w:sz="0" w:space="0" w:color="auto"/>
            <w:bottom w:val="none" w:sz="0" w:space="0" w:color="auto"/>
            <w:right w:val="none" w:sz="0" w:space="0" w:color="auto"/>
          </w:divBdr>
        </w:div>
        <w:div w:id="940067220">
          <w:marLeft w:val="0"/>
          <w:marRight w:val="0"/>
          <w:marTop w:val="0"/>
          <w:marBottom w:val="84"/>
          <w:divBdr>
            <w:top w:val="none" w:sz="0" w:space="0" w:color="auto"/>
            <w:left w:val="none" w:sz="0" w:space="0" w:color="auto"/>
            <w:bottom w:val="none" w:sz="0" w:space="0" w:color="auto"/>
            <w:right w:val="none" w:sz="0" w:space="0" w:color="auto"/>
          </w:divBdr>
        </w:div>
        <w:div w:id="1081684288">
          <w:marLeft w:val="864"/>
          <w:marRight w:val="0"/>
          <w:marTop w:val="0"/>
          <w:marBottom w:val="84"/>
          <w:divBdr>
            <w:top w:val="none" w:sz="0" w:space="0" w:color="auto"/>
            <w:left w:val="none" w:sz="0" w:space="0" w:color="auto"/>
            <w:bottom w:val="none" w:sz="0" w:space="0" w:color="auto"/>
            <w:right w:val="none" w:sz="0" w:space="0" w:color="auto"/>
          </w:divBdr>
        </w:div>
        <w:div w:id="1741518458">
          <w:marLeft w:val="864"/>
          <w:marRight w:val="0"/>
          <w:marTop w:val="0"/>
          <w:marBottom w:val="84"/>
          <w:divBdr>
            <w:top w:val="none" w:sz="0" w:space="0" w:color="auto"/>
            <w:left w:val="none" w:sz="0" w:space="0" w:color="auto"/>
            <w:bottom w:val="none" w:sz="0" w:space="0" w:color="auto"/>
            <w:right w:val="none" w:sz="0" w:space="0" w:color="auto"/>
          </w:divBdr>
        </w:div>
        <w:div w:id="1455950583">
          <w:marLeft w:val="864"/>
          <w:marRight w:val="0"/>
          <w:marTop w:val="0"/>
          <w:marBottom w:val="84"/>
          <w:divBdr>
            <w:top w:val="none" w:sz="0" w:space="0" w:color="auto"/>
            <w:left w:val="none" w:sz="0" w:space="0" w:color="auto"/>
            <w:bottom w:val="none" w:sz="0" w:space="0" w:color="auto"/>
            <w:right w:val="none" w:sz="0" w:space="0" w:color="auto"/>
          </w:divBdr>
        </w:div>
        <w:div w:id="753546791">
          <w:marLeft w:val="864"/>
          <w:marRight w:val="0"/>
          <w:marTop w:val="0"/>
          <w:marBottom w:val="84"/>
          <w:divBdr>
            <w:top w:val="none" w:sz="0" w:space="0" w:color="auto"/>
            <w:left w:val="none" w:sz="0" w:space="0" w:color="auto"/>
            <w:bottom w:val="none" w:sz="0" w:space="0" w:color="auto"/>
            <w:right w:val="none" w:sz="0" w:space="0" w:color="auto"/>
          </w:divBdr>
        </w:div>
        <w:div w:id="2124837759">
          <w:marLeft w:val="864"/>
          <w:marRight w:val="0"/>
          <w:marTop w:val="0"/>
          <w:marBottom w:val="84"/>
          <w:divBdr>
            <w:top w:val="none" w:sz="0" w:space="0" w:color="auto"/>
            <w:left w:val="none" w:sz="0" w:space="0" w:color="auto"/>
            <w:bottom w:val="none" w:sz="0" w:space="0" w:color="auto"/>
            <w:right w:val="none" w:sz="0" w:space="0" w:color="auto"/>
          </w:divBdr>
        </w:div>
        <w:div w:id="28996003">
          <w:marLeft w:val="0"/>
          <w:marRight w:val="0"/>
          <w:marTop w:val="0"/>
          <w:marBottom w:val="84"/>
          <w:divBdr>
            <w:top w:val="none" w:sz="0" w:space="0" w:color="auto"/>
            <w:left w:val="none" w:sz="0" w:space="0" w:color="auto"/>
            <w:bottom w:val="none" w:sz="0" w:space="0" w:color="auto"/>
            <w:right w:val="none" w:sz="0" w:space="0" w:color="auto"/>
          </w:divBdr>
        </w:div>
        <w:div w:id="417866654">
          <w:marLeft w:val="0"/>
          <w:marRight w:val="0"/>
          <w:marTop w:val="0"/>
          <w:marBottom w:val="84"/>
          <w:divBdr>
            <w:top w:val="none" w:sz="0" w:space="0" w:color="auto"/>
            <w:left w:val="none" w:sz="0" w:space="0" w:color="auto"/>
            <w:bottom w:val="none" w:sz="0" w:space="0" w:color="auto"/>
            <w:right w:val="none" w:sz="0" w:space="0" w:color="auto"/>
          </w:divBdr>
        </w:div>
        <w:div w:id="85807646">
          <w:marLeft w:val="0"/>
          <w:marRight w:val="0"/>
          <w:marTop w:val="0"/>
          <w:marBottom w:val="84"/>
          <w:divBdr>
            <w:top w:val="none" w:sz="0" w:space="0" w:color="auto"/>
            <w:left w:val="none" w:sz="0" w:space="0" w:color="auto"/>
            <w:bottom w:val="none" w:sz="0" w:space="0" w:color="auto"/>
            <w:right w:val="none" w:sz="0" w:space="0" w:color="auto"/>
          </w:divBdr>
        </w:div>
        <w:div w:id="1796409949">
          <w:marLeft w:val="0"/>
          <w:marRight w:val="0"/>
          <w:marTop w:val="0"/>
          <w:marBottom w:val="84"/>
          <w:divBdr>
            <w:top w:val="none" w:sz="0" w:space="0" w:color="auto"/>
            <w:left w:val="none" w:sz="0" w:space="0" w:color="auto"/>
            <w:bottom w:val="none" w:sz="0" w:space="0" w:color="auto"/>
            <w:right w:val="none" w:sz="0" w:space="0" w:color="auto"/>
          </w:divBdr>
        </w:div>
        <w:div w:id="449400783">
          <w:marLeft w:val="0"/>
          <w:marRight w:val="0"/>
          <w:marTop w:val="0"/>
          <w:marBottom w:val="84"/>
          <w:divBdr>
            <w:top w:val="none" w:sz="0" w:space="0" w:color="auto"/>
            <w:left w:val="none" w:sz="0" w:space="0" w:color="auto"/>
            <w:bottom w:val="none" w:sz="0" w:space="0" w:color="auto"/>
            <w:right w:val="none" w:sz="0" w:space="0" w:color="auto"/>
          </w:divBdr>
        </w:div>
        <w:div w:id="1447698107">
          <w:marLeft w:val="0"/>
          <w:marRight w:val="0"/>
          <w:marTop w:val="0"/>
          <w:marBottom w:val="84"/>
          <w:divBdr>
            <w:top w:val="none" w:sz="0" w:space="0" w:color="auto"/>
            <w:left w:val="none" w:sz="0" w:space="0" w:color="auto"/>
            <w:bottom w:val="none" w:sz="0" w:space="0" w:color="auto"/>
            <w:right w:val="none" w:sz="0" w:space="0" w:color="auto"/>
          </w:divBdr>
        </w:div>
        <w:div w:id="2060664809">
          <w:marLeft w:val="0"/>
          <w:marRight w:val="0"/>
          <w:marTop w:val="0"/>
          <w:marBottom w:val="84"/>
          <w:divBdr>
            <w:top w:val="none" w:sz="0" w:space="0" w:color="auto"/>
            <w:left w:val="none" w:sz="0" w:space="0" w:color="auto"/>
            <w:bottom w:val="none" w:sz="0" w:space="0" w:color="auto"/>
            <w:right w:val="none" w:sz="0" w:space="0" w:color="auto"/>
          </w:divBdr>
        </w:div>
        <w:div w:id="1780561214">
          <w:marLeft w:val="864"/>
          <w:marRight w:val="0"/>
          <w:marTop w:val="0"/>
          <w:marBottom w:val="84"/>
          <w:divBdr>
            <w:top w:val="none" w:sz="0" w:space="0" w:color="auto"/>
            <w:left w:val="none" w:sz="0" w:space="0" w:color="auto"/>
            <w:bottom w:val="none" w:sz="0" w:space="0" w:color="auto"/>
            <w:right w:val="none" w:sz="0" w:space="0" w:color="auto"/>
          </w:divBdr>
        </w:div>
        <w:div w:id="617446887">
          <w:marLeft w:val="864"/>
          <w:marRight w:val="0"/>
          <w:marTop w:val="0"/>
          <w:marBottom w:val="84"/>
          <w:divBdr>
            <w:top w:val="none" w:sz="0" w:space="0" w:color="auto"/>
            <w:left w:val="none" w:sz="0" w:space="0" w:color="auto"/>
            <w:bottom w:val="none" w:sz="0" w:space="0" w:color="auto"/>
            <w:right w:val="none" w:sz="0" w:space="0" w:color="auto"/>
          </w:divBdr>
        </w:div>
        <w:div w:id="864556418">
          <w:marLeft w:val="0"/>
          <w:marRight w:val="0"/>
          <w:marTop w:val="0"/>
          <w:marBottom w:val="84"/>
          <w:divBdr>
            <w:top w:val="none" w:sz="0" w:space="0" w:color="auto"/>
            <w:left w:val="none" w:sz="0" w:space="0" w:color="auto"/>
            <w:bottom w:val="none" w:sz="0" w:space="0" w:color="auto"/>
            <w:right w:val="none" w:sz="0" w:space="0" w:color="auto"/>
          </w:divBdr>
        </w:div>
        <w:div w:id="751122897">
          <w:marLeft w:val="0"/>
          <w:marRight w:val="0"/>
          <w:marTop w:val="0"/>
          <w:marBottom w:val="84"/>
          <w:divBdr>
            <w:top w:val="none" w:sz="0" w:space="0" w:color="auto"/>
            <w:left w:val="none" w:sz="0" w:space="0" w:color="auto"/>
            <w:bottom w:val="none" w:sz="0" w:space="0" w:color="auto"/>
            <w:right w:val="none" w:sz="0" w:space="0" w:color="auto"/>
          </w:divBdr>
        </w:div>
        <w:div w:id="796290519">
          <w:marLeft w:val="0"/>
          <w:marRight w:val="0"/>
          <w:marTop w:val="0"/>
          <w:marBottom w:val="84"/>
          <w:divBdr>
            <w:top w:val="none" w:sz="0" w:space="0" w:color="auto"/>
            <w:left w:val="none" w:sz="0" w:space="0" w:color="auto"/>
            <w:bottom w:val="none" w:sz="0" w:space="0" w:color="auto"/>
            <w:right w:val="none" w:sz="0" w:space="0" w:color="auto"/>
          </w:divBdr>
        </w:div>
        <w:div w:id="47191791">
          <w:marLeft w:val="864"/>
          <w:marRight w:val="0"/>
          <w:marTop w:val="0"/>
          <w:marBottom w:val="84"/>
          <w:divBdr>
            <w:top w:val="none" w:sz="0" w:space="0" w:color="auto"/>
            <w:left w:val="none" w:sz="0" w:space="0" w:color="auto"/>
            <w:bottom w:val="none" w:sz="0" w:space="0" w:color="auto"/>
            <w:right w:val="none" w:sz="0" w:space="0" w:color="auto"/>
          </w:divBdr>
        </w:div>
        <w:div w:id="1429689620">
          <w:marLeft w:val="864"/>
          <w:marRight w:val="0"/>
          <w:marTop w:val="0"/>
          <w:marBottom w:val="101"/>
          <w:divBdr>
            <w:top w:val="none" w:sz="0" w:space="0" w:color="auto"/>
            <w:left w:val="none" w:sz="0" w:space="0" w:color="auto"/>
            <w:bottom w:val="none" w:sz="0" w:space="0" w:color="auto"/>
            <w:right w:val="none" w:sz="0" w:space="0" w:color="auto"/>
          </w:divBdr>
        </w:div>
        <w:div w:id="178861832">
          <w:marLeft w:val="864"/>
          <w:marRight w:val="0"/>
          <w:marTop w:val="0"/>
          <w:marBottom w:val="101"/>
          <w:divBdr>
            <w:top w:val="none" w:sz="0" w:space="0" w:color="auto"/>
            <w:left w:val="none" w:sz="0" w:space="0" w:color="auto"/>
            <w:bottom w:val="none" w:sz="0" w:space="0" w:color="auto"/>
            <w:right w:val="none" w:sz="0" w:space="0" w:color="auto"/>
          </w:divBdr>
        </w:div>
        <w:div w:id="1331568726">
          <w:marLeft w:val="0"/>
          <w:marRight w:val="0"/>
          <w:marTop w:val="0"/>
          <w:marBottom w:val="101"/>
          <w:divBdr>
            <w:top w:val="none" w:sz="0" w:space="0" w:color="auto"/>
            <w:left w:val="none" w:sz="0" w:space="0" w:color="auto"/>
            <w:bottom w:val="none" w:sz="0" w:space="0" w:color="auto"/>
            <w:right w:val="none" w:sz="0" w:space="0" w:color="auto"/>
          </w:divBdr>
        </w:div>
        <w:div w:id="57095332">
          <w:marLeft w:val="0"/>
          <w:marRight w:val="0"/>
          <w:marTop w:val="0"/>
          <w:marBottom w:val="101"/>
          <w:divBdr>
            <w:top w:val="none" w:sz="0" w:space="0" w:color="auto"/>
            <w:left w:val="none" w:sz="0" w:space="0" w:color="auto"/>
            <w:bottom w:val="none" w:sz="0" w:space="0" w:color="auto"/>
            <w:right w:val="none" w:sz="0" w:space="0" w:color="auto"/>
          </w:divBdr>
        </w:div>
        <w:div w:id="313874912">
          <w:marLeft w:val="0"/>
          <w:marRight w:val="0"/>
          <w:marTop w:val="0"/>
          <w:marBottom w:val="101"/>
          <w:divBdr>
            <w:top w:val="none" w:sz="0" w:space="0" w:color="auto"/>
            <w:left w:val="none" w:sz="0" w:space="0" w:color="auto"/>
            <w:bottom w:val="none" w:sz="0" w:space="0" w:color="auto"/>
            <w:right w:val="none" w:sz="0" w:space="0" w:color="auto"/>
          </w:divBdr>
        </w:div>
        <w:div w:id="278073514">
          <w:marLeft w:val="0"/>
          <w:marRight w:val="0"/>
          <w:marTop w:val="0"/>
          <w:marBottom w:val="101"/>
          <w:divBdr>
            <w:top w:val="none" w:sz="0" w:space="0" w:color="auto"/>
            <w:left w:val="none" w:sz="0" w:space="0" w:color="auto"/>
            <w:bottom w:val="none" w:sz="0" w:space="0" w:color="auto"/>
            <w:right w:val="none" w:sz="0" w:space="0" w:color="auto"/>
          </w:divBdr>
        </w:div>
        <w:div w:id="1590701128">
          <w:marLeft w:val="0"/>
          <w:marRight w:val="0"/>
          <w:marTop w:val="0"/>
          <w:marBottom w:val="101"/>
          <w:divBdr>
            <w:top w:val="none" w:sz="0" w:space="0" w:color="auto"/>
            <w:left w:val="none" w:sz="0" w:space="0" w:color="auto"/>
            <w:bottom w:val="none" w:sz="0" w:space="0" w:color="auto"/>
            <w:right w:val="none" w:sz="0" w:space="0" w:color="auto"/>
          </w:divBdr>
        </w:div>
        <w:div w:id="1567257366">
          <w:marLeft w:val="0"/>
          <w:marRight w:val="0"/>
          <w:marTop w:val="0"/>
          <w:marBottom w:val="101"/>
          <w:divBdr>
            <w:top w:val="none" w:sz="0" w:space="0" w:color="auto"/>
            <w:left w:val="none" w:sz="0" w:space="0" w:color="auto"/>
            <w:bottom w:val="none" w:sz="0" w:space="0" w:color="auto"/>
            <w:right w:val="none" w:sz="0" w:space="0" w:color="auto"/>
          </w:divBdr>
        </w:div>
        <w:div w:id="805243948">
          <w:marLeft w:val="0"/>
          <w:marRight w:val="0"/>
          <w:marTop w:val="0"/>
          <w:marBottom w:val="101"/>
          <w:divBdr>
            <w:top w:val="none" w:sz="0" w:space="0" w:color="auto"/>
            <w:left w:val="none" w:sz="0" w:space="0" w:color="auto"/>
            <w:bottom w:val="none" w:sz="0" w:space="0" w:color="auto"/>
            <w:right w:val="none" w:sz="0" w:space="0" w:color="auto"/>
          </w:divBdr>
        </w:div>
        <w:div w:id="309526881">
          <w:marLeft w:val="0"/>
          <w:marRight w:val="0"/>
          <w:marTop w:val="0"/>
          <w:marBottom w:val="101"/>
          <w:divBdr>
            <w:top w:val="none" w:sz="0" w:space="0" w:color="auto"/>
            <w:left w:val="none" w:sz="0" w:space="0" w:color="auto"/>
            <w:bottom w:val="none" w:sz="0" w:space="0" w:color="auto"/>
            <w:right w:val="none" w:sz="0" w:space="0" w:color="auto"/>
          </w:divBdr>
        </w:div>
        <w:div w:id="23868970">
          <w:marLeft w:val="0"/>
          <w:marRight w:val="0"/>
          <w:marTop w:val="0"/>
          <w:marBottom w:val="101"/>
          <w:divBdr>
            <w:top w:val="none" w:sz="0" w:space="0" w:color="auto"/>
            <w:left w:val="none" w:sz="0" w:space="0" w:color="auto"/>
            <w:bottom w:val="none" w:sz="0" w:space="0" w:color="auto"/>
            <w:right w:val="none" w:sz="0" w:space="0" w:color="auto"/>
          </w:divBdr>
        </w:div>
        <w:div w:id="319776024">
          <w:marLeft w:val="0"/>
          <w:marRight w:val="0"/>
          <w:marTop w:val="0"/>
          <w:marBottom w:val="101"/>
          <w:divBdr>
            <w:top w:val="none" w:sz="0" w:space="0" w:color="auto"/>
            <w:left w:val="none" w:sz="0" w:space="0" w:color="auto"/>
            <w:bottom w:val="none" w:sz="0" w:space="0" w:color="auto"/>
            <w:right w:val="none" w:sz="0" w:space="0" w:color="auto"/>
          </w:divBdr>
        </w:div>
        <w:div w:id="26377340">
          <w:marLeft w:val="0"/>
          <w:marRight w:val="0"/>
          <w:marTop w:val="0"/>
          <w:marBottom w:val="101"/>
          <w:divBdr>
            <w:top w:val="none" w:sz="0" w:space="0" w:color="auto"/>
            <w:left w:val="none" w:sz="0" w:space="0" w:color="auto"/>
            <w:bottom w:val="none" w:sz="0" w:space="0" w:color="auto"/>
            <w:right w:val="none" w:sz="0" w:space="0" w:color="auto"/>
          </w:divBdr>
        </w:div>
        <w:div w:id="1173639635">
          <w:marLeft w:val="0"/>
          <w:marRight w:val="0"/>
          <w:marTop w:val="0"/>
          <w:marBottom w:val="101"/>
          <w:divBdr>
            <w:top w:val="none" w:sz="0" w:space="0" w:color="auto"/>
            <w:left w:val="none" w:sz="0" w:space="0" w:color="auto"/>
            <w:bottom w:val="none" w:sz="0" w:space="0" w:color="auto"/>
            <w:right w:val="none" w:sz="0" w:space="0" w:color="auto"/>
          </w:divBdr>
        </w:div>
        <w:div w:id="502160593">
          <w:marLeft w:val="0"/>
          <w:marRight w:val="0"/>
          <w:marTop w:val="0"/>
          <w:marBottom w:val="101"/>
          <w:divBdr>
            <w:top w:val="none" w:sz="0" w:space="0" w:color="auto"/>
            <w:left w:val="none" w:sz="0" w:space="0" w:color="auto"/>
            <w:bottom w:val="none" w:sz="0" w:space="0" w:color="auto"/>
            <w:right w:val="none" w:sz="0" w:space="0" w:color="auto"/>
          </w:divBdr>
        </w:div>
        <w:div w:id="1608391328">
          <w:marLeft w:val="0"/>
          <w:marRight w:val="0"/>
          <w:marTop w:val="0"/>
          <w:marBottom w:val="101"/>
          <w:divBdr>
            <w:top w:val="none" w:sz="0" w:space="0" w:color="auto"/>
            <w:left w:val="none" w:sz="0" w:space="0" w:color="auto"/>
            <w:bottom w:val="none" w:sz="0" w:space="0" w:color="auto"/>
            <w:right w:val="none" w:sz="0" w:space="0" w:color="auto"/>
          </w:divBdr>
        </w:div>
        <w:div w:id="1976214">
          <w:marLeft w:val="0"/>
          <w:marRight w:val="0"/>
          <w:marTop w:val="0"/>
          <w:marBottom w:val="101"/>
          <w:divBdr>
            <w:top w:val="none" w:sz="0" w:space="0" w:color="auto"/>
            <w:left w:val="none" w:sz="0" w:space="0" w:color="auto"/>
            <w:bottom w:val="none" w:sz="0" w:space="0" w:color="auto"/>
            <w:right w:val="none" w:sz="0" w:space="0" w:color="auto"/>
          </w:divBdr>
        </w:div>
        <w:div w:id="1081416169">
          <w:marLeft w:val="0"/>
          <w:marRight w:val="0"/>
          <w:marTop w:val="0"/>
          <w:marBottom w:val="101"/>
          <w:divBdr>
            <w:top w:val="none" w:sz="0" w:space="0" w:color="auto"/>
            <w:left w:val="none" w:sz="0" w:space="0" w:color="auto"/>
            <w:bottom w:val="none" w:sz="0" w:space="0" w:color="auto"/>
            <w:right w:val="none" w:sz="0" w:space="0" w:color="auto"/>
          </w:divBdr>
        </w:div>
        <w:div w:id="493254483">
          <w:marLeft w:val="0"/>
          <w:marRight w:val="0"/>
          <w:marTop w:val="0"/>
          <w:marBottom w:val="101"/>
          <w:divBdr>
            <w:top w:val="none" w:sz="0" w:space="0" w:color="auto"/>
            <w:left w:val="none" w:sz="0" w:space="0" w:color="auto"/>
            <w:bottom w:val="none" w:sz="0" w:space="0" w:color="auto"/>
            <w:right w:val="none" w:sz="0" w:space="0" w:color="auto"/>
          </w:divBdr>
        </w:div>
        <w:div w:id="1428311413">
          <w:marLeft w:val="0"/>
          <w:marRight w:val="0"/>
          <w:marTop w:val="0"/>
          <w:marBottom w:val="101"/>
          <w:divBdr>
            <w:top w:val="none" w:sz="0" w:space="0" w:color="auto"/>
            <w:left w:val="none" w:sz="0" w:space="0" w:color="auto"/>
            <w:bottom w:val="none" w:sz="0" w:space="0" w:color="auto"/>
            <w:right w:val="none" w:sz="0" w:space="0" w:color="auto"/>
          </w:divBdr>
        </w:div>
        <w:div w:id="264657070">
          <w:marLeft w:val="0"/>
          <w:marRight w:val="0"/>
          <w:marTop w:val="0"/>
          <w:marBottom w:val="101"/>
          <w:divBdr>
            <w:top w:val="none" w:sz="0" w:space="0" w:color="auto"/>
            <w:left w:val="none" w:sz="0" w:space="0" w:color="auto"/>
            <w:bottom w:val="none" w:sz="0" w:space="0" w:color="auto"/>
            <w:right w:val="none" w:sz="0" w:space="0" w:color="auto"/>
          </w:divBdr>
        </w:div>
        <w:div w:id="521820683">
          <w:marLeft w:val="0"/>
          <w:marRight w:val="0"/>
          <w:marTop w:val="0"/>
          <w:marBottom w:val="101"/>
          <w:divBdr>
            <w:top w:val="none" w:sz="0" w:space="0" w:color="auto"/>
            <w:left w:val="none" w:sz="0" w:space="0" w:color="auto"/>
            <w:bottom w:val="none" w:sz="0" w:space="0" w:color="auto"/>
            <w:right w:val="none" w:sz="0" w:space="0" w:color="auto"/>
          </w:divBdr>
        </w:div>
        <w:div w:id="2073505618">
          <w:marLeft w:val="0"/>
          <w:marRight w:val="0"/>
          <w:marTop w:val="0"/>
          <w:marBottom w:val="101"/>
          <w:divBdr>
            <w:top w:val="none" w:sz="0" w:space="0" w:color="auto"/>
            <w:left w:val="none" w:sz="0" w:space="0" w:color="auto"/>
            <w:bottom w:val="none" w:sz="0" w:space="0" w:color="auto"/>
            <w:right w:val="none" w:sz="0" w:space="0" w:color="auto"/>
          </w:divBdr>
        </w:div>
        <w:div w:id="1629626976">
          <w:marLeft w:val="0"/>
          <w:marRight w:val="0"/>
          <w:marTop w:val="0"/>
          <w:marBottom w:val="101"/>
          <w:divBdr>
            <w:top w:val="none" w:sz="0" w:space="0" w:color="auto"/>
            <w:left w:val="none" w:sz="0" w:space="0" w:color="auto"/>
            <w:bottom w:val="none" w:sz="0" w:space="0" w:color="auto"/>
            <w:right w:val="none" w:sz="0" w:space="0" w:color="auto"/>
          </w:divBdr>
        </w:div>
        <w:div w:id="1362705959">
          <w:marLeft w:val="0"/>
          <w:marRight w:val="0"/>
          <w:marTop w:val="0"/>
          <w:marBottom w:val="101"/>
          <w:divBdr>
            <w:top w:val="none" w:sz="0" w:space="0" w:color="auto"/>
            <w:left w:val="none" w:sz="0" w:space="0" w:color="auto"/>
            <w:bottom w:val="none" w:sz="0" w:space="0" w:color="auto"/>
            <w:right w:val="none" w:sz="0" w:space="0" w:color="auto"/>
          </w:divBdr>
        </w:div>
        <w:div w:id="1282112368">
          <w:marLeft w:val="0"/>
          <w:marRight w:val="0"/>
          <w:marTop w:val="0"/>
          <w:marBottom w:val="101"/>
          <w:divBdr>
            <w:top w:val="none" w:sz="0" w:space="0" w:color="auto"/>
            <w:left w:val="none" w:sz="0" w:space="0" w:color="auto"/>
            <w:bottom w:val="none" w:sz="0" w:space="0" w:color="auto"/>
            <w:right w:val="none" w:sz="0" w:space="0" w:color="auto"/>
          </w:divBdr>
        </w:div>
        <w:div w:id="663168029">
          <w:marLeft w:val="0"/>
          <w:marRight w:val="0"/>
          <w:marTop w:val="0"/>
          <w:marBottom w:val="101"/>
          <w:divBdr>
            <w:top w:val="none" w:sz="0" w:space="0" w:color="auto"/>
            <w:left w:val="none" w:sz="0" w:space="0" w:color="auto"/>
            <w:bottom w:val="none" w:sz="0" w:space="0" w:color="auto"/>
            <w:right w:val="none" w:sz="0" w:space="0" w:color="auto"/>
          </w:divBdr>
        </w:div>
        <w:div w:id="1898778512">
          <w:marLeft w:val="0"/>
          <w:marRight w:val="0"/>
          <w:marTop w:val="0"/>
          <w:marBottom w:val="101"/>
          <w:divBdr>
            <w:top w:val="none" w:sz="0" w:space="0" w:color="auto"/>
            <w:left w:val="none" w:sz="0" w:space="0" w:color="auto"/>
            <w:bottom w:val="none" w:sz="0" w:space="0" w:color="auto"/>
            <w:right w:val="none" w:sz="0" w:space="0" w:color="auto"/>
          </w:divBdr>
        </w:div>
        <w:div w:id="203910865">
          <w:marLeft w:val="864"/>
          <w:marRight w:val="0"/>
          <w:marTop w:val="0"/>
          <w:marBottom w:val="101"/>
          <w:divBdr>
            <w:top w:val="none" w:sz="0" w:space="0" w:color="auto"/>
            <w:left w:val="none" w:sz="0" w:space="0" w:color="auto"/>
            <w:bottom w:val="none" w:sz="0" w:space="0" w:color="auto"/>
            <w:right w:val="none" w:sz="0" w:space="0" w:color="auto"/>
          </w:divBdr>
        </w:div>
        <w:div w:id="1950502537">
          <w:marLeft w:val="864"/>
          <w:marRight w:val="0"/>
          <w:marTop w:val="0"/>
          <w:marBottom w:val="101"/>
          <w:divBdr>
            <w:top w:val="none" w:sz="0" w:space="0" w:color="auto"/>
            <w:left w:val="none" w:sz="0" w:space="0" w:color="auto"/>
            <w:bottom w:val="none" w:sz="0" w:space="0" w:color="auto"/>
            <w:right w:val="none" w:sz="0" w:space="0" w:color="auto"/>
          </w:divBdr>
        </w:div>
        <w:div w:id="1932005337">
          <w:marLeft w:val="864"/>
          <w:marRight w:val="0"/>
          <w:marTop w:val="0"/>
          <w:marBottom w:val="101"/>
          <w:divBdr>
            <w:top w:val="none" w:sz="0" w:space="0" w:color="auto"/>
            <w:left w:val="none" w:sz="0" w:space="0" w:color="auto"/>
            <w:bottom w:val="none" w:sz="0" w:space="0" w:color="auto"/>
            <w:right w:val="none" w:sz="0" w:space="0" w:color="auto"/>
          </w:divBdr>
        </w:div>
        <w:div w:id="1936279760">
          <w:marLeft w:val="864"/>
          <w:marRight w:val="0"/>
          <w:marTop w:val="0"/>
          <w:marBottom w:val="101"/>
          <w:divBdr>
            <w:top w:val="none" w:sz="0" w:space="0" w:color="auto"/>
            <w:left w:val="none" w:sz="0" w:space="0" w:color="auto"/>
            <w:bottom w:val="none" w:sz="0" w:space="0" w:color="auto"/>
            <w:right w:val="none" w:sz="0" w:space="0" w:color="auto"/>
          </w:divBdr>
        </w:div>
        <w:div w:id="55663891">
          <w:marLeft w:val="864"/>
          <w:marRight w:val="0"/>
          <w:marTop w:val="0"/>
          <w:marBottom w:val="101"/>
          <w:divBdr>
            <w:top w:val="none" w:sz="0" w:space="0" w:color="auto"/>
            <w:left w:val="none" w:sz="0" w:space="0" w:color="auto"/>
            <w:bottom w:val="none" w:sz="0" w:space="0" w:color="auto"/>
            <w:right w:val="none" w:sz="0" w:space="0" w:color="auto"/>
          </w:divBdr>
        </w:div>
        <w:div w:id="1341663957">
          <w:marLeft w:val="864"/>
          <w:marRight w:val="0"/>
          <w:marTop w:val="0"/>
          <w:marBottom w:val="101"/>
          <w:divBdr>
            <w:top w:val="none" w:sz="0" w:space="0" w:color="auto"/>
            <w:left w:val="none" w:sz="0" w:space="0" w:color="auto"/>
            <w:bottom w:val="none" w:sz="0" w:space="0" w:color="auto"/>
            <w:right w:val="none" w:sz="0" w:space="0" w:color="auto"/>
          </w:divBdr>
        </w:div>
        <w:div w:id="1232543129">
          <w:marLeft w:val="864"/>
          <w:marRight w:val="0"/>
          <w:marTop w:val="0"/>
          <w:marBottom w:val="101"/>
          <w:divBdr>
            <w:top w:val="none" w:sz="0" w:space="0" w:color="auto"/>
            <w:left w:val="none" w:sz="0" w:space="0" w:color="auto"/>
            <w:bottom w:val="none" w:sz="0" w:space="0" w:color="auto"/>
            <w:right w:val="none" w:sz="0" w:space="0" w:color="auto"/>
          </w:divBdr>
        </w:div>
        <w:div w:id="318534726">
          <w:marLeft w:val="0"/>
          <w:marRight w:val="0"/>
          <w:marTop w:val="0"/>
          <w:marBottom w:val="101"/>
          <w:divBdr>
            <w:top w:val="none" w:sz="0" w:space="0" w:color="auto"/>
            <w:left w:val="none" w:sz="0" w:space="0" w:color="auto"/>
            <w:bottom w:val="none" w:sz="0" w:space="0" w:color="auto"/>
            <w:right w:val="none" w:sz="0" w:space="0" w:color="auto"/>
          </w:divBdr>
        </w:div>
        <w:div w:id="1187250482">
          <w:marLeft w:val="0"/>
          <w:marRight w:val="0"/>
          <w:marTop w:val="0"/>
          <w:marBottom w:val="101"/>
          <w:divBdr>
            <w:top w:val="none" w:sz="0" w:space="0" w:color="auto"/>
            <w:left w:val="none" w:sz="0" w:space="0" w:color="auto"/>
            <w:bottom w:val="none" w:sz="0" w:space="0" w:color="auto"/>
            <w:right w:val="none" w:sz="0" w:space="0" w:color="auto"/>
          </w:divBdr>
        </w:div>
        <w:div w:id="1385249787">
          <w:marLeft w:val="0"/>
          <w:marRight w:val="0"/>
          <w:marTop w:val="0"/>
          <w:marBottom w:val="101"/>
          <w:divBdr>
            <w:top w:val="none" w:sz="0" w:space="0" w:color="auto"/>
            <w:left w:val="none" w:sz="0" w:space="0" w:color="auto"/>
            <w:bottom w:val="none" w:sz="0" w:space="0" w:color="auto"/>
            <w:right w:val="none" w:sz="0" w:space="0" w:color="auto"/>
          </w:divBdr>
        </w:div>
        <w:div w:id="915625783">
          <w:marLeft w:val="0"/>
          <w:marRight w:val="0"/>
          <w:marTop w:val="0"/>
          <w:marBottom w:val="101"/>
          <w:divBdr>
            <w:top w:val="none" w:sz="0" w:space="0" w:color="auto"/>
            <w:left w:val="none" w:sz="0" w:space="0" w:color="auto"/>
            <w:bottom w:val="none" w:sz="0" w:space="0" w:color="auto"/>
            <w:right w:val="none" w:sz="0" w:space="0" w:color="auto"/>
          </w:divBdr>
        </w:div>
        <w:div w:id="1853450060">
          <w:marLeft w:val="864"/>
          <w:marRight w:val="0"/>
          <w:marTop w:val="0"/>
          <w:marBottom w:val="101"/>
          <w:divBdr>
            <w:top w:val="none" w:sz="0" w:space="0" w:color="auto"/>
            <w:left w:val="none" w:sz="0" w:space="0" w:color="auto"/>
            <w:bottom w:val="none" w:sz="0" w:space="0" w:color="auto"/>
            <w:right w:val="none" w:sz="0" w:space="0" w:color="auto"/>
          </w:divBdr>
        </w:div>
        <w:div w:id="1998920048">
          <w:marLeft w:val="864"/>
          <w:marRight w:val="0"/>
          <w:marTop w:val="0"/>
          <w:marBottom w:val="101"/>
          <w:divBdr>
            <w:top w:val="none" w:sz="0" w:space="0" w:color="auto"/>
            <w:left w:val="none" w:sz="0" w:space="0" w:color="auto"/>
            <w:bottom w:val="none" w:sz="0" w:space="0" w:color="auto"/>
            <w:right w:val="none" w:sz="0" w:space="0" w:color="auto"/>
          </w:divBdr>
        </w:div>
        <w:div w:id="1678146115">
          <w:marLeft w:val="0"/>
          <w:marRight w:val="0"/>
          <w:marTop w:val="101"/>
          <w:marBottom w:val="101"/>
          <w:divBdr>
            <w:top w:val="none" w:sz="0" w:space="0" w:color="auto"/>
            <w:left w:val="none" w:sz="0" w:space="0" w:color="auto"/>
            <w:bottom w:val="none" w:sz="0" w:space="0" w:color="auto"/>
            <w:right w:val="none" w:sz="0" w:space="0" w:color="auto"/>
          </w:divBdr>
        </w:div>
        <w:div w:id="434709570">
          <w:marLeft w:val="0"/>
          <w:marRight w:val="0"/>
          <w:marTop w:val="0"/>
          <w:marBottom w:val="101"/>
          <w:divBdr>
            <w:top w:val="none" w:sz="0" w:space="0" w:color="auto"/>
            <w:left w:val="none" w:sz="0" w:space="0" w:color="auto"/>
            <w:bottom w:val="none" w:sz="0" w:space="0" w:color="auto"/>
            <w:right w:val="none" w:sz="0" w:space="0" w:color="auto"/>
          </w:divBdr>
        </w:div>
        <w:div w:id="2024092300">
          <w:marLeft w:val="0"/>
          <w:marRight w:val="0"/>
          <w:marTop w:val="0"/>
          <w:marBottom w:val="101"/>
          <w:divBdr>
            <w:top w:val="none" w:sz="0" w:space="0" w:color="auto"/>
            <w:left w:val="none" w:sz="0" w:space="0" w:color="auto"/>
            <w:bottom w:val="none" w:sz="0" w:space="0" w:color="auto"/>
            <w:right w:val="none" w:sz="0" w:space="0" w:color="auto"/>
          </w:divBdr>
        </w:div>
        <w:div w:id="899054872">
          <w:marLeft w:val="0"/>
          <w:marRight w:val="0"/>
          <w:marTop w:val="0"/>
          <w:marBottom w:val="101"/>
          <w:divBdr>
            <w:top w:val="none" w:sz="0" w:space="0" w:color="auto"/>
            <w:left w:val="none" w:sz="0" w:space="0" w:color="auto"/>
            <w:bottom w:val="none" w:sz="0" w:space="0" w:color="auto"/>
            <w:right w:val="none" w:sz="0" w:space="0" w:color="auto"/>
          </w:divBdr>
        </w:div>
        <w:div w:id="601107719">
          <w:marLeft w:val="0"/>
          <w:marRight w:val="0"/>
          <w:marTop w:val="0"/>
          <w:marBottom w:val="101"/>
          <w:divBdr>
            <w:top w:val="none" w:sz="0" w:space="0" w:color="auto"/>
            <w:left w:val="none" w:sz="0" w:space="0" w:color="auto"/>
            <w:bottom w:val="none" w:sz="0" w:space="0" w:color="auto"/>
            <w:right w:val="none" w:sz="0" w:space="0" w:color="auto"/>
          </w:divBdr>
        </w:div>
        <w:div w:id="10961143">
          <w:marLeft w:val="0"/>
          <w:marRight w:val="0"/>
          <w:marTop w:val="0"/>
          <w:marBottom w:val="101"/>
          <w:divBdr>
            <w:top w:val="none" w:sz="0" w:space="0" w:color="auto"/>
            <w:left w:val="none" w:sz="0" w:space="0" w:color="auto"/>
            <w:bottom w:val="none" w:sz="0" w:space="0" w:color="auto"/>
            <w:right w:val="none" w:sz="0" w:space="0" w:color="auto"/>
          </w:divBdr>
        </w:div>
        <w:div w:id="1392002341">
          <w:marLeft w:val="0"/>
          <w:marRight w:val="0"/>
          <w:marTop w:val="0"/>
          <w:marBottom w:val="101"/>
          <w:divBdr>
            <w:top w:val="none" w:sz="0" w:space="0" w:color="auto"/>
            <w:left w:val="none" w:sz="0" w:space="0" w:color="auto"/>
            <w:bottom w:val="none" w:sz="0" w:space="0" w:color="auto"/>
            <w:right w:val="none" w:sz="0" w:space="0" w:color="auto"/>
          </w:divBdr>
        </w:div>
        <w:div w:id="778452990">
          <w:marLeft w:val="0"/>
          <w:marRight w:val="0"/>
          <w:marTop w:val="0"/>
          <w:marBottom w:val="101"/>
          <w:divBdr>
            <w:top w:val="none" w:sz="0" w:space="0" w:color="auto"/>
            <w:left w:val="none" w:sz="0" w:space="0" w:color="auto"/>
            <w:bottom w:val="none" w:sz="0" w:space="0" w:color="auto"/>
            <w:right w:val="none" w:sz="0" w:space="0" w:color="auto"/>
          </w:divBdr>
        </w:div>
      </w:divsChild>
    </w:div>
    <w:div w:id="440147042">
      <w:bodyDiv w:val="1"/>
      <w:marLeft w:val="0"/>
      <w:marRight w:val="0"/>
      <w:marTop w:val="0"/>
      <w:marBottom w:val="0"/>
      <w:divBdr>
        <w:top w:val="none" w:sz="0" w:space="0" w:color="auto"/>
        <w:left w:val="none" w:sz="0" w:space="0" w:color="auto"/>
        <w:bottom w:val="none" w:sz="0" w:space="0" w:color="auto"/>
        <w:right w:val="none" w:sz="0" w:space="0" w:color="auto"/>
      </w:divBdr>
      <w:divsChild>
        <w:div w:id="1012420262">
          <w:marLeft w:val="0"/>
          <w:marRight w:val="0"/>
          <w:marTop w:val="0"/>
          <w:marBottom w:val="101"/>
          <w:divBdr>
            <w:top w:val="none" w:sz="0" w:space="0" w:color="auto"/>
            <w:left w:val="none" w:sz="0" w:space="0" w:color="auto"/>
            <w:bottom w:val="none" w:sz="0" w:space="0" w:color="auto"/>
            <w:right w:val="none" w:sz="0" w:space="0" w:color="auto"/>
          </w:divBdr>
        </w:div>
        <w:div w:id="1431775024">
          <w:marLeft w:val="0"/>
          <w:marRight w:val="0"/>
          <w:marTop w:val="101"/>
          <w:marBottom w:val="101"/>
          <w:divBdr>
            <w:top w:val="none" w:sz="0" w:space="0" w:color="auto"/>
            <w:left w:val="none" w:sz="0" w:space="0" w:color="auto"/>
            <w:bottom w:val="none" w:sz="0" w:space="0" w:color="auto"/>
            <w:right w:val="none" w:sz="0" w:space="0" w:color="auto"/>
          </w:divBdr>
        </w:div>
        <w:div w:id="2061902729">
          <w:marLeft w:val="0"/>
          <w:marRight w:val="0"/>
          <w:marTop w:val="0"/>
          <w:marBottom w:val="101"/>
          <w:divBdr>
            <w:top w:val="none" w:sz="0" w:space="0" w:color="auto"/>
            <w:left w:val="none" w:sz="0" w:space="0" w:color="auto"/>
            <w:bottom w:val="none" w:sz="0" w:space="0" w:color="auto"/>
            <w:right w:val="none" w:sz="0" w:space="0" w:color="auto"/>
          </w:divBdr>
        </w:div>
        <w:div w:id="1659844476">
          <w:marLeft w:val="0"/>
          <w:marRight w:val="0"/>
          <w:marTop w:val="0"/>
          <w:marBottom w:val="101"/>
          <w:divBdr>
            <w:top w:val="none" w:sz="0" w:space="0" w:color="auto"/>
            <w:left w:val="none" w:sz="0" w:space="0" w:color="auto"/>
            <w:bottom w:val="none" w:sz="0" w:space="0" w:color="auto"/>
            <w:right w:val="none" w:sz="0" w:space="0" w:color="auto"/>
          </w:divBdr>
        </w:div>
        <w:div w:id="487404224">
          <w:marLeft w:val="0"/>
          <w:marRight w:val="0"/>
          <w:marTop w:val="0"/>
          <w:marBottom w:val="101"/>
          <w:divBdr>
            <w:top w:val="none" w:sz="0" w:space="0" w:color="auto"/>
            <w:left w:val="none" w:sz="0" w:space="0" w:color="auto"/>
            <w:bottom w:val="none" w:sz="0" w:space="0" w:color="auto"/>
            <w:right w:val="none" w:sz="0" w:space="0" w:color="auto"/>
          </w:divBdr>
        </w:div>
        <w:div w:id="41758339">
          <w:marLeft w:val="0"/>
          <w:marRight w:val="0"/>
          <w:marTop w:val="0"/>
          <w:marBottom w:val="101"/>
          <w:divBdr>
            <w:top w:val="none" w:sz="0" w:space="0" w:color="auto"/>
            <w:left w:val="none" w:sz="0" w:space="0" w:color="auto"/>
            <w:bottom w:val="none" w:sz="0" w:space="0" w:color="auto"/>
            <w:right w:val="none" w:sz="0" w:space="0" w:color="auto"/>
          </w:divBdr>
        </w:div>
        <w:div w:id="1716658499">
          <w:marLeft w:val="0"/>
          <w:marRight w:val="0"/>
          <w:marTop w:val="0"/>
          <w:marBottom w:val="101"/>
          <w:divBdr>
            <w:top w:val="none" w:sz="0" w:space="0" w:color="auto"/>
            <w:left w:val="none" w:sz="0" w:space="0" w:color="auto"/>
            <w:bottom w:val="none" w:sz="0" w:space="0" w:color="auto"/>
            <w:right w:val="none" w:sz="0" w:space="0" w:color="auto"/>
          </w:divBdr>
        </w:div>
        <w:div w:id="353925751">
          <w:marLeft w:val="0"/>
          <w:marRight w:val="0"/>
          <w:marTop w:val="0"/>
          <w:marBottom w:val="101"/>
          <w:divBdr>
            <w:top w:val="none" w:sz="0" w:space="0" w:color="auto"/>
            <w:left w:val="none" w:sz="0" w:space="0" w:color="auto"/>
            <w:bottom w:val="none" w:sz="0" w:space="0" w:color="auto"/>
            <w:right w:val="none" w:sz="0" w:space="0" w:color="auto"/>
          </w:divBdr>
        </w:div>
        <w:div w:id="1324316944">
          <w:marLeft w:val="0"/>
          <w:marRight w:val="0"/>
          <w:marTop w:val="0"/>
          <w:marBottom w:val="101"/>
          <w:divBdr>
            <w:top w:val="none" w:sz="0" w:space="0" w:color="auto"/>
            <w:left w:val="none" w:sz="0" w:space="0" w:color="auto"/>
            <w:bottom w:val="none" w:sz="0" w:space="0" w:color="auto"/>
            <w:right w:val="none" w:sz="0" w:space="0" w:color="auto"/>
          </w:divBdr>
        </w:div>
        <w:div w:id="155615014">
          <w:marLeft w:val="0"/>
          <w:marRight w:val="0"/>
          <w:marTop w:val="0"/>
          <w:marBottom w:val="101"/>
          <w:divBdr>
            <w:top w:val="none" w:sz="0" w:space="0" w:color="auto"/>
            <w:left w:val="none" w:sz="0" w:space="0" w:color="auto"/>
            <w:bottom w:val="none" w:sz="0" w:space="0" w:color="auto"/>
            <w:right w:val="none" w:sz="0" w:space="0" w:color="auto"/>
          </w:divBdr>
        </w:div>
        <w:div w:id="2039351905">
          <w:marLeft w:val="0"/>
          <w:marRight w:val="0"/>
          <w:marTop w:val="0"/>
          <w:marBottom w:val="101"/>
          <w:divBdr>
            <w:top w:val="none" w:sz="0" w:space="0" w:color="auto"/>
            <w:left w:val="none" w:sz="0" w:space="0" w:color="auto"/>
            <w:bottom w:val="none" w:sz="0" w:space="0" w:color="auto"/>
            <w:right w:val="none" w:sz="0" w:space="0" w:color="auto"/>
          </w:divBdr>
        </w:div>
        <w:div w:id="1056396607">
          <w:marLeft w:val="0"/>
          <w:marRight w:val="0"/>
          <w:marTop w:val="0"/>
          <w:marBottom w:val="101"/>
          <w:divBdr>
            <w:top w:val="none" w:sz="0" w:space="0" w:color="auto"/>
            <w:left w:val="none" w:sz="0" w:space="0" w:color="auto"/>
            <w:bottom w:val="none" w:sz="0" w:space="0" w:color="auto"/>
            <w:right w:val="none" w:sz="0" w:space="0" w:color="auto"/>
          </w:divBdr>
        </w:div>
        <w:div w:id="1939361839">
          <w:marLeft w:val="0"/>
          <w:marRight w:val="0"/>
          <w:marTop w:val="0"/>
          <w:marBottom w:val="101"/>
          <w:divBdr>
            <w:top w:val="none" w:sz="0" w:space="0" w:color="auto"/>
            <w:left w:val="none" w:sz="0" w:space="0" w:color="auto"/>
            <w:bottom w:val="none" w:sz="0" w:space="0" w:color="auto"/>
            <w:right w:val="none" w:sz="0" w:space="0" w:color="auto"/>
          </w:divBdr>
        </w:div>
        <w:div w:id="918369718">
          <w:marLeft w:val="0"/>
          <w:marRight w:val="0"/>
          <w:marTop w:val="0"/>
          <w:marBottom w:val="101"/>
          <w:divBdr>
            <w:top w:val="none" w:sz="0" w:space="0" w:color="auto"/>
            <w:left w:val="none" w:sz="0" w:space="0" w:color="auto"/>
            <w:bottom w:val="none" w:sz="0" w:space="0" w:color="auto"/>
            <w:right w:val="none" w:sz="0" w:space="0" w:color="auto"/>
          </w:divBdr>
        </w:div>
        <w:div w:id="407193625">
          <w:marLeft w:val="0"/>
          <w:marRight w:val="0"/>
          <w:marTop w:val="0"/>
          <w:marBottom w:val="101"/>
          <w:divBdr>
            <w:top w:val="none" w:sz="0" w:space="0" w:color="auto"/>
            <w:left w:val="none" w:sz="0" w:space="0" w:color="auto"/>
            <w:bottom w:val="none" w:sz="0" w:space="0" w:color="auto"/>
            <w:right w:val="none" w:sz="0" w:space="0" w:color="auto"/>
          </w:divBdr>
        </w:div>
        <w:div w:id="1981228427">
          <w:marLeft w:val="0"/>
          <w:marRight w:val="0"/>
          <w:marTop w:val="101"/>
          <w:marBottom w:val="101"/>
          <w:divBdr>
            <w:top w:val="none" w:sz="0" w:space="0" w:color="auto"/>
            <w:left w:val="none" w:sz="0" w:space="0" w:color="auto"/>
            <w:bottom w:val="none" w:sz="0" w:space="0" w:color="auto"/>
            <w:right w:val="none" w:sz="0" w:space="0" w:color="auto"/>
          </w:divBdr>
        </w:div>
        <w:div w:id="1452940015">
          <w:marLeft w:val="0"/>
          <w:marRight w:val="0"/>
          <w:marTop w:val="0"/>
          <w:marBottom w:val="101"/>
          <w:divBdr>
            <w:top w:val="none" w:sz="0" w:space="0" w:color="auto"/>
            <w:left w:val="none" w:sz="0" w:space="0" w:color="auto"/>
            <w:bottom w:val="none" w:sz="0" w:space="0" w:color="auto"/>
            <w:right w:val="none" w:sz="0" w:space="0" w:color="auto"/>
          </w:divBdr>
        </w:div>
        <w:div w:id="1529954632">
          <w:marLeft w:val="0"/>
          <w:marRight w:val="0"/>
          <w:marTop w:val="101"/>
          <w:marBottom w:val="101"/>
          <w:divBdr>
            <w:top w:val="none" w:sz="0" w:space="0" w:color="auto"/>
            <w:left w:val="none" w:sz="0" w:space="0" w:color="auto"/>
            <w:bottom w:val="none" w:sz="0" w:space="0" w:color="auto"/>
            <w:right w:val="none" w:sz="0" w:space="0" w:color="auto"/>
          </w:divBdr>
        </w:div>
        <w:div w:id="209388787">
          <w:marLeft w:val="0"/>
          <w:marRight w:val="0"/>
          <w:marTop w:val="0"/>
          <w:marBottom w:val="101"/>
          <w:divBdr>
            <w:top w:val="none" w:sz="0" w:space="0" w:color="auto"/>
            <w:left w:val="none" w:sz="0" w:space="0" w:color="auto"/>
            <w:bottom w:val="none" w:sz="0" w:space="0" w:color="auto"/>
            <w:right w:val="none" w:sz="0" w:space="0" w:color="auto"/>
          </w:divBdr>
        </w:div>
        <w:div w:id="1611280945">
          <w:marLeft w:val="0"/>
          <w:marRight w:val="0"/>
          <w:marTop w:val="0"/>
          <w:marBottom w:val="101"/>
          <w:divBdr>
            <w:top w:val="none" w:sz="0" w:space="0" w:color="auto"/>
            <w:left w:val="none" w:sz="0" w:space="0" w:color="auto"/>
            <w:bottom w:val="none" w:sz="0" w:space="0" w:color="auto"/>
            <w:right w:val="none" w:sz="0" w:space="0" w:color="auto"/>
          </w:divBdr>
        </w:div>
        <w:div w:id="136001097">
          <w:marLeft w:val="0"/>
          <w:marRight w:val="0"/>
          <w:marTop w:val="0"/>
          <w:marBottom w:val="101"/>
          <w:divBdr>
            <w:top w:val="none" w:sz="0" w:space="0" w:color="auto"/>
            <w:left w:val="none" w:sz="0" w:space="0" w:color="auto"/>
            <w:bottom w:val="none" w:sz="0" w:space="0" w:color="auto"/>
            <w:right w:val="none" w:sz="0" w:space="0" w:color="auto"/>
          </w:divBdr>
        </w:div>
      </w:divsChild>
    </w:div>
    <w:div w:id="644743241">
      <w:bodyDiv w:val="1"/>
      <w:marLeft w:val="0"/>
      <w:marRight w:val="0"/>
      <w:marTop w:val="0"/>
      <w:marBottom w:val="0"/>
      <w:divBdr>
        <w:top w:val="none" w:sz="0" w:space="0" w:color="auto"/>
        <w:left w:val="none" w:sz="0" w:space="0" w:color="auto"/>
        <w:bottom w:val="none" w:sz="0" w:space="0" w:color="auto"/>
        <w:right w:val="none" w:sz="0" w:space="0" w:color="auto"/>
      </w:divBdr>
    </w:div>
    <w:div w:id="1123882233">
      <w:bodyDiv w:val="1"/>
      <w:marLeft w:val="0"/>
      <w:marRight w:val="0"/>
      <w:marTop w:val="0"/>
      <w:marBottom w:val="0"/>
      <w:divBdr>
        <w:top w:val="none" w:sz="0" w:space="0" w:color="auto"/>
        <w:left w:val="none" w:sz="0" w:space="0" w:color="auto"/>
        <w:bottom w:val="none" w:sz="0" w:space="0" w:color="auto"/>
        <w:right w:val="none" w:sz="0" w:space="0" w:color="auto"/>
      </w:divBdr>
      <w:divsChild>
        <w:div w:id="1117143924">
          <w:marLeft w:val="0"/>
          <w:marRight w:val="0"/>
          <w:marTop w:val="0"/>
          <w:marBottom w:val="101"/>
          <w:divBdr>
            <w:top w:val="none" w:sz="0" w:space="0" w:color="auto"/>
            <w:left w:val="none" w:sz="0" w:space="0" w:color="auto"/>
            <w:bottom w:val="none" w:sz="0" w:space="0" w:color="auto"/>
            <w:right w:val="none" w:sz="0" w:space="0" w:color="auto"/>
          </w:divBdr>
        </w:div>
        <w:div w:id="1256591999">
          <w:marLeft w:val="0"/>
          <w:marRight w:val="0"/>
          <w:marTop w:val="101"/>
          <w:marBottom w:val="101"/>
          <w:divBdr>
            <w:top w:val="none" w:sz="0" w:space="0" w:color="auto"/>
            <w:left w:val="none" w:sz="0" w:space="0" w:color="auto"/>
            <w:bottom w:val="none" w:sz="0" w:space="0" w:color="auto"/>
            <w:right w:val="none" w:sz="0" w:space="0" w:color="auto"/>
          </w:divBdr>
        </w:div>
        <w:div w:id="459492697">
          <w:marLeft w:val="0"/>
          <w:marRight w:val="0"/>
          <w:marTop w:val="0"/>
          <w:marBottom w:val="101"/>
          <w:divBdr>
            <w:top w:val="none" w:sz="0" w:space="0" w:color="auto"/>
            <w:left w:val="none" w:sz="0" w:space="0" w:color="auto"/>
            <w:bottom w:val="none" w:sz="0" w:space="0" w:color="auto"/>
            <w:right w:val="none" w:sz="0" w:space="0" w:color="auto"/>
          </w:divBdr>
        </w:div>
        <w:div w:id="1944800681">
          <w:marLeft w:val="0"/>
          <w:marRight w:val="0"/>
          <w:marTop w:val="0"/>
          <w:marBottom w:val="101"/>
          <w:divBdr>
            <w:top w:val="none" w:sz="0" w:space="0" w:color="auto"/>
            <w:left w:val="none" w:sz="0" w:space="0" w:color="auto"/>
            <w:bottom w:val="none" w:sz="0" w:space="0" w:color="auto"/>
            <w:right w:val="none" w:sz="0" w:space="0" w:color="auto"/>
          </w:divBdr>
        </w:div>
        <w:div w:id="1563711666">
          <w:marLeft w:val="0"/>
          <w:marRight w:val="0"/>
          <w:marTop w:val="0"/>
          <w:marBottom w:val="101"/>
          <w:divBdr>
            <w:top w:val="none" w:sz="0" w:space="0" w:color="auto"/>
            <w:left w:val="none" w:sz="0" w:space="0" w:color="auto"/>
            <w:bottom w:val="none" w:sz="0" w:space="0" w:color="auto"/>
            <w:right w:val="none" w:sz="0" w:space="0" w:color="auto"/>
          </w:divBdr>
        </w:div>
        <w:div w:id="1418985972">
          <w:marLeft w:val="0"/>
          <w:marRight w:val="0"/>
          <w:marTop w:val="0"/>
          <w:marBottom w:val="101"/>
          <w:divBdr>
            <w:top w:val="none" w:sz="0" w:space="0" w:color="auto"/>
            <w:left w:val="none" w:sz="0" w:space="0" w:color="auto"/>
            <w:bottom w:val="none" w:sz="0" w:space="0" w:color="auto"/>
            <w:right w:val="none" w:sz="0" w:space="0" w:color="auto"/>
          </w:divBdr>
        </w:div>
        <w:div w:id="2088140571">
          <w:marLeft w:val="0"/>
          <w:marRight w:val="0"/>
          <w:marTop w:val="0"/>
          <w:marBottom w:val="101"/>
          <w:divBdr>
            <w:top w:val="none" w:sz="0" w:space="0" w:color="auto"/>
            <w:left w:val="none" w:sz="0" w:space="0" w:color="auto"/>
            <w:bottom w:val="none" w:sz="0" w:space="0" w:color="auto"/>
            <w:right w:val="none" w:sz="0" w:space="0" w:color="auto"/>
          </w:divBdr>
        </w:div>
        <w:div w:id="1625962502">
          <w:marLeft w:val="0"/>
          <w:marRight w:val="0"/>
          <w:marTop w:val="0"/>
          <w:marBottom w:val="101"/>
          <w:divBdr>
            <w:top w:val="none" w:sz="0" w:space="0" w:color="auto"/>
            <w:left w:val="none" w:sz="0" w:space="0" w:color="auto"/>
            <w:bottom w:val="none" w:sz="0" w:space="0" w:color="auto"/>
            <w:right w:val="none" w:sz="0" w:space="0" w:color="auto"/>
          </w:divBdr>
        </w:div>
        <w:div w:id="1375233638">
          <w:marLeft w:val="0"/>
          <w:marRight w:val="0"/>
          <w:marTop w:val="0"/>
          <w:marBottom w:val="101"/>
          <w:divBdr>
            <w:top w:val="none" w:sz="0" w:space="0" w:color="auto"/>
            <w:left w:val="none" w:sz="0" w:space="0" w:color="auto"/>
            <w:bottom w:val="none" w:sz="0" w:space="0" w:color="auto"/>
            <w:right w:val="none" w:sz="0" w:space="0" w:color="auto"/>
          </w:divBdr>
        </w:div>
        <w:div w:id="1922176056">
          <w:marLeft w:val="0"/>
          <w:marRight w:val="0"/>
          <w:marTop w:val="0"/>
          <w:marBottom w:val="101"/>
          <w:divBdr>
            <w:top w:val="none" w:sz="0" w:space="0" w:color="auto"/>
            <w:left w:val="none" w:sz="0" w:space="0" w:color="auto"/>
            <w:bottom w:val="none" w:sz="0" w:space="0" w:color="auto"/>
            <w:right w:val="none" w:sz="0" w:space="0" w:color="auto"/>
          </w:divBdr>
        </w:div>
        <w:div w:id="1142892095">
          <w:marLeft w:val="0"/>
          <w:marRight w:val="0"/>
          <w:marTop w:val="0"/>
          <w:marBottom w:val="101"/>
          <w:divBdr>
            <w:top w:val="none" w:sz="0" w:space="0" w:color="auto"/>
            <w:left w:val="none" w:sz="0" w:space="0" w:color="auto"/>
            <w:bottom w:val="none" w:sz="0" w:space="0" w:color="auto"/>
            <w:right w:val="none" w:sz="0" w:space="0" w:color="auto"/>
          </w:divBdr>
        </w:div>
        <w:div w:id="1400178977">
          <w:marLeft w:val="0"/>
          <w:marRight w:val="0"/>
          <w:marTop w:val="0"/>
          <w:marBottom w:val="101"/>
          <w:divBdr>
            <w:top w:val="none" w:sz="0" w:space="0" w:color="auto"/>
            <w:left w:val="none" w:sz="0" w:space="0" w:color="auto"/>
            <w:bottom w:val="none" w:sz="0" w:space="0" w:color="auto"/>
            <w:right w:val="none" w:sz="0" w:space="0" w:color="auto"/>
          </w:divBdr>
        </w:div>
        <w:div w:id="1037774740">
          <w:marLeft w:val="0"/>
          <w:marRight w:val="0"/>
          <w:marTop w:val="101"/>
          <w:marBottom w:val="101"/>
          <w:divBdr>
            <w:top w:val="none" w:sz="0" w:space="0" w:color="auto"/>
            <w:left w:val="none" w:sz="0" w:space="0" w:color="auto"/>
            <w:bottom w:val="none" w:sz="0" w:space="0" w:color="auto"/>
            <w:right w:val="none" w:sz="0" w:space="0" w:color="auto"/>
          </w:divBdr>
        </w:div>
        <w:div w:id="1323048659">
          <w:marLeft w:val="0"/>
          <w:marRight w:val="0"/>
          <w:marTop w:val="0"/>
          <w:marBottom w:val="101"/>
          <w:divBdr>
            <w:top w:val="none" w:sz="0" w:space="0" w:color="auto"/>
            <w:left w:val="none" w:sz="0" w:space="0" w:color="auto"/>
            <w:bottom w:val="none" w:sz="0" w:space="0" w:color="auto"/>
            <w:right w:val="none" w:sz="0" w:space="0" w:color="auto"/>
          </w:divBdr>
        </w:div>
        <w:div w:id="574701117">
          <w:marLeft w:val="0"/>
          <w:marRight w:val="0"/>
          <w:marTop w:val="0"/>
          <w:marBottom w:val="101"/>
          <w:divBdr>
            <w:top w:val="none" w:sz="0" w:space="0" w:color="auto"/>
            <w:left w:val="none" w:sz="0" w:space="0" w:color="auto"/>
            <w:bottom w:val="none" w:sz="0" w:space="0" w:color="auto"/>
            <w:right w:val="none" w:sz="0" w:space="0" w:color="auto"/>
          </w:divBdr>
        </w:div>
        <w:div w:id="850484351">
          <w:marLeft w:val="0"/>
          <w:marRight w:val="0"/>
          <w:marTop w:val="0"/>
          <w:marBottom w:val="101"/>
          <w:divBdr>
            <w:top w:val="none" w:sz="0" w:space="0" w:color="auto"/>
            <w:left w:val="none" w:sz="0" w:space="0" w:color="auto"/>
            <w:bottom w:val="none" w:sz="0" w:space="0" w:color="auto"/>
            <w:right w:val="none" w:sz="0" w:space="0" w:color="auto"/>
          </w:divBdr>
        </w:div>
        <w:div w:id="277496021">
          <w:marLeft w:val="864"/>
          <w:marRight w:val="0"/>
          <w:marTop w:val="0"/>
          <w:marBottom w:val="101"/>
          <w:divBdr>
            <w:top w:val="none" w:sz="0" w:space="0" w:color="auto"/>
            <w:left w:val="none" w:sz="0" w:space="0" w:color="auto"/>
            <w:bottom w:val="none" w:sz="0" w:space="0" w:color="auto"/>
            <w:right w:val="none" w:sz="0" w:space="0" w:color="auto"/>
          </w:divBdr>
        </w:div>
        <w:div w:id="946502791">
          <w:marLeft w:val="864"/>
          <w:marRight w:val="0"/>
          <w:marTop w:val="0"/>
          <w:marBottom w:val="101"/>
          <w:divBdr>
            <w:top w:val="none" w:sz="0" w:space="0" w:color="auto"/>
            <w:left w:val="none" w:sz="0" w:space="0" w:color="auto"/>
            <w:bottom w:val="none" w:sz="0" w:space="0" w:color="auto"/>
            <w:right w:val="none" w:sz="0" w:space="0" w:color="auto"/>
          </w:divBdr>
        </w:div>
        <w:div w:id="1955094257">
          <w:marLeft w:val="864"/>
          <w:marRight w:val="0"/>
          <w:marTop w:val="0"/>
          <w:marBottom w:val="101"/>
          <w:divBdr>
            <w:top w:val="none" w:sz="0" w:space="0" w:color="auto"/>
            <w:left w:val="none" w:sz="0" w:space="0" w:color="auto"/>
            <w:bottom w:val="none" w:sz="0" w:space="0" w:color="auto"/>
            <w:right w:val="none" w:sz="0" w:space="0" w:color="auto"/>
          </w:divBdr>
        </w:div>
        <w:div w:id="1975793332">
          <w:marLeft w:val="864"/>
          <w:marRight w:val="0"/>
          <w:marTop w:val="0"/>
          <w:marBottom w:val="101"/>
          <w:divBdr>
            <w:top w:val="none" w:sz="0" w:space="0" w:color="auto"/>
            <w:left w:val="none" w:sz="0" w:space="0" w:color="auto"/>
            <w:bottom w:val="none" w:sz="0" w:space="0" w:color="auto"/>
            <w:right w:val="none" w:sz="0" w:space="0" w:color="auto"/>
          </w:divBdr>
        </w:div>
        <w:div w:id="1030229135">
          <w:marLeft w:val="864"/>
          <w:marRight w:val="0"/>
          <w:marTop w:val="0"/>
          <w:marBottom w:val="101"/>
          <w:divBdr>
            <w:top w:val="none" w:sz="0" w:space="0" w:color="auto"/>
            <w:left w:val="none" w:sz="0" w:space="0" w:color="auto"/>
            <w:bottom w:val="none" w:sz="0" w:space="0" w:color="auto"/>
            <w:right w:val="none" w:sz="0" w:space="0" w:color="auto"/>
          </w:divBdr>
        </w:div>
        <w:div w:id="1348099360">
          <w:marLeft w:val="864"/>
          <w:marRight w:val="0"/>
          <w:marTop w:val="0"/>
          <w:marBottom w:val="101"/>
          <w:divBdr>
            <w:top w:val="none" w:sz="0" w:space="0" w:color="auto"/>
            <w:left w:val="none" w:sz="0" w:space="0" w:color="auto"/>
            <w:bottom w:val="none" w:sz="0" w:space="0" w:color="auto"/>
            <w:right w:val="none" w:sz="0" w:space="0" w:color="auto"/>
          </w:divBdr>
        </w:div>
        <w:div w:id="1168253893">
          <w:marLeft w:val="864"/>
          <w:marRight w:val="0"/>
          <w:marTop w:val="0"/>
          <w:marBottom w:val="101"/>
          <w:divBdr>
            <w:top w:val="none" w:sz="0" w:space="0" w:color="auto"/>
            <w:left w:val="none" w:sz="0" w:space="0" w:color="auto"/>
            <w:bottom w:val="none" w:sz="0" w:space="0" w:color="auto"/>
            <w:right w:val="none" w:sz="0" w:space="0" w:color="auto"/>
          </w:divBdr>
        </w:div>
        <w:div w:id="1530800449">
          <w:marLeft w:val="864"/>
          <w:marRight w:val="0"/>
          <w:marTop w:val="0"/>
          <w:marBottom w:val="101"/>
          <w:divBdr>
            <w:top w:val="none" w:sz="0" w:space="0" w:color="auto"/>
            <w:left w:val="none" w:sz="0" w:space="0" w:color="auto"/>
            <w:bottom w:val="none" w:sz="0" w:space="0" w:color="auto"/>
            <w:right w:val="none" w:sz="0" w:space="0" w:color="auto"/>
          </w:divBdr>
        </w:div>
        <w:div w:id="885917851">
          <w:marLeft w:val="864"/>
          <w:marRight w:val="0"/>
          <w:marTop w:val="0"/>
          <w:marBottom w:val="101"/>
          <w:divBdr>
            <w:top w:val="none" w:sz="0" w:space="0" w:color="auto"/>
            <w:left w:val="none" w:sz="0" w:space="0" w:color="auto"/>
            <w:bottom w:val="none" w:sz="0" w:space="0" w:color="auto"/>
            <w:right w:val="none" w:sz="0" w:space="0" w:color="auto"/>
          </w:divBdr>
        </w:div>
        <w:div w:id="545683461">
          <w:marLeft w:val="864"/>
          <w:marRight w:val="0"/>
          <w:marTop w:val="0"/>
          <w:marBottom w:val="101"/>
          <w:divBdr>
            <w:top w:val="none" w:sz="0" w:space="0" w:color="auto"/>
            <w:left w:val="none" w:sz="0" w:space="0" w:color="auto"/>
            <w:bottom w:val="none" w:sz="0" w:space="0" w:color="auto"/>
            <w:right w:val="none" w:sz="0" w:space="0" w:color="auto"/>
          </w:divBdr>
        </w:div>
        <w:div w:id="325132971">
          <w:marLeft w:val="864"/>
          <w:marRight w:val="0"/>
          <w:marTop w:val="0"/>
          <w:marBottom w:val="101"/>
          <w:divBdr>
            <w:top w:val="none" w:sz="0" w:space="0" w:color="auto"/>
            <w:left w:val="none" w:sz="0" w:space="0" w:color="auto"/>
            <w:bottom w:val="none" w:sz="0" w:space="0" w:color="auto"/>
            <w:right w:val="none" w:sz="0" w:space="0" w:color="auto"/>
          </w:divBdr>
        </w:div>
        <w:div w:id="99298241">
          <w:marLeft w:val="864"/>
          <w:marRight w:val="0"/>
          <w:marTop w:val="0"/>
          <w:marBottom w:val="101"/>
          <w:divBdr>
            <w:top w:val="none" w:sz="0" w:space="0" w:color="auto"/>
            <w:left w:val="none" w:sz="0" w:space="0" w:color="auto"/>
            <w:bottom w:val="none" w:sz="0" w:space="0" w:color="auto"/>
            <w:right w:val="none" w:sz="0" w:space="0" w:color="auto"/>
          </w:divBdr>
        </w:div>
        <w:div w:id="559637162">
          <w:marLeft w:val="0"/>
          <w:marRight w:val="0"/>
          <w:marTop w:val="0"/>
          <w:marBottom w:val="101"/>
          <w:divBdr>
            <w:top w:val="none" w:sz="0" w:space="0" w:color="auto"/>
            <w:left w:val="none" w:sz="0" w:space="0" w:color="auto"/>
            <w:bottom w:val="none" w:sz="0" w:space="0" w:color="auto"/>
            <w:right w:val="none" w:sz="0" w:space="0" w:color="auto"/>
          </w:divBdr>
        </w:div>
        <w:div w:id="726416888">
          <w:marLeft w:val="0"/>
          <w:marRight w:val="0"/>
          <w:marTop w:val="0"/>
          <w:marBottom w:val="101"/>
          <w:divBdr>
            <w:top w:val="none" w:sz="0" w:space="0" w:color="auto"/>
            <w:left w:val="none" w:sz="0" w:space="0" w:color="auto"/>
            <w:bottom w:val="none" w:sz="0" w:space="0" w:color="auto"/>
            <w:right w:val="none" w:sz="0" w:space="0" w:color="auto"/>
          </w:divBdr>
        </w:div>
        <w:div w:id="1818300330">
          <w:marLeft w:val="0"/>
          <w:marRight w:val="0"/>
          <w:marTop w:val="0"/>
          <w:marBottom w:val="101"/>
          <w:divBdr>
            <w:top w:val="none" w:sz="0" w:space="0" w:color="auto"/>
            <w:left w:val="none" w:sz="0" w:space="0" w:color="auto"/>
            <w:bottom w:val="none" w:sz="0" w:space="0" w:color="auto"/>
            <w:right w:val="none" w:sz="0" w:space="0" w:color="auto"/>
          </w:divBdr>
        </w:div>
        <w:div w:id="1960722649">
          <w:marLeft w:val="864"/>
          <w:marRight w:val="0"/>
          <w:marTop w:val="0"/>
          <w:marBottom w:val="101"/>
          <w:divBdr>
            <w:top w:val="none" w:sz="0" w:space="0" w:color="auto"/>
            <w:left w:val="none" w:sz="0" w:space="0" w:color="auto"/>
            <w:bottom w:val="none" w:sz="0" w:space="0" w:color="auto"/>
            <w:right w:val="none" w:sz="0" w:space="0" w:color="auto"/>
          </w:divBdr>
        </w:div>
        <w:div w:id="1423918009">
          <w:marLeft w:val="864"/>
          <w:marRight w:val="0"/>
          <w:marTop w:val="0"/>
          <w:marBottom w:val="101"/>
          <w:divBdr>
            <w:top w:val="none" w:sz="0" w:space="0" w:color="auto"/>
            <w:left w:val="none" w:sz="0" w:space="0" w:color="auto"/>
            <w:bottom w:val="none" w:sz="0" w:space="0" w:color="auto"/>
            <w:right w:val="none" w:sz="0" w:space="0" w:color="auto"/>
          </w:divBdr>
        </w:div>
        <w:div w:id="468012772">
          <w:marLeft w:val="864"/>
          <w:marRight w:val="0"/>
          <w:marTop w:val="0"/>
          <w:marBottom w:val="101"/>
          <w:divBdr>
            <w:top w:val="none" w:sz="0" w:space="0" w:color="auto"/>
            <w:left w:val="none" w:sz="0" w:space="0" w:color="auto"/>
            <w:bottom w:val="none" w:sz="0" w:space="0" w:color="auto"/>
            <w:right w:val="none" w:sz="0" w:space="0" w:color="auto"/>
          </w:divBdr>
        </w:div>
        <w:div w:id="350881013">
          <w:marLeft w:val="864"/>
          <w:marRight w:val="0"/>
          <w:marTop w:val="0"/>
          <w:marBottom w:val="101"/>
          <w:divBdr>
            <w:top w:val="none" w:sz="0" w:space="0" w:color="auto"/>
            <w:left w:val="none" w:sz="0" w:space="0" w:color="auto"/>
            <w:bottom w:val="none" w:sz="0" w:space="0" w:color="auto"/>
            <w:right w:val="none" w:sz="0" w:space="0" w:color="auto"/>
          </w:divBdr>
        </w:div>
        <w:div w:id="932207821">
          <w:marLeft w:val="864"/>
          <w:marRight w:val="0"/>
          <w:marTop w:val="0"/>
          <w:marBottom w:val="101"/>
          <w:divBdr>
            <w:top w:val="none" w:sz="0" w:space="0" w:color="auto"/>
            <w:left w:val="none" w:sz="0" w:space="0" w:color="auto"/>
            <w:bottom w:val="none" w:sz="0" w:space="0" w:color="auto"/>
            <w:right w:val="none" w:sz="0" w:space="0" w:color="auto"/>
          </w:divBdr>
        </w:div>
        <w:div w:id="1089043045">
          <w:marLeft w:val="864"/>
          <w:marRight w:val="0"/>
          <w:marTop w:val="0"/>
          <w:marBottom w:val="101"/>
          <w:divBdr>
            <w:top w:val="none" w:sz="0" w:space="0" w:color="auto"/>
            <w:left w:val="none" w:sz="0" w:space="0" w:color="auto"/>
            <w:bottom w:val="none" w:sz="0" w:space="0" w:color="auto"/>
            <w:right w:val="none" w:sz="0" w:space="0" w:color="auto"/>
          </w:divBdr>
        </w:div>
        <w:div w:id="594558755">
          <w:marLeft w:val="864"/>
          <w:marRight w:val="0"/>
          <w:marTop w:val="0"/>
          <w:marBottom w:val="101"/>
          <w:divBdr>
            <w:top w:val="none" w:sz="0" w:space="0" w:color="auto"/>
            <w:left w:val="none" w:sz="0" w:space="0" w:color="auto"/>
            <w:bottom w:val="none" w:sz="0" w:space="0" w:color="auto"/>
            <w:right w:val="none" w:sz="0" w:space="0" w:color="auto"/>
          </w:divBdr>
        </w:div>
        <w:div w:id="1184972890">
          <w:marLeft w:val="864"/>
          <w:marRight w:val="0"/>
          <w:marTop w:val="0"/>
          <w:marBottom w:val="101"/>
          <w:divBdr>
            <w:top w:val="none" w:sz="0" w:space="0" w:color="auto"/>
            <w:left w:val="none" w:sz="0" w:space="0" w:color="auto"/>
            <w:bottom w:val="none" w:sz="0" w:space="0" w:color="auto"/>
            <w:right w:val="none" w:sz="0" w:space="0" w:color="auto"/>
          </w:divBdr>
        </w:div>
        <w:div w:id="1680157222">
          <w:marLeft w:val="0"/>
          <w:marRight w:val="0"/>
          <w:marTop w:val="0"/>
          <w:marBottom w:val="101"/>
          <w:divBdr>
            <w:top w:val="none" w:sz="0" w:space="0" w:color="auto"/>
            <w:left w:val="none" w:sz="0" w:space="0" w:color="auto"/>
            <w:bottom w:val="none" w:sz="0" w:space="0" w:color="auto"/>
            <w:right w:val="none" w:sz="0" w:space="0" w:color="auto"/>
          </w:divBdr>
        </w:div>
        <w:div w:id="110634744">
          <w:marLeft w:val="864"/>
          <w:marRight w:val="0"/>
          <w:marTop w:val="0"/>
          <w:marBottom w:val="101"/>
          <w:divBdr>
            <w:top w:val="none" w:sz="0" w:space="0" w:color="auto"/>
            <w:left w:val="none" w:sz="0" w:space="0" w:color="auto"/>
            <w:bottom w:val="none" w:sz="0" w:space="0" w:color="auto"/>
            <w:right w:val="none" w:sz="0" w:space="0" w:color="auto"/>
          </w:divBdr>
        </w:div>
        <w:div w:id="2112581026">
          <w:marLeft w:val="864"/>
          <w:marRight w:val="0"/>
          <w:marTop w:val="0"/>
          <w:marBottom w:val="101"/>
          <w:divBdr>
            <w:top w:val="none" w:sz="0" w:space="0" w:color="auto"/>
            <w:left w:val="none" w:sz="0" w:space="0" w:color="auto"/>
            <w:bottom w:val="none" w:sz="0" w:space="0" w:color="auto"/>
            <w:right w:val="none" w:sz="0" w:space="0" w:color="auto"/>
          </w:divBdr>
        </w:div>
        <w:div w:id="260265394">
          <w:marLeft w:val="864"/>
          <w:marRight w:val="0"/>
          <w:marTop w:val="0"/>
          <w:marBottom w:val="101"/>
          <w:divBdr>
            <w:top w:val="none" w:sz="0" w:space="0" w:color="auto"/>
            <w:left w:val="none" w:sz="0" w:space="0" w:color="auto"/>
            <w:bottom w:val="none" w:sz="0" w:space="0" w:color="auto"/>
            <w:right w:val="none" w:sz="0" w:space="0" w:color="auto"/>
          </w:divBdr>
        </w:div>
        <w:div w:id="875966846">
          <w:marLeft w:val="864"/>
          <w:marRight w:val="0"/>
          <w:marTop w:val="0"/>
          <w:marBottom w:val="101"/>
          <w:divBdr>
            <w:top w:val="none" w:sz="0" w:space="0" w:color="auto"/>
            <w:left w:val="none" w:sz="0" w:space="0" w:color="auto"/>
            <w:bottom w:val="none" w:sz="0" w:space="0" w:color="auto"/>
            <w:right w:val="none" w:sz="0" w:space="0" w:color="auto"/>
          </w:divBdr>
        </w:div>
        <w:div w:id="1030567637">
          <w:marLeft w:val="864"/>
          <w:marRight w:val="0"/>
          <w:marTop w:val="0"/>
          <w:marBottom w:val="101"/>
          <w:divBdr>
            <w:top w:val="none" w:sz="0" w:space="0" w:color="auto"/>
            <w:left w:val="none" w:sz="0" w:space="0" w:color="auto"/>
            <w:bottom w:val="none" w:sz="0" w:space="0" w:color="auto"/>
            <w:right w:val="none" w:sz="0" w:space="0" w:color="auto"/>
          </w:divBdr>
        </w:div>
        <w:div w:id="761727917">
          <w:marLeft w:val="864"/>
          <w:marRight w:val="0"/>
          <w:marTop w:val="0"/>
          <w:marBottom w:val="101"/>
          <w:divBdr>
            <w:top w:val="none" w:sz="0" w:space="0" w:color="auto"/>
            <w:left w:val="none" w:sz="0" w:space="0" w:color="auto"/>
            <w:bottom w:val="none" w:sz="0" w:space="0" w:color="auto"/>
            <w:right w:val="none" w:sz="0" w:space="0" w:color="auto"/>
          </w:divBdr>
        </w:div>
        <w:div w:id="1984963515">
          <w:marLeft w:val="864"/>
          <w:marRight w:val="0"/>
          <w:marTop w:val="0"/>
          <w:marBottom w:val="101"/>
          <w:divBdr>
            <w:top w:val="none" w:sz="0" w:space="0" w:color="auto"/>
            <w:left w:val="none" w:sz="0" w:space="0" w:color="auto"/>
            <w:bottom w:val="none" w:sz="0" w:space="0" w:color="auto"/>
            <w:right w:val="none" w:sz="0" w:space="0" w:color="auto"/>
          </w:divBdr>
        </w:div>
        <w:div w:id="1644461570">
          <w:marLeft w:val="864"/>
          <w:marRight w:val="0"/>
          <w:marTop w:val="0"/>
          <w:marBottom w:val="101"/>
          <w:divBdr>
            <w:top w:val="none" w:sz="0" w:space="0" w:color="auto"/>
            <w:left w:val="none" w:sz="0" w:space="0" w:color="auto"/>
            <w:bottom w:val="none" w:sz="0" w:space="0" w:color="auto"/>
            <w:right w:val="none" w:sz="0" w:space="0" w:color="auto"/>
          </w:divBdr>
        </w:div>
        <w:div w:id="1327660965">
          <w:marLeft w:val="864"/>
          <w:marRight w:val="0"/>
          <w:marTop w:val="0"/>
          <w:marBottom w:val="101"/>
          <w:divBdr>
            <w:top w:val="none" w:sz="0" w:space="0" w:color="auto"/>
            <w:left w:val="none" w:sz="0" w:space="0" w:color="auto"/>
            <w:bottom w:val="none" w:sz="0" w:space="0" w:color="auto"/>
            <w:right w:val="none" w:sz="0" w:space="0" w:color="auto"/>
          </w:divBdr>
        </w:div>
        <w:div w:id="318315655">
          <w:marLeft w:val="864"/>
          <w:marRight w:val="0"/>
          <w:marTop w:val="0"/>
          <w:marBottom w:val="101"/>
          <w:divBdr>
            <w:top w:val="none" w:sz="0" w:space="0" w:color="auto"/>
            <w:left w:val="none" w:sz="0" w:space="0" w:color="auto"/>
            <w:bottom w:val="none" w:sz="0" w:space="0" w:color="auto"/>
            <w:right w:val="none" w:sz="0" w:space="0" w:color="auto"/>
          </w:divBdr>
        </w:div>
        <w:div w:id="56586738">
          <w:marLeft w:val="864"/>
          <w:marRight w:val="0"/>
          <w:marTop w:val="0"/>
          <w:marBottom w:val="101"/>
          <w:divBdr>
            <w:top w:val="none" w:sz="0" w:space="0" w:color="auto"/>
            <w:left w:val="none" w:sz="0" w:space="0" w:color="auto"/>
            <w:bottom w:val="none" w:sz="0" w:space="0" w:color="auto"/>
            <w:right w:val="none" w:sz="0" w:space="0" w:color="auto"/>
          </w:divBdr>
        </w:div>
        <w:div w:id="1930432031">
          <w:marLeft w:val="864"/>
          <w:marRight w:val="0"/>
          <w:marTop w:val="0"/>
          <w:marBottom w:val="101"/>
          <w:divBdr>
            <w:top w:val="none" w:sz="0" w:space="0" w:color="auto"/>
            <w:left w:val="none" w:sz="0" w:space="0" w:color="auto"/>
            <w:bottom w:val="none" w:sz="0" w:space="0" w:color="auto"/>
            <w:right w:val="none" w:sz="0" w:space="0" w:color="auto"/>
          </w:divBdr>
        </w:div>
        <w:div w:id="928973477">
          <w:marLeft w:val="0"/>
          <w:marRight w:val="0"/>
          <w:marTop w:val="0"/>
          <w:marBottom w:val="101"/>
          <w:divBdr>
            <w:top w:val="none" w:sz="0" w:space="0" w:color="auto"/>
            <w:left w:val="none" w:sz="0" w:space="0" w:color="auto"/>
            <w:bottom w:val="none" w:sz="0" w:space="0" w:color="auto"/>
            <w:right w:val="none" w:sz="0" w:space="0" w:color="auto"/>
          </w:divBdr>
        </w:div>
        <w:div w:id="2114857234">
          <w:marLeft w:val="0"/>
          <w:marRight w:val="0"/>
          <w:marTop w:val="0"/>
          <w:marBottom w:val="101"/>
          <w:divBdr>
            <w:top w:val="none" w:sz="0" w:space="0" w:color="auto"/>
            <w:left w:val="none" w:sz="0" w:space="0" w:color="auto"/>
            <w:bottom w:val="none" w:sz="0" w:space="0" w:color="auto"/>
            <w:right w:val="none" w:sz="0" w:space="0" w:color="auto"/>
          </w:divBdr>
        </w:div>
        <w:div w:id="634481206">
          <w:marLeft w:val="0"/>
          <w:marRight w:val="0"/>
          <w:marTop w:val="0"/>
          <w:marBottom w:val="90"/>
          <w:divBdr>
            <w:top w:val="none" w:sz="0" w:space="0" w:color="auto"/>
            <w:left w:val="none" w:sz="0" w:space="0" w:color="auto"/>
            <w:bottom w:val="none" w:sz="0" w:space="0" w:color="auto"/>
            <w:right w:val="none" w:sz="0" w:space="0" w:color="auto"/>
          </w:divBdr>
        </w:div>
        <w:div w:id="1248537102">
          <w:marLeft w:val="864"/>
          <w:marRight w:val="0"/>
          <w:marTop w:val="0"/>
          <w:marBottom w:val="90"/>
          <w:divBdr>
            <w:top w:val="none" w:sz="0" w:space="0" w:color="auto"/>
            <w:left w:val="none" w:sz="0" w:space="0" w:color="auto"/>
            <w:bottom w:val="none" w:sz="0" w:space="0" w:color="auto"/>
            <w:right w:val="none" w:sz="0" w:space="0" w:color="auto"/>
          </w:divBdr>
        </w:div>
        <w:div w:id="1914581617">
          <w:marLeft w:val="864"/>
          <w:marRight w:val="0"/>
          <w:marTop w:val="0"/>
          <w:marBottom w:val="90"/>
          <w:divBdr>
            <w:top w:val="none" w:sz="0" w:space="0" w:color="auto"/>
            <w:left w:val="none" w:sz="0" w:space="0" w:color="auto"/>
            <w:bottom w:val="none" w:sz="0" w:space="0" w:color="auto"/>
            <w:right w:val="none" w:sz="0" w:space="0" w:color="auto"/>
          </w:divBdr>
        </w:div>
        <w:div w:id="597568732">
          <w:marLeft w:val="864"/>
          <w:marRight w:val="0"/>
          <w:marTop w:val="0"/>
          <w:marBottom w:val="90"/>
          <w:divBdr>
            <w:top w:val="none" w:sz="0" w:space="0" w:color="auto"/>
            <w:left w:val="none" w:sz="0" w:space="0" w:color="auto"/>
            <w:bottom w:val="none" w:sz="0" w:space="0" w:color="auto"/>
            <w:right w:val="none" w:sz="0" w:space="0" w:color="auto"/>
          </w:divBdr>
        </w:div>
        <w:div w:id="103232017">
          <w:marLeft w:val="0"/>
          <w:marRight w:val="0"/>
          <w:marTop w:val="0"/>
          <w:marBottom w:val="90"/>
          <w:divBdr>
            <w:top w:val="none" w:sz="0" w:space="0" w:color="auto"/>
            <w:left w:val="none" w:sz="0" w:space="0" w:color="auto"/>
            <w:bottom w:val="none" w:sz="0" w:space="0" w:color="auto"/>
            <w:right w:val="none" w:sz="0" w:space="0" w:color="auto"/>
          </w:divBdr>
        </w:div>
        <w:div w:id="978076311">
          <w:marLeft w:val="0"/>
          <w:marRight w:val="0"/>
          <w:marTop w:val="0"/>
          <w:marBottom w:val="90"/>
          <w:divBdr>
            <w:top w:val="none" w:sz="0" w:space="0" w:color="auto"/>
            <w:left w:val="none" w:sz="0" w:space="0" w:color="auto"/>
            <w:bottom w:val="none" w:sz="0" w:space="0" w:color="auto"/>
            <w:right w:val="none" w:sz="0" w:space="0" w:color="auto"/>
          </w:divBdr>
        </w:div>
        <w:div w:id="878007385">
          <w:marLeft w:val="864"/>
          <w:marRight w:val="0"/>
          <w:marTop w:val="0"/>
          <w:marBottom w:val="90"/>
          <w:divBdr>
            <w:top w:val="none" w:sz="0" w:space="0" w:color="auto"/>
            <w:left w:val="none" w:sz="0" w:space="0" w:color="auto"/>
            <w:bottom w:val="none" w:sz="0" w:space="0" w:color="auto"/>
            <w:right w:val="none" w:sz="0" w:space="0" w:color="auto"/>
          </w:divBdr>
        </w:div>
        <w:div w:id="1866627825">
          <w:marLeft w:val="864"/>
          <w:marRight w:val="0"/>
          <w:marTop w:val="0"/>
          <w:marBottom w:val="90"/>
          <w:divBdr>
            <w:top w:val="none" w:sz="0" w:space="0" w:color="auto"/>
            <w:left w:val="none" w:sz="0" w:space="0" w:color="auto"/>
            <w:bottom w:val="none" w:sz="0" w:space="0" w:color="auto"/>
            <w:right w:val="none" w:sz="0" w:space="0" w:color="auto"/>
          </w:divBdr>
        </w:div>
        <w:div w:id="585070077">
          <w:marLeft w:val="864"/>
          <w:marRight w:val="0"/>
          <w:marTop w:val="0"/>
          <w:marBottom w:val="90"/>
          <w:divBdr>
            <w:top w:val="none" w:sz="0" w:space="0" w:color="auto"/>
            <w:left w:val="none" w:sz="0" w:space="0" w:color="auto"/>
            <w:bottom w:val="none" w:sz="0" w:space="0" w:color="auto"/>
            <w:right w:val="none" w:sz="0" w:space="0" w:color="auto"/>
          </w:divBdr>
        </w:div>
        <w:div w:id="111478194">
          <w:marLeft w:val="864"/>
          <w:marRight w:val="0"/>
          <w:marTop w:val="0"/>
          <w:marBottom w:val="90"/>
          <w:divBdr>
            <w:top w:val="none" w:sz="0" w:space="0" w:color="auto"/>
            <w:left w:val="none" w:sz="0" w:space="0" w:color="auto"/>
            <w:bottom w:val="none" w:sz="0" w:space="0" w:color="auto"/>
            <w:right w:val="none" w:sz="0" w:space="0" w:color="auto"/>
          </w:divBdr>
        </w:div>
        <w:div w:id="136387138">
          <w:marLeft w:val="864"/>
          <w:marRight w:val="0"/>
          <w:marTop w:val="0"/>
          <w:marBottom w:val="90"/>
          <w:divBdr>
            <w:top w:val="none" w:sz="0" w:space="0" w:color="auto"/>
            <w:left w:val="none" w:sz="0" w:space="0" w:color="auto"/>
            <w:bottom w:val="none" w:sz="0" w:space="0" w:color="auto"/>
            <w:right w:val="none" w:sz="0" w:space="0" w:color="auto"/>
          </w:divBdr>
        </w:div>
        <w:div w:id="1985969178">
          <w:marLeft w:val="864"/>
          <w:marRight w:val="0"/>
          <w:marTop w:val="0"/>
          <w:marBottom w:val="90"/>
          <w:divBdr>
            <w:top w:val="none" w:sz="0" w:space="0" w:color="auto"/>
            <w:left w:val="none" w:sz="0" w:space="0" w:color="auto"/>
            <w:bottom w:val="none" w:sz="0" w:space="0" w:color="auto"/>
            <w:right w:val="none" w:sz="0" w:space="0" w:color="auto"/>
          </w:divBdr>
        </w:div>
        <w:div w:id="629632013">
          <w:marLeft w:val="864"/>
          <w:marRight w:val="0"/>
          <w:marTop w:val="0"/>
          <w:marBottom w:val="90"/>
          <w:divBdr>
            <w:top w:val="none" w:sz="0" w:space="0" w:color="auto"/>
            <w:left w:val="none" w:sz="0" w:space="0" w:color="auto"/>
            <w:bottom w:val="none" w:sz="0" w:space="0" w:color="auto"/>
            <w:right w:val="none" w:sz="0" w:space="0" w:color="auto"/>
          </w:divBdr>
        </w:div>
        <w:div w:id="1734769348">
          <w:marLeft w:val="0"/>
          <w:marRight w:val="0"/>
          <w:marTop w:val="0"/>
          <w:marBottom w:val="90"/>
          <w:divBdr>
            <w:top w:val="none" w:sz="0" w:space="0" w:color="auto"/>
            <w:left w:val="none" w:sz="0" w:space="0" w:color="auto"/>
            <w:bottom w:val="none" w:sz="0" w:space="0" w:color="auto"/>
            <w:right w:val="none" w:sz="0" w:space="0" w:color="auto"/>
          </w:divBdr>
        </w:div>
        <w:div w:id="1810592796">
          <w:marLeft w:val="0"/>
          <w:marRight w:val="0"/>
          <w:marTop w:val="0"/>
          <w:marBottom w:val="90"/>
          <w:divBdr>
            <w:top w:val="none" w:sz="0" w:space="0" w:color="auto"/>
            <w:left w:val="none" w:sz="0" w:space="0" w:color="auto"/>
            <w:bottom w:val="none" w:sz="0" w:space="0" w:color="auto"/>
            <w:right w:val="none" w:sz="0" w:space="0" w:color="auto"/>
          </w:divBdr>
        </w:div>
        <w:div w:id="2105491634">
          <w:marLeft w:val="0"/>
          <w:marRight w:val="0"/>
          <w:marTop w:val="0"/>
          <w:marBottom w:val="90"/>
          <w:divBdr>
            <w:top w:val="none" w:sz="0" w:space="0" w:color="auto"/>
            <w:left w:val="none" w:sz="0" w:space="0" w:color="auto"/>
            <w:bottom w:val="none" w:sz="0" w:space="0" w:color="auto"/>
            <w:right w:val="none" w:sz="0" w:space="0" w:color="auto"/>
          </w:divBdr>
        </w:div>
        <w:div w:id="1012490466">
          <w:marLeft w:val="0"/>
          <w:marRight w:val="0"/>
          <w:marTop w:val="0"/>
          <w:marBottom w:val="90"/>
          <w:divBdr>
            <w:top w:val="none" w:sz="0" w:space="0" w:color="auto"/>
            <w:left w:val="none" w:sz="0" w:space="0" w:color="auto"/>
            <w:bottom w:val="none" w:sz="0" w:space="0" w:color="auto"/>
            <w:right w:val="none" w:sz="0" w:space="0" w:color="auto"/>
          </w:divBdr>
        </w:div>
        <w:div w:id="1869559631">
          <w:marLeft w:val="0"/>
          <w:marRight w:val="0"/>
          <w:marTop w:val="0"/>
          <w:marBottom w:val="90"/>
          <w:divBdr>
            <w:top w:val="none" w:sz="0" w:space="0" w:color="auto"/>
            <w:left w:val="none" w:sz="0" w:space="0" w:color="auto"/>
            <w:bottom w:val="none" w:sz="0" w:space="0" w:color="auto"/>
            <w:right w:val="none" w:sz="0" w:space="0" w:color="auto"/>
          </w:divBdr>
        </w:div>
        <w:div w:id="1604994583">
          <w:marLeft w:val="0"/>
          <w:marRight w:val="0"/>
          <w:marTop w:val="0"/>
          <w:marBottom w:val="90"/>
          <w:divBdr>
            <w:top w:val="none" w:sz="0" w:space="0" w:color="auto"/>
            <w:left w:val="none" w:sz="0" w:space="0" w:color="auto"/>
            <w:bottom w:val="none" w:sz="0" w:space="0" w:color="auto"/>
            <w:right w:val="none" w:sz="0" w:space="0" w:color="auto"/>
          </w:divBdr>
        </w:div>
        <w:div w:id="2144275954">
          <w:marLeft w:val="0"/>
          <w:marRight w:val="0"/>
          <w:marTop w:val="0"/>
          <w:marBottom w:val="90"/>
          <w:divBdr>
            <w:top w:val="none" w:sz="0" w:space="0" w:color="auto"/>
            <w:left w:val="none" w:sz="0" w:space="0" w:color="auto"/>
            <w:bottom w:val="none" w:sz="0" w:space="0" w:color="auto"/>
            <w:right w:val="none" w:sz="0" w:space="0" w:color="auto"/>
          </w:divBdr>
        </w:div>
        <w:div w:id="2102600291">
          <w:marLeft w:val="0"/>
          <w:marRight w:val="0"/>
          <w:marTop w:val="0"/>
          <w:marBottom w:val="90"/>
          <w:divBdr>
            <w:top w:val="none" w:sz="0" w:space="0" w:color="auto"/>
            <w:left w:val="none" w:sz="0" w:space="0" w:color="auto"/>
            <w:bottom w:val="none" w:sz="0" w:space="0" w:color="auto"/>
            <w:right w:val="none" w:sz="0" w:space="0" w:color="auto"/>
          </w:divBdr>
        </w:div>
        <w:div w:id="1144662621">
          <w:marLeft w:val="0"/>
          <w:marRight w:val="0"/>
          <w:marTop w:val="0"/>
          <w:marBottom w:val="90"/>
          <w:divBdr>
            <w:top w:val="none" w:sz="0" w:space="0" w:color="auto"/>
            <w:left w:val="none" w:sz="0" w:space="0" w:color="auto"/>
            <w:bottom w:val="none" w:sz="0" w:space="0" w:color="auto"/>
            <w:right w:val="none" w:sz="0" w:space="0" w:color="auto"/>
          </w:divBdr>
        </w:div>
        <w:div w:id="1284071159">
          <w:marLeft w:val="0"/>
          <w:marRight w:val="0"/>
          <w:marTop w:val="0"/>
          <w:marBottom w:val="90"/>
          <w:divBdr>
            <w:top w:val="none" w:sz="0" w:space="0" w:color="auto"/>
            <w:left w:val="none" w:sz="0" w:space="0" w:color="auto"/>
            <w:bottom w:val="none" w:sz="0" w:space="0" w:color="auto"/>
            <w:right w:val="none" w:sz="0" w:space="0" w:color="auto"/>
          </w:divBdr>
        </w:div>
        <w:div w:id="1358770356">
          <w:marLeft w:val="0"/>
          <w:marRight w:val="0"/>
          <w:marTop w:val="0"/>
          <w:marBottom w:val="90"/>
          <w:divBdr>
            <w:top w:val="none" w:sz="0" w:space="0" w:color="auto"/>
            <w:left w:val="none" w:sz="0" w:space="0" w:color="auto"/>
            <w:bottom w:val="none" w:sz="0" w:space="0" w:color="auto"/>
            <w:right w:val="none" w:sz="0" w:space="0" w:color="auto"/>
          </w:divBdr>
        </w:div>
        <w:div w:id="1654068661">
          <w:marLeft w:val="0"/>
          <w:marRight w:val="0"/>
          <w:marTop w:val="0"/>
          <w:marBottom w:val="90"/>
          <w:divBdr>
            <w:top w:val="none" w:sz="0" w:space="0" w:color="auto"/>
            <w:left w:val="none" w:sz="0" w:space="0" w:color="auto"/>
            <w:bottom w:val="none" w:sz="0" w:space="0" w:color="auto"/>
            <w:right w:val="none" w:sz="0" w:space="0" w:color="auto"/>
          </w:divBdr>
        </w:div>
        <w:div w:id="1438867008">
          <w:marLeft w:val="0"/>
          <w:marRight w:val="0"/>
          <w:marTop w:val="0"/>
          <w:marBottom w:val="90"/>
          <w:divBdr>
            <w:top w:val="none" w:sz="0" w:space="0" w:color="auto"/>
            <w:left w:val="none" w:sz="0" w:space="0" w:color="auto"/>
            <w:bottom w:val="none" w:sz="0" w:space="0" w:color="auto"/>
            <w:right w:val="none" w:sz="0" w:space="0" w:color="auto"/>
          </w:divBdr>
        </w:div>
        <w:div w:id="1395667454">
          <w:marLeft w:val="0"/>
          <w:marRight w:val="0"/>
          <w:marTop w:val="0"/>
          <w:marBottom w:val="90"/>
          <w:divBdr>
            <w:top w:val="none" w:sz="0" w:space="0" w:color="auto"/>
            <w:left w:val="none" w:sz="0" w:space="0" w:color="auto"/>
            <w:bottom w:val="none" w:sz="0" w:space="0" w:color="auto"/>
            <w:right w:val="none" w:sz="0" w:space="0" w:color="auto"/>
          </w:divBdr>
        </w:div>
        <w:div w:id="1940526881">
          <w:marLeft w:val="0"/>
          <w:marRight w:val="0"/>
          <w:marTop w:val="0"/>
          <w:marBottom w:val="90"/>
          <w:divBdr>
            <w:top w:val="none" w:sz="0" w:space="0" w:color="auto"/>
            <w:left w:val="none" w:sz="0" w:space="0" w:color="auto"/>
            <w:bottom w:val="none" w:sz="0" w:space="0" w:color="auto"/>
            <w:right w:val="none" w:sz="0" w:space="0" w:color="auto"/>
          </w:divBdr>
        </w:div>
        <w:div w:id="1459957993">
          <w:marLeft w:val="0"/>
          <w:marRight w:val="0"/>
          <w:marTop w:val="101"/>
          <w:marBottom w:val="90"/>
          <w:divBdr>
            <w:top w:val="none" w:sz="0" w:space="0" w:color="auto"/>
            <w:left w:val="none" w:sz="0" w:space="0" w:color="auto"/>
            <w:bottom w:val="none" w:sz="0" w:space="0" w:color="auto"/>
            <w:right w:val="none" w:sz="0" w:space="0" w:color="auto"/>
          </w:divBdr>
        </w:div>
        <w:div w:id="2050494297">
          <w:marLeft w:val="0"/>
          <w:marRight w:val="0"/>
          <w:marTop w:val="0"/>
          <w:marBottom w:val="90"/>
          <w:divBdr>
            <w:top w:val="none" w:sz="0" w:space="0" w:color="auto"/>
            <w:left w:val="none" w:sz="0" w:space="0" w:color="auto"/>
            <w:bottom w:val="none" w:sz="0" w:space="0" w:color="auto"/>
            <w:right w:val="none" w:sz="0" w:space="0" w:color="auto"/>
          </w:divBdr>
        </w:div>
        <w:div w:id="1602370720">
          <w:marLeft w:val="0"/>
          <w:marRight w:val="0"/>
          <w:marTop w:val="0"/>
          <w:marBottom w:val="90"/>
          <w:divBdr>
            <w:top w:val="none" w:sz="0" w:space="0" w:color="auto"/>
            <w:left w:val="none" w:sz="0" w:space="0" w:color="auto"/>
            <w:bottom w:val="none" w:sz="0" w:space="0" w:color="auto"/>
            <w:right w:val="none" w:sz="0" w:space="0" w:color="auto"/>
          </w:divBdr>
        </w:div>
        <w:div w:id="1350178842">
          <w:marLeft w:val="0"/>
          <w:marRight w:val="0"/>
          <w:marTop w:val="0"/>
          <w:marBottom w:val="90"/>
          <w:divBdr>
            <w:top w:val="none" w:sz="0" w:space="0" w:color="auto"/>
            <w:left w:val="none" w:sz="0" w:space="0" w:color="auto"/>
            <w:bottom w:val="none" w:sz="0" w:space="0" w:color="auto"/>
            <w:right w:val="none" w:sz="0" w:space="0" w:color="auto"/>
          </w:divBdr>
        </w:div>
        <w:div w:id="845023838">
          <w:marLeft w:val="0"/>
          <w:marRight w:val="0"/>
          <w:marTop w:val="0"/>
          <w:marBottom w:val="90"/>
          <w:divBdr>
            <w:top w:val="none" w:sz="0" w:space="0" w:color="auto"/>
            <w:left w:val="none" w:sz="0" w:space="0" w:color="auto"/>
            <w:bottom w:val="none" w:sz="0" w:space="0" w:color="auto"/>
            <w:right w:val="none" w:sz="0" w:space="0" w:color="auto"/>
          </w:divBdr>
        </w:div>
      </w:divsChild>
    </w:div>
    <w:div w:id="1181116905">
      <w:bodyDiv w:val="1"/>
      <w:marLeft w:val="0"/>
      <w:marRight w:val="0"/>
      <w:marTop w:val="0"/>
      <w:marBottom w:val="0"/>
      <w:divBdr>
        <w:top w:val="none" w:sz="0" w:space="0" w:color="auto"/>
        <w:left w:val="none" w:sz="0" w:space="0" w:color="auto"/>
        <w:bottom w:val="none" w:sz="0" w:space="0" w:color="auto"/>
        <w:right w:val="none" w:sz="0" w:space="0" w:color="auto"/>
      </w:divBdr>
    </w:div>
    <w:div w:id="1438331088">
      <w:bodyDiv w:val="1"/>
      <w:marLeft w:val="0"/>
      <w:marRight w:val="0"/>
      <w:marTop w:val="0"/>
      <w:marBottom w:val="0"/>
      <w:divBdr>
        <w:top w:val="none" w:sz="0" w:space="0" w:color="auto"/>
        <w:left w:val="none" w:sz="0" w:space="0" w:color="auto"/>
        <w:bottom w:val="none" w:sz="0" w:space="0" w:color="auto"/>
        <w:right w:val="none" w:sz="0" w:space="0" w:color="auto"/>
      </w:divBdr>
    </w:div>
    <w:div w:id="2049723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4131</Words>
  <Characters>22722</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2019-05-20T13:26:00Z</dcterms:created>
  <dcterms:modified xsi:type="dcterms:W3CDTF">2019-05-20T13:26:00Z</dcterms:modified>
</cp:coreProperties>
</file>