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Verdana" w:cs="Verdana"/>
          <w:b/>
          <w:bCs/>
          <w:color w:val="0000FF"/>
          <w:sz w:val="24"/>
          <w:szCs w:val="24"/>
        </w:rPr>
      </w:pPr>
      <w:r>
        <w:rPr>
          <w:rFonts w:hint="default" w:ascii="Verdana" w:hAnsi="Verdana" w:eastAsia="Verdana"/>
          <w:b/>
          <w:bCs/>
          <w:color w:val="0000FF"/>
          <w:sz w:val="24"/>
          <w:szCs w:val="24"/>
        </w:rPr>
        <w:t>AVISO por el que se dan a conocer las bases de regulación tarifaria para el cobro de diferentes servicios portuarios, aplicables en diversos puertos de México.</w:t>
      </w:r>
      <w:r>
        <w:rPr>
          <w:rFonts w:ascii="Verdana" w:hAnsi="Verdana" w:eastAsia="Verdana" w:cs="Verdana"/>
          <w:b/>
          <w:color w:val="0000FF"/>
          <w:sz w:val="24"/>
          <w:szCs w:val="24"/>
        </w:rPr>
        <w:br w:type="textWrapping"/>
      </w:r>
      <w:bookmarkStart w:id="1" w:name="_GoBack"/>
      <w:r>
        <w:rPr>
          <w:rFonts w:ascii="Verdana" w:hAnsi="Verdana" w:eastAsia="Verdana" w:cs="Verdana"/>
          <w:b/>
          <w:color w:val="0000FF"/>
          <w:sz w:val="24"/>
          <w:szCs w:val="24"/>
        </w:rPr>
        <w:t xml:space="preserve">(DOF del </w:t>
      </w:r>
      <w:r>
        <w:rPr>
          <w:rFonts w:hint="default" w:ascii="Verdana" w:hAnsi="Verdana" w:eastAsia="Verdana" w:cs="Verdana"/>
          <w:b/>
          <w:color w:val="0000FF"/>
          <w:sz w:val="24"/>
          <w:szCs w:val="24"/>
          <w:lang w:val="es-MX"/>
        </w:rPr>
        <w:t>21</w:t>
      </w:r>
      <w:r>
        <w:rPr>
          <w:rFonts w:ascii="Verdana" w:hAnsi="Verdana" w:eastAsia="Verdana" w:cs="Verdana"/>
          <w:b/>
          <w:color w:val="0000FF"/>
          <w:sz w:val="24"/>
          <w:szCs w:val="24"/>
        </w:rPr>
        <w:t xml:space="preserve"> de </w:t>
      </w:r>
      <w:r>
        <w:rPr>
          <w:rFonts w:hint="default" w:ascii="Verdana" w:hAnsi="Verdana" w:eastAsia="Verdana" w:cs="Verdana"/>
          <w:b/>
          <w:color w:val="0000FF"/>
          <w:sz w:val="24"/>
          <w:szCs w:val="24"/>
          <w:lang w:val="es-MX"/>
        </w:rPr>
        <w:t xml:space="preserve">marzo </w:t>
      </w:r>
      <w:r>
        <w:rPr>
          <w:rFonts w:ascii="Verdana" w:hAnsi="Verdana" w:eastAsia="Verdana" w:cs="Verdana"/>
          <w:b/>
          <w:color w:val="0000FF"/>
          <w:sz w:val="24"/>
          <w:szCs w:val="24"/>
        </w:rPr>
        <w:t>de 2024)</w:t>
      </w:r>
      <w:bookmarkEnd w:id="1"/>
    </w:p>
    <w:p>
      <w:pPr>
        <w:jc w:val="both"/>
        <w:rPr>
          <w:rFonts w:hint="default" w:ascii="Arial" w:hAnsi="Arial" w:eastAsia="Times New Roman"/>
          <w:b/>
          <w:bCs/>
          <w:color w:val="2F2F2F"/>
          <w:sz w:val="20"/>
          <w:szCs w:val="16"/>
          <w:lang w:eastAsia="es-MX"/>
        </w:rPr>
      </w:pPr>
      <w:r>
        <w:rPr>
          <w:rFonts w:hint="default" w:ascii="Arial" w:hAnsi="Arial" w:eastAsia="Times New Roman"/>
          <w:b/>
          <w:bCs/>
          <w:color w:val="2F2F2F"/>
          <w:sz w:val="20"/>
          <w:szCs w:val="16"/>
          <w:lang w:eastAsia="es-MX"/>
        </w:rPr>
        <w:t>Al margen un sello con el Escudo Nacional, que dice: Estados Unidos Mexicanos.- MARINA.- Secretaría de Marina.</w:t>
      </w:r>
    </w:p>
    <w:p>
      <w:pPr>
        <w:keepNext w:val="0"/>
        <w:keepLines w:val="0"/>
        <w:widowControl/>
        <w:suppressLineNumbers w:val="0"/>
        <w:shd w:val="clear" w:fill="FFFFFF"/>
        <w:spacing w:after="67"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MARÍA MARISA ABARCA HERNÁNDEZ, Capitán de Altura, Directora General de Puertos, con fundamento en los artículos 30, fracciones XIV Bis, XIV Quáter y XXVII, de la Ley Orgánica de la Administración Pública Federal; 1o, 4o, fracción III, 16, fracciones II, VIII y XIV, 44, fracciones I y III, 45, 50, 51, fracción V, 59, 60 y 61, de la Ley de Puertos; 1, 3, 67 al 74, 81, 82 y 137, del Reglamento de la Ley de Puertos; la Regulación Tarifaria, publicada en el Diario Oficial de la Federación el 22 de diciembre de 1999; y en ejercicio de las facultades que me confieren los artículos 1, 3, fracción II, inciso j, numeral 6 y 33, fracciones X y XVII, del Reglamento Interior de la Secretaría de Marina</w:t>
      </w:r>
      <w:r>
        <w:rPr>
          <w:rFonts w:hint="default" w:ascii="Arial" w:hAnsi="Arial" w:eastAsia="SimSun" w:cs="Arial"/>
          <w:i w:val="0"/>
          <w:iCs w:val="0"/>
          <w:caps w:val="0"/>
          <w:color w:val="000000"/>
          <w:spacing w:val="0"/>
          <w:kern w:val="0"/>
          <w:sz w:val="18"/>
          <w:szCs w:val="18"/>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y</w:t>
      </w:r>
    </w:p>
    <w:p>
      <w:pPr>
        <w:keepNext w:val="0"/>
        <w:keepLines w:val="0"/>
        <w:widowControl/>
        <w:suppressLineNumbers w:val="0"/>
        <w:shd w:val="clear" w:fill="FFFFFF"/>
        <w:spacing w:before="101" w:beforeAutospacing="0" w:after="67"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w:t>
      </w:r>
    </w:p>
    <w:p>
      <w:pPr>
        <w:keepNext w:val="0"/>
        <w:keepLines w:val="0"/>
        <w:widowControl/>
        <w:suppressLineNumbers w:val="0"/>
        <w:shd w:val="clear" w:fill="FFFFFF"/>
        <w:spacing w:after="6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Secretaría de Marina, como Autoridad en materia de Puertos, tiene a su cargo las atribuciones conferidas por las Leyes Orgánica de la Administración Pública Federal, la de Navegación y Comercio Marítimos, la de Puertos, así como los tratados internacionales de los que el Estado Mexicano sea parte, para el control de los puertos, terminales, marinas e instalaciones portuarias, su construcción, uso, aprovechamiento, explotación, operación y formas de administración, así como para la prestación de los servicios portuarios;</w:t>
      </w:r>
    </w:p>
    <w:p>
      <w:pPr>
        <w:keepNext w:val="0"/>
        <w:keepLines w:val="0"/>
        <w:widowControl/>
        <w:suppressLineNumbers w:val="0"/>
        <w:shd w:val="clear" w:fill="FFFFFF"/>
        <w:spacing w:after="6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Secretaría de Marina, por conducto de la Dirección General de Puertos, tiene dentro de sus atribuciones, el establecer las bases de regulación tarifaria y de precios para el uso de determinados bienes en puertos, terminales, marinas y para la prestación de los servicios cuando no existan opciones portuarias o de otros modos de transporte que propicien un ambiente de competencia razonable;</w:t>
      </w:r>
    </w:p>
    <w:p>
      <w:pPr>
        <w:keepNext w:val="0"/>
        <w:keepLines w:val="0"/>
        <w:widowControl/>
        <w:suppressLineNumbers w:val="0"/>
        <w:shd w:val="clear" w:fill="FFFFFF"/>
        <w:spacing w:after="6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fueron recibidas diversas solicitudes en la Ventanilla de Gestión de Trámites de la Unidad de Capitanías de Puerto y Asuntos Marítimos, para el ajuste de actualización a las bases de regulación tarifaria de diferentes servicios portuarios, aplicables en diversos puertos de México, mismas que fueron autorizadas por la Dirección General de Puertos, y</w:t>
      </w:r>
    </w:p>
    <w:p>
      <w:pPr>
        <w:keepNext w:val="0"/>
        <w:keepLines w:val="0"/>
        <w:widowControl/>
        <w:suppressLineNumbers w:val="0"/>
        <w:shd w:val="clear" w:fill="FFFFFF"/>
        <w:spacing w:after="6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de conformidad con el artículo 137 del Reglamento de la Ley de Puertos, las bases de regulación tarifaria entrarán en vigor a partir de los veinte días hábiles siguientes a su publicación en el Diario Oficial de la Federación, por lo que he tenido a bien emitir el siguiente:</w:t>
      </w:r>
    </w:p>
    <w:p>
      <w:pPr>
        <w:keepNext w:val="0"/>
        <w:keepLines w:val="0"/>
        <w:widowControl/>
        <w:suppressLineNumbers w:val="0"/>
        <w:shd w:val="clear" w:fill="FFFFFF"/>
        <w:spacing w:before="101" w:beforeAutospacing="0" w:after="67"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"AVISO POR EL QUE SE DAN A CONOCER LAS BASES DE REGULACIÓN TARIFARIA PARA EL</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COBRO DE DIFERENTES SERVICIOS PORTUARIOS, APLICABLES EN DIVERSOS PUERTOS DE</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MÉXICO."</w:t>
      </w:r>
    </w:p>
    <w:p>
      <w:pPr>
        <w:keepNext w:val="0"/>
        <w:keepLines w:val="0"/>
        <w:widowControl/>
        <w:suppressLineNumbers w:val="0"/>
        <w:shd w:val="clear" w:fill="FFFFFF"/>
        <w:spacing w:after="6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ÚNICO.-</w:t>
      </w:r>
      <w:r>
        <w:rPr>
          <w:rFonts w:hint="default" w:ascii="Arial" w:hAnsi="Arial" w:eastAsia="SimSun" w:cs="Arial"/>
          <w:i w:val="0"/>
          <w:iCs w:val="0"/>
          <w:caps w:val="0"/>
          <w:color w:val="2F2F2F"/>
          <w:spacing w:val="0"/>
          <w:kern w:val="0"/>
          <w:sz w:val="18"/>
          <w:szCs w:val="18"/>
          <w:shd w:val="clear" w:fill="FFFFFF"/>
          <w:lang w:val="en-US" w:eastAsia="zh-CN" w:bidi="ar"/>
        </w:rPr>
        <w:t> Se hace del conocimiento del público en general, que fueron actualizadas las bases de regulación tarifaria para el cobro de diferentes servicios portuarios, aplicables en diversos puertos de México, mismas que pueden ser consultadas en las páginas electrónicas siguientes:</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362"/>
        <w:gridCol w:w="2361"/>
        <w:gridCol w:w="1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3" w:hRule="atLeast"/>
        </w:trPr>
        <w:tc>
          <w:tcPr>
            <w:tcW w:w="4561" w:type="dxa"/>
            <w:tcBorders>
              <w:top w:val="single" w:color="000000" w:sz="4" w:space="0"/>
              <w:left w:val="single" w:color="000000" w:sz="4" w:space="0"/>
              <w:bottom w:val="single" w:color="000000" w:sz="4" w:space="0"/>
              <w:right w:val="single" w:color="000000" w:sz="4" w:space="0"/>
            </w:tcBorders>
            <w:shd w:val="clear" w:color="auto" w:fill="FFFFFF"/>
            <w:tcMar>
              <w:top w:w="0" w:type="dxa"/>
              <w:left w:w="72" w:type="dxa"/>
              <w:bottom w:w="0" w:type="dxa"/>
              <w:right w:w="7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67" w:afterAutospacing="0"/>
              <w:ind w:left="0" w:firstLine="0"/>
              <w:jc w:val="center"/>
              <w:textAlignment w:val="center"/>
              <w:rPr>
                <w:rFonts w:hint="default" w:ascii="Arial" w:hAnsi="Arial" w:cs="Arial"/>
                <w:i w:val="0"/>
                <w:iCs w:val="0"/>
                <w:caps w:val="0"/>
                <w:color w:val="000000"/>
                <w:spacing w:val="0"/>
                <w:sz w:val="18"/>
                <w:szCs w:val="18"/>
              </w:rPr>
            </w:pPr>
            <w:r>
              <w:rPr>
                <w:rFonts w:hint="default" w:ascii="Arial" w:hAnsi="Arial" w:eastAsia="SimSun" w:cs="Arial"/>
                <w:b/>
                <w:bCs/>
                <w:i w:val="0"/>
                <w:iCs w:val="0"/>
                <w:caps w:val="0"/>
                <w:color w:val="000000"/>
                <w:spacing w:val="0"/>
                <w:kern w:val="0"/>
                <w:sz w:val="18"/>
                <w:szCs w:val="18"/>
                <w:lang w:val="en-US" w:eastAsia="zh-CN" w:bidi="ar"/>
              </w:rPr>
              <w:t>Prestador del servicio</w:t>
            </w:r>
          </w:p>
        </w:tc>
        <w:tc>
          <w:tcPr>
            <w:tcW w:w="2499" w:type="dxa"/>
            <w:tcBorders>
              <w:top w:val="single" w:color="000000" w:sz="4" w:space="0"/>
              <w:left w:val="single" w:color="000000" w:sz="4" w:space="0"/>
              <w:bottom w:val="single" w:color="000000" w:sz="4" w:space="0"/>
              <w:right w:val="single" w:color="000000" w:sz="4" w:space="0"/>
            </w:tcBorders>
            <w:shd w:val="clear" w:color="auto" w:fill="FFFFFF"/>
            <w:tcMar>
              <w:top w:w="0" w:type="dxa"/>
              <w:left w:w="72" w:type="dxa"/>
              <w:bottom w:w="0" w:type="dxa"/>
              <w:right w:w="7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67" w:afterAutospacing="0"/>
              <w:ind w:left="0" w:firstLine="0"/>
              <w:jc w:val="center"/>
              <w:textAlignment w:val="center"/>
              <w:rPr>
                <w:rFonts w:hint="default" w:ascii="Arial" w:hAnsi="Arial" w:cs="Arial"/>
                <w:i w:val="0"/>
                <w:iCs w:val="0"/>
                <w:caps w:val="0"/>
                <w:color w:val="000000"/>
                <w:spacing w:val="0"/>
                <w:sz w:val="18"/>
                <w:szCs w:val="18"/>
              </w:rPr>
            </w:pPr>
            <w:r>
              <w:rPr>
                <w:rFonts w:hint="default" w:ascii="Arial" w:hAnsi="Arial" w:eastAsia="SimSun" w:cs="Arial"/>
                <w:b/>
                <w:bCs/>
                <w:i w:val="0"/>
                <w:iCs w:val="0"/>
                <w:caps w:val="0"/>
                <w:color w:val="000000"/>
                <w:spacing w:val="0"/>
                <w:kern w:val="0"/>
                <w:sz w:val="18"/>
                <w:szCs w:val="18"/>
                <w:lang w:val="en-US" w:eastAsia="zh-CN" w:bidi="ar"/>
              </w:rPr>
              <w:t>Servicio portuario</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cMar>
              <w:top w:w="0" w:type="dxa"/>
              <w:left w:w="72" w:type="dxa"/>
              <w:bottom w:w="0" w:type="dxa"/>
              <w:right w:w="7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67" w:afterAutospacing="0"/>
              <w:ind w:left="0" w:firstLine="0"/>
              <w:jc w:val="center"/>
              <w:textAlignment w:val="center"/>
              <w:rPr>
                <w:rFonts w:hint="default" w:ascii="Arial" w:hAnsi="Arial" w:cs="Arial"/>
                <w:i w:val="0"/>
                <w:iCs w:val="0"/>
                <w:caps w:val="0"/>
                <w:color w:val="000000"/>
                <w:spacing w:val="0"/>
                <w:sz w:val="18"/>
                <w:szCs w:val="18"/>
              </w:rPr>
            </w:pPr>
            <w:r>
              <w:rPr>
                <w:rFonts w:hint="default" w:ascii="Arial" w:hAnsi="Arial" w:eastAsia="SimSun" w:cs="Arial"/>
                <w:b/>
                <w:bCs/>
                <w:i w:val="0"/>
                <w:iCs w:val="0"/>
                <w:caps w:val="0"/>
                <w:color w:val="000000"/>
                <w:spacing w:val="0"/>
                <w:kern w:val="0"/>
                <w:sz w:val="18"/>
                <w:szCs w:val="18"/>
                <w:lang w:val="en-US" w:eastAsia="zh-CN" w:bidi="ar"/>
              </w:rPr>
              <w:t>Puerto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61" w:hRule="atLeast"/>
        </w:trPr>
        <w:tc>
          <w:tcPr>
            <w:tcW w:w="4561" w:type="dxa"/>
            <w:tcBorders>
              <w:top w:val="single" w:color="000000" w:sz="4" w:space="0"/>
              <w:left w:val="single" w:color="000000" w:sz="4" w:space="0"/>
              <w:bottom w:val="single" w:color="000000" w:sz="4" w:space="0"/>
              <w:right w:val="single" w:color="000000" w:sz="4" w:space="0"/>
            </w:tcBorders>
            <w:shd w:val="clear" w:color="auto" w:fill="FFFFFF"/>
            <w:tcMar>
              <w:top w:w="0" w:type="dxa"/>
              <w:left w:w="72" w:type="dxa"/>
              <w:bottom w:w="0" w:type="dxa"/>
              <w:right w:w="72"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67" w:afterAutospacing="0"/>
              <w:ind w:left="0" w:firstLine="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Transferencias Portuarias del Pacífico, S.A. de C.V.</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67" w:afterAutospacing="0"/>
              <w:ind w:left="0" w:firstLine="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www.dof.gob.mx/2024/SEMAR/DGP.-0216_2024.pdf</w:t>
            </w:r>
          </w:p>
        </w:tc>
        <w:tc>
          <w:tcPr>
            <w:tcW w:w="2499" w:type="dxa"/>
            <w:tcBorders>
              <w:top w:val="single" w:color="000000" w:sz="4" w:space="0"/>
              <w:left w:val="single" w:color="000000" w:sz="4" w:space="0"/>
              <w:bottom w:val="single" w:color="000000" w:sz="4" w:space="0"/>
              <w:right w:val="single" w:color="000000" w:sz="4" w:space="0"/>
            </w:tcBorders>
            <w:shd w:val="clear" w:color="auto" w:fill="FFFFFF"/>
            <w:tcMar>
              <w:top w:w="0" w:type="dxa"/>
              <w:left w:w="72" w:type="dxa"/>
              <w:bottom w:w="0" w:type="dxa"/>
              <w:right w:w="72"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67" w:afterAutospacing="0"/>
              <w:ind w:left="0" w:firstLine="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Servicio de maniobras de contenedores, carga general y graneles minerales</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cMar>
              <w:top w:w="0" w:type="dxa"/>
              <w:left w:w="72" w:type="dxa"/>
              <w:bottom w:w="0" w:type="dxa"/>
              <w:right w:w="72"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67" w:afterAutospacing="0"/>
              <w:ind w:left="0" w:firstLine="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Guaymas, 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66" w:hRule="atLeast"/>
        </w:trPr>
        <w:tc>
          <w:tcPr>
            <w:tcW w:w="4561" w:type="dxa"/>
            <w:tcBorders>
              <w:top w:val="single" w:color="000000" w:sz="4" w:space="0"/>
              <w:left w:val="single" w:color="000000" w:sz="4" w:space="0"/>
              <w:bottom w:val="single" w:color="000000" w:sz="4" w:space="0"/>
              <w:right w:val="single" w:color="000000" w:sz="4" w:space="0"/>
            </w:tcBorders>
            <w:shd w:val="clear" w:color="auto" w:fill="FFFFFF"/>
            <w:tcMar>
              <w:top w:w="0" w:type="dxa"/>
              <w:left w:w="72" w:type="dxa"/>
              <w:bottom w:w="0" w:type="dxa"/>
              <w:right w:w="72"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67" w:afterAutospacing="0"/>
              <w:ind w:left="0" w:firstLine="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Vallarta Náutica, S.A. de C.V.</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67" w:afterAutospacing="0"/>
              <w:ind w:left="0" w:firstLine="0"/>
              <w:jc w:val="both"/>
              <w:textAlignment w:val="top"/>
              <w:rPr>
                <w:rFonts w:hint="default" w:ascii="Arial" w:hAnsi="Arial" w:cs="Arial"/>
                <w:i w:val="0"/>
                <w:iCs w:val="0"/>
                <w:caps w:val="0"/>
                <w:color w:val="000000"/>
                <w:spacing w:val="0"/>
                <w:sz w:val="18"/>
                <w:szCs w:val="18"/>
              </w:rPr>
            </w:pPr>
            <w:bookmarkStart w:id="0" w:name="_GoBack"/>
            <w:bookmarkEnd w:id="0"/>
            <w:r>
              <w:rPr>
                <w:rFonts w:hint="default" w:ascii="Arial" w:hAnsi="Arial" w:eastAsia="SimSun" w:cs="Arial"/>
                <w:i w:val="0"/>
                <w:iCs w:val="0"/>
                <w:caps w:val="0"/>
                <w:color w:val="000000"/>
                <w:spacing w:val="0"/>
                <w:kern w:val="0"/>
                <w:sz w:val="18"/>
                <w:szCs w:val="18"/>
                <w:lang w:val="en-US" w:eastAsia="zh-CN" w:bidi="ar"/>
              </w:rPr>
              <w:t>www.dof.gob.mx/2024/SEMAR/DGP.-0496_2024.pdf</w:t>
            </w:r>
          </w:p>
        </w:tc>
        <w:tc>
          <w:tcPr>
            <w:tcW w:w="2499" w:type="dxa"/>
            <w:tcBorders>
              <w:top w:val="single" w:color="000000" w:sz="4" w:space="0"/>
              <w:left w:val="single" w:color="000000" w:sz="4" w:space="0"/>
              <w:bottom w:val="single" w:color="000000" w:sz="4" w:space="0"/>
              <w:right w:val="single" w:color="000000" w:sz="4" w:space="0"/>
            </w:tcBorders>
            <w:shd w:val="clear" w:color="auto" w:fill="FFFFFF"/>
            <w:tcMar>
              <w:top w:w="0" w:type="dxa"/>
              <w:left w:w="72" w:type="dxa"/>
              <w:bottom w:w="0" w:type="dxa"/>
              <w:right w:w="72"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67" w:afterAutospacing="0"/>
              <w:ind w:left="0" w:firstLine="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Servicio de lanchaje y amarre o desamarre de cabos</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cMar>
              <w:top w:w="0" w:type="dxa"/>
              <w:left w:w="72" w:type="dxa"/>
              <w:bottom w:w="0" w:type="dxa"/>
              <w:right w:w="72"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67" w:afterAutospacing="0"/>
              <w:ind w:left="0" w:firstLine="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Puerto Vallarta, Jal.</w:t>
            </w:r>
          </w:p>
        </w:tc>
      </w:tr>
    </w:tbl>
    <w:p>
      <w:pPr>
        <w:keepNext w:val="0"/>
        <w:keepLines w:val="0"/>
        <w:widowControl/>
        <w:suppressLineNumbers w:val="0"/>
        <w:shd w:val="clear" w:fill="FFFFFF"/>
        <w:spacing w:after="6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 </w:t>
      </w:r>
    </w:p>
    <w:p>
      <w:pPr>
        <w:keepNext w:val="0"/>
        <w:keepLines w:val="0"/>
        <w:widowControl/>
        <w:suppressLineNumbers w:val="0"/>
        <w:shd w:val="clear" w:fill="FFFFFF"/>
        <w:spacing w:before="101" w:beforeAutospacing="0" w:after="67"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TRANSITORIOS</w:t>
      </w:r>
    </w:p>
    <w:p>
      <w:pPr>
        <w:keepNext w:val="0"/>
        <w:keepLines w:val="0"/>
        <w:widowControl/>
        <w:suppressLineNumbers w:val="0"/>
        <w:shd w:val="clear" w:fill="FFFFFF"/>
        <w:spacing w:after="6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PRIMERO.-</w:t>
      </w:r>
      <w:r>
        <w:rPr>
          <w:rFonts w:hint="default" w:ascii="Arial" w:hAnsi="Arial" w:eastAsia="SimSun" w:cs="Arial"/>
          <w:i w:val="0"/>
          <w:iCs w:val="0"/>
          <w:caps w:val="0"/>
          <w:color w:val="2F2F2F"/>
          <w:spacing w:val="0"/>
          <w:kern w:val="0"/>
          <w:sz w:val="18"/>
          <w:szCs w:val="18"/>
          <w:shd w:val="clear" w:fill="FFFFFF"/>
          <w:lang w:val="en-US" w:eastAsia="zh-CN" w:bidi="ar"/>
        </w:rPr>
        <w:t> El presente aviso entrará en vigor el día de su publicación en el Diario Oficial de la Federación.</w:t>
      </w:r>
    </w:p>
    <w:p>
      <w:pPr>
        <w:keepNext w:val="0"/>
        <w:keepLines w:val="0"/>
        <w:widowControl/>
        <w:suppressLineNumbers w:val="0"/>
        <w:shd w:val="clear" w:fill="FFFFFF"/>
        <w:spacing w:after="6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SEGUNDO.-</w:t>
      </w:r>
      <w:r>
        <w:rPr>
          <w:rFonts w:hint="default" w:ascii="Arial" w:hAnsi="Arial" w:eastAsia="SimSun" w:cs="Arial"/>
          <w:i w:val="0"/>
          <w:iCs w:val="0"/>
          <w:caps w:val="0"/>
          <w:color w:val="2F2F2F"/>
          <w:spacing w:val="0"/>
          <w:kern w:val="0"/>
          <w:sz w:val="18"/>
          <w:szCs w:val="18"/>
          <w:shd w:val="clear" w:fill="FFFFFF"/>
          <w:lang w:val="en-US" w:eastAsia="zh-CN" w:bidi="ar"/>
        </w:rPr>
        <w:t> Las bases de regulación tarifaria a que se refiere el presente aviso, entrarán en vigor a partir de los veinte días hábiles siguientes a su publicación en el Diario Oficial de la Federación.</w:t>
      </w:r>
    </w:p>
    <w:p>
      <w:pPr>
        <w:keepNext w:val="0"/>
        <w:keepLines w:val="0"/>
        <w:widowControl/>
        <w:suppressLineNumbers w:val="0"/>
        <w:shd w:val="clear" w:fill="FFFFFF"/>
        <w:spacing w:after="6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Atentamente</w:t>
      </w:r>
    </w:p>
    <w:p>
      <w:pPr>
        <w:keepNext w:val="0"/>
        <w:keepLines w:val="0"/>
        <w:widowControl/>
        <w:suppressLineNumbers w:val="0"/>
        <w:shd w:val="clear" w:fill="FFFFFF"/>
        <w:spacing w:after="67" w:afterAutospacing="0"/>
        <w:ind w:left="0" w:firstLine="288"/>
        <w:jc w:val="both"/>
      </w:pPr>
      <w:r>
        <w:rPr>
          <w:rFonts w:hint="default" w:ascii="Arial" w:hAnsi="Arial" w:eastAsia="SimSun" w:cs="Arial"/>
          <w:i w:val="0"/>
          <w:iCs w:val="0"/>
          <w:caps w:val="0"/>
          <w:color w:val="2F2F2F"/>
          <w:spacing w:val="0"/>
          <w:kern w:val="0"/>
          <w:sz w:val="18"/>
          <w:szCs w:val="18"/>
          <w:shd w:val="clear" w:fill="FFFFFF"/>
          <w:lang w:val="en-US" w:eastAsia="zh-CN" w:bidi="ar"/>
        </w:rPr>
        <w:t>Ciudad de México, a 21 de febrero de 2024.- La Directora General de Puertos, Capitán de Altura </w:t>
      </w:r>
      <w:r>
        <w:rPr>
          <w:rFonts w:hint="default" w:ascii="Arial" w:hAnsi="Arial" w:eastAsia="SimSun" w:cs="Arial"/>
          <w:b/>
          <w:bCs/>
          <w:i w:val="0"/>
          <w:iCs w:val="0"/>
          <w:caps w:val="0"/>
          <w:color w:val="2F2F2F"/>
          <w:spacing w:val="0"/>
          <w:kern w:val="0"/>
          <w:sz w:val="18"/>
          <w:szCs w:val="18"/>
          <w:shd w:val="clear" w:fill="FFFFFF"/>
          <w:lang w:val="en-US" w:eastAsia="zh-CN" w:bidi="ar"/>
        </w:rPr>
        <w:t>María Marisa Abarca Hernández</w:t>
      </w:r>
      <w:r>
        <w:rPr>
          <w:rFonts w:hint="default" w:ascii="Arial" w:hAnsi="Arial" w:eastAsia="SimSun" w:cs="Arial"/>
          <w:i w:val="0"/>
          <w:iCs w:val="0"/>
          <w:caps w:val="0"/>
          <w:color w:val="2F2F2F"/>
          <w:spacing w:val="0"/>
          <w:kern w:val="0"/>
          <w:sz w:val="18"/>
          <w:szCs w:val="18"/>
          <w:shd w:val="clear" w:fill="FFFFFF"/>
          <w:lang w:val="en-US" w:eastAsia="zh-CN" w:bidi="ar"/>
        </w:rPr>
        <w:t>.- Rúbrica.</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C4F13"/>
    <w:rsid w:val="5E0C4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2024-03-21T14:28:00Z</dcterms:created>
  <dc:creator>Nancy Guadalupe Escutia Báez</dc:creator>
  <cp:lastModifiedBy>Nancy Guadalupe Escutia Báez</cp:lastModifiedBy>
  <dcterms:modified xsi:type="dcterms:W3CDTF">2024-03-21T14:32:14Z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2058-12.2.0.13489</vt:lpwstr>
  </property>
  <property fmtid="{D5CDD505-2E9C-101B-9397-08002B2CF9AE}" pid="3" name="ICV">
    <vt:lpwstr>3727310E61584C129FE04AC38AC5969D_11</vt:lpwstr>
  </property>
</Properties>
</file>