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516" w:rsidRPr="00841D9A" w:rsidRDefault="00244516" w:rsidP="00244516">
      <w:pPr>
        <w:jc w:val="center"/>
        <w:rPr>
          <w:rFonts w:ascii="Verdana" w:eastAsia="Verdana" w:hAnsi="Verdana" w:cs="Verdana"/>
          <w:b/>
          <w:color w:val="0000FF"/>
          <w:sz w:val="24"/>
          <w:szCs w:val="24"/>
        </w:rPr>
      </w:pPr>
      <w:r w:rsidRPr="00244516">
        <w:rPr>
          <w:rFonts w:ascii="Verdana" w:eastAsia="Verdana" w:hAnsi="Verdana" w:cs="Verdana"/>
          <w:b/>
          <w:color w:val="0000FF"/>
          <w:sz w:val="24"/>
          <w:szCs w:val="24"/>
        </w:rPr>
        <w:t>DECRETO por el que se otorgan diversos beneficios fiscales a los contribuyentes de las zonas afectadas que se indican por lluvias severas y vientos fuertes durante el 24 de octubre de 2023.</w:t>
      </w:r>
      <w:r>
        <w:rPr>
          <w:rFonts w:ascii="Verdana" w:eastAsia="Verdana" w:hAnsi="Verdana" w:cs="Verdana"/>
          <w:b/>
          <w:color w:val="0000FF"/>
          <w:sz w:val="24"/>
          <w:szCs w:val="24"/>
        </w:rPr>
        <w:br/>
      </w:r>
      <w:bookmarkStart w:id="0" w:name="_GoBack"/>
      <w:r>
        <w:rPr>
          <w:rFonts w:ascii="Verdana" w:eastAsia="Verdana" w:hAnsi="Verdana" w:cs="Verdana"/>
          <w:b/>
          <w:color w:val="0000FF"/>
          <w:sz w:val="24"/>
          <w:szCs w:val="24"/>
        </w:rPr>
        <w:t>(DOF del 30</w:t>
      </w:r>
      <w:r w:rsidRPr="00150060">
        <w:rPr>
          <w:rFonts w:ascii="Verdana" w:eastAsia="Verdana" w:hAnsi="Verdana" w:cs="Verdana"/>
          <w:b/>
          <w:color w:val="0000FF"/>
          <w:sz w:val="24"/>
          <w:szCs w:val="24"/>
        </w:rPr>
        <w:t xml:space="preserve"> de </w:t>
      </w:r>
      <w:r>
        <w:rPr>
          <w:rFonts w:ascii="Verdana" w:eastAsia="Verdana" w:hAnsi="Verdana" w:cs="Verdana"/>
          <w:b/>
          <w:color w:val="0000FF"/>
          <w:sz w:val="24"/>
          <w:szCs w:val="24"/>
        </w:rPr>
        <w:t>octubre</w:t>
      </w:r>
      <w:r w:rsidRPr="00150060">
        <w:rPr>
          <w:rFonts w:ascii="Verdana" w:eastAsia="Verdana" w:hAnsi="Verdana" w:cs="Verdana"/>
          <w:b/>
          <w:color w:val="0000FF"/>
          <w:sz w:val="24"/>
          <w:szCs w:val="24"/>
        </w:rPr>
        <w:t xml:space="preserve"> de 2023)</w:t>
      </w:r>
      <w:bookmarkEnd w:id="0"/>
    </w:p>
    <w:p w:rsidR="00B94E58" w:rsidRDefault="00244516" w:rsidP="00244516">
      <w:pPr>
        <w:jc w:val="both"/>
        <w:rPr>
          <w:rFonts w:ascii="Arial" w:eastAsia="Times New Roman" w:hAnsi="Arial" w:cs="Arial"/>
          <w:b/>
          <w:color w:val="2F2F2F"/>
          <w:sz w:val="20"/>
          <w:szCs w:val="16"/>
          <w:lang w:eastAsia="es-MX"/>
        </w:rPr>
      </w:pPr>
      <w:r w:rsidRPr="00244516">
        <w:rPr>
          <w:rFonts w:ascii="Arial" w:eastAsia="Times New Roman" w:hAnsi="Arial" w:cs="Arial"/>
          <w:b/>
          <w:color w:val="2F2F2F"/>
          <w:sz w:val="20"/>
          <w:szCs w:val="16"/>
          <w:lang w:eastAsia="es-MX"/>
        </w:rPr>
        <w:t>Al margen un sello con el Escudo Nacional, que dice: Estados Unidos Mexicanos.- Presidencia de la República.</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ANDRÉS MANUEL LÓPEZ OBRADOR</w:t>
      </w:r>
      <w:r w:rsidRPr="00244516">
        <w:rPr>
          <w:rFonts w:ascii="Arial" w:eastAsia="Times New Roman" w:hAnsi="Arial" w:cs="Arial"/>
          <w:color w:val="2F2F2F"/>
          <w:sz w:val="18"/>
          <w:szCs w:val="18"/>
          <w:lang w:eastAsia="es-MX"/>
        </w:rPr>
        <w:t>, presidente de los Estados Unidos Mexicanos, en ejercicio de la facultad que me confiere el artículo 89, fracción I, de la Constitución Política de los Estados Unidos Mexicanos, con fundamento en los artículos 31 de la Ley Orgánica de la Administración Pública Federal y 39, fracciones I, II y III, del Código Fiscal de la Federación, y</w:t>
      </w:r>
    </w:p>
    <w:p w:rsidR="00244516" w:rsidRPr="00244516" w:rsidRDefault="00244516" w:rsidP="00244516">
      <w:pPr>
        <w:shd w:val="clear" w:color="auto" w:fill="FFFFFF"/>
        <w:spacing w:after="100" w:line="240" w:lineRule="auto"/>
        <w:jc w:val="center"/>
        <w:rPr>
          <w:rFonts w:ascii="Times New Roman" w:eastAsia="Times New Roman" w:hAnsi="Times New Roman" w:cs="Times New Roman"/>
          <w:b/>
          <w:bCs/>
          <w:color w:val="2F2F2F"/>
          <w:sz w:val="18"/>
          <w:szCs w:val="18"/>
          <w:lang w:eastAsia="es-MX"/>
        </w:rPr>
      </w:pPr>
      <w:r w:rsidRPr="00244516">
        <w:rPr>
          <w:rFonts w:ascii="Times" w:eastAsia="Times New Roman" w:hAnsi="Times" w:cs="Times"/>
          <w:b/>
          <w:bCs/>
          <w:color w:val="2F2F2F"/>
          <w:sz w:val="18"/>
          <w:szCs w:val="18"/>
          <w:lang w:eastAsia="es-MX"/>
        </w:rPr>
        <w:t>CONSIDERANDO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la presencia del huracán Otis ocurrida el 24 de octubre de 2023 en el estado de Guerrero provocó daños materiales en diversas zonas de dicha entidad, afectando la economía, la planta productiva y poniendo en riesgo la preservación de las fuentes de empleo;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la Coordinación Nacional de Protección Civil, dio a conocer en la página de Internet del Gobierno de México (www.gob.mx) el 26 de octubre de 2023, una "Declaratoria de Emergencia (Acuerdo por el que se Establece una Situación de Emergencia) para el Estado de Guerrero, por la presencia de lluvia severa y vientos fuertes el día 24 de octubre de 2023. Siendo el municipio de atención inicial: Acapulco de Juárez.";</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es responsabilidad del Gobierno federal atender, con todos los recursos con que cuenta, la situación de emergencia que viven los habitantes de las zonas afectadas y contribuir a la restauración de los daños, así como a la normalización de la actividad económica en el menor tiempo posible;</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a fin de contribuir a la reactivación de la planta productiva y, de esta forma, preservar las fuentes de empleo, el Gobierno federal, a mi cargo, estima indispensable el otorgamiento de beneficios fiscales a los contribuyentes que tengan su domicilio fiscal, sucursal, agencia o cualquier otro establecimiento en las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se considera conveniente apoyar a los contribuyentes de las zonas afectadas a fin de que cuenten con liquidez para hacer frente a sus compromisos económicos, por lo que es pertinente eximirlos de la obligación de efectuar pagos provisionales del impuesto sobre la renta por los meses de octubre, noviembre y diciembre de 2023, así como por el cuarto trimestre y el tercer cuatrimestre de 2023, según se trate; así como de la obligación de efectuar los pagos mensuales en dichos meses a contribuyentes del Régimen Simplificado de Confianza; permitir, a quienes continúan tributando en el Régimen de Incorporación Fiscal, diferir la obligación de presentar las declaraciones correspondientes al quinto y sexto bimestres del ejercicio fiscal de 2023; permitir el entero en parcialidades del impuesto sobre la renta retenido por salarios correspondientes a los meses de octubre, noviembre y diciembre de 2023; permitir el pago en parcialidades del impuesto al valor agregado y del impuesto especial sobre producción y servicios correspondiente a los meses de octubre, noviembre y diciembre de 2023; permitir que los contribuyentes que se dediquen exclusivamente a actividades agrícolas, ganaderas, pesqueras o silvícolas presenten mensualmente las declaraciones del impuesto al valor agregado correspondientes al segundo semestre de 2023; autorizar la deducción inmediata y hasta por el 100 por ciento del monto original de la inversión correspondiente a las inversiones en bienes nuevos y usados de activo fijo que se realicen en las zonas afectadas en el periodo comprendido de octubre, noviembre y diciembre de 2023, y devolver el impuesto al valor agregado de aquellas solicitudes que se presenten a más tardar en diciembre de 2023, en la mitad del plazo señalado en el artículo 22 del Código Fiscal de la Federación;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con el fin expuesto anteriormente, en el caso de contribuyentes que cuenten con autorización para realizar el pago en parcialidades de contribuciones omitidas en términos del Código Fiscal de la Federación, se estima conveniente que puedan diferir por tres meses dichas parcialidades, reanudando el pago a partir de enero de 2024, conforme al esquema que les haya sido autorizado;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son de suma importancia las acciones de la sociedad civil encaminadas a apoyar a las personas afectadas que sufrieron daños severos en sus viviendas o hasta la pérdida total de las mismas, mediante la donación de recursos económicos para su reconstrucción o rehabilitación a través de personas morales o fideicomisos autorizados para recibir donativos deducibles en términos de la Ley del Impuesto sobre la Renta, lo que permitirá que los afectados recuperen sus viviendas en un menor tiempo;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lastRenderedPageBreak/>
        <w:t>Que, con la finalidad de no mermar el apoyo económico mediante donaciones que reciban las personas físicas que tienen su casa habitación en las zonas afectadas por las lluvias severas y fuertes vientos, que tributen en los términos del Título IV de la Ley del Impuesto sobre la Renta, y con el propósito de homologar el tratamiento fiscal de no acumulación de ingresos que dicha ley prevé para el caso de los apoyos económicos o monetarios a través de programas públicos, se estima necesario establecer que no se considerarán ingresos acumulables para efectos de dicho impuesto, los apoyos económicos o monetarios que reciban dichos contribuyentes provenientes de personas morales o fideicomisos autorizados para recibir donativos deducibles en términos de la Ley del Impuesto sobre la Renta, y</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Que de conformidad con el artículo 39, fracciones I, II y III del Código Fiscal de la Federación, el Ejecutivo Federal puede eximir, total o parcialmente, el pago de contribuciones o sus accesorios y autorizar su pago a plazo, diferido o en parcialidades, cuando se haya afectado la situación de algún lugar o región del país o en casos de catástrofes sufridas por fenómenos meteorológicos, así como conceder estímulos fiscales, he tenido a bien expedir el siguiente</w:t>
      </w:r>
    </w:p>
    <w:p w:rsidR="00244516" w:rsidRPr="00244516" w:rsidRDefault="00244516" w:rsidP="00244516">
      <w:pPr>
        <w:shd w:val="clear" w:color="auto" w:fill="FFFFFF"/>
        <w:spacing w:after="100" w:line="240" w:lineRule="auto"/>
        <w:jc w:val="center"/>
        <w:rPr>
          <w:rFonts w:ascii="Times New Roman" w:eastAsia="Times New Roman" w:hAnsi="Times New Roman" w:cs="Times New Roman"/>
          <w:b/>
          <w:bCs/>
          <w:color w:val="2F2F2F"/>
          <w:sz w:val="18"/>
          <w:szCs w:val="18"/>
          <w:lang w:eastAsia="es-MX"/>
        </w:rPr>
      </w:pPr>
      <w:r w:rsidRPr="00244516">
        <w:rPr>
          <w:rFonts w:ascii="Times" w:eastAsia="Times New Roman" w:hAnsi="Times" w:cs="Times"/>
          <w:b/>
          <w:bCs/>
          <w:color w:val="2F2F2F"/>
          <w:sz w:val="18"/>
          <w:szCs w:val="18"/>
          <w:lang w:eastAsia="es-MX"/>
        </w:rPr>
        <w:t>DECRETO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PRIMERO.</w:t>
      </w:r>
      <w:r w:rsidRPr="00244516">
        <w:rPr>
          <w:rFonts w:ascii="Arial" w:eastAsia="Times New Roman" w:hAnsi="Arial" w:cs="Arial"/>
          <w:color w:val="2F2F2F"/>
          <w:sz w:val="18"/>
          <w:szCs w:val="18"/>
          <w:lang w:eastAsia="es-MX"/>
        </w:rPr>
        <w:t> Se otorga un estímulo fiscal a los contribuyentes que tengan su domicilio fiscal, agencia, sucursal o cualquier otro establecimiento, en las zonas afectadas a que se refiere el artículo Decimocuarto del presente decreto, consistente en deducir de forma inmediata las inversiones efectuadas en bienes nuevos o usados de activo fijo que realicen en dichas zonas afectadas, durante el periodo comprendido entre octubre y diciembre de 2023, en el ejercicio en el que adquieran dichos bienes, aplicando la tasa del 100 por ciento sobre el monto original de la inversión, siempre que dichos activos fijos se utilicen exclusiva y permanentemente en las mencionadas zonas y sean destinados para reposición, reconstrucción o rehabilitación.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 xml:space="preserve">Lo dispuesto en el presente artículo no será aplicable cuando se trate de automóviles, equipo de blindaje de automóviles o cualquier bien de activo fijo no identificable individualmente ni tratándose de aviones distintos de los dedicados a la </w:t>
      </w:r>
      <w:proofErr w:type="spellStart"/>
      <w:r w:rsidRPr="00244516">
        <w:rPr>
          <w:rFonts w:ascii="Arial" w:eastAsia="Times New Roman" w:hAnsi="Arial" w:cs="Arial"/>
          <w:color w:val="2F2F2F"/>
          <w:sz w:val="18"/>
          <w:szCs w:val="18"/>
          <w:lang w:eastAsia="es-MX"/>
        </w:rPr>
        <w:t>aerofumigación</w:t>
      </w:r>
      <w:proofErr w:type="spellEnd"/>
      <w:r w:rsidRPr="00244516">
        <w:rPr>
          <w:rFonts w:ascii="Arial" w:eastAsia="Times New Roman" w:hAnsi="Arial" w:cs="Arial"/>
          <w:color w:val="2F2F2F"/>
          <w:sz w:val="18"/>
          <w:szCs w:val="18"/>
          <w:lang w:eastAsia="es-MX"/>
        </w:rPr>
        <w:t xml:space="preserve"> agrícola.</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Los contribuyentes que cuenten con seguros contra daños sobre los bienes de activo fijo que hubieran sido declarados como pérdida parcial o total debido al huracán Otis, únicamente podrán aplicar el estímulo fiscal señalado en el primer párrafo de este artículo, sobre el monto de las cantidades adicionales a las que, en su caso, se recuperen por concepto de pago de las indemnizaciones de seguros y que sean invertidas en bienes de activo fijo.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SEGUNDO.</w:t>
      </w:r>
      <w:r w:rsidRPr="00244516">
        <w:rPr>
          <w:rFonts w:ascii="Arial" w:eastAsia="Times New Roman" w:hAnsi="Arial" w:cs="Arial"/>
          <w:color w:val="2F2F2F"/>
          <w:sz w:val="18"/>
          <w:szCs w:val="18"/>
          <w:lang w:eastAsia="es-MX"/>
        </w:rPr>
        <w:t> Los contribuyentes que efectúen pagos por ingresos por salarios y en general por la prestación de un servicio personal subordinado en los términos del artículo 94, primer párrafo, de la Ley del Impuesto sobre la Renta, excepto los asimilados a salarios, que tengan su domicilio fiscal, agencia, sucursal o cualquier otro establecimiento en las zonas afectadas a que se refiere el artículo Decimocuarto del presente decreto, podrán enterar las retenciones del impuesto sobre la renta de sus trabajadores, correspondientes a los meses de octubre, noviembre y diciembre de 2023, en tres parcialidades iguales, siempre que el servicio personal subordinado por el que se paguen estos ingresos se preste en dichas zonas.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Para los efectos del párrafo anterior, la primera parcialidad se enterará en el mes de enero, la segunda en el mes de febrero y la tercera en el mes de marzo de 2024, sin que para estos efectos deban pagarse actualizaciones, recargos o multas.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TERCERO.</w:t>
      </w:r>
      <w:r w:rsidRPr="00244516">
        <w:rPr>
          <w:rFonts w:ascii="Arial" w:eastAsia="Times New Roman" w:hAnsi="Arial" w:cs="Arial"/>
          <w:color w:val="2F2F2F"/>
          <w:sz w:val="18"/>
          <w:szCs w:val="18"/>
          <w:lang w:eastAsia="es-MX"/>
        </w:rPr>
        <w:t> Los contribuyentes que tengan su domicilio fiscal, agencia, sucursal o cualquier otro establecimiento en las zonas afectadas a que se refiere el artículo Decimocuarto del presente decreto, podrán enterar en tres parcialidades iguales el pago definitivo de los impuestos al valor agregado y especial sobre producción y servicios a su cargo correspondiente a los meses de octubre, noviembre y diciembre de 2023, por los actos o actividades que correspondan a su domicilio fiscal, agencia, sucursal o cualquier otro establecimiento, ubicados en las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Para los efectos del párrafo anterior, la primera parcialidad se enterará en el mes de enero, la segunda en el mes de febrero y la tercera en el mes de marzo de 2024, sin que para estos efectos deban pagarse actualizaciones, recargos o multas.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CUARTO.</w:t>
      </w:r>
      <w:r w:rsidRPr="00244516">
        <w:rPr>
          <w:rFonts w:ascii="Arial" w:eastAsia="Times New Roman" w:hAnsi="Arial" w:cs="Arial"/>
          <w:color w:val="2F2F2F"/>
          <w:sz w:val="18"/>
          <w:szCs w:val="18"/>
          <w:lang w:eastAsia="es-MX"/>
        </w:rPr>
        <w:t> Se exime de la obligación de efectuar pagos provisionales del impuesto sobre la renta correspondientes a los meses de octubre, noviembre y diciembre de 2023, al cuarto trimestre de 2023, así como al tercer cuatrimestre de 2023, según corresponda, por los ingresos que obtengan los contribuyentes personas morales que tributen en los términos de los Títulos II o VII, Capítulo XII de la Ley del Impuesto sobre la Renta y las personas físicas que tributen en los términos del Título IV, Capítulo II, Secciones I y III y Capítulo III de la misma Ley, que tengan su domicilio fiscal, agencia, sucursal o cualquier otro establecimiento en las zonas afectadas a que se refiere el artículo Decimocuarto del presente decreto, siempre que dichos ingresos correspondan a su domicilio fiscal, agencia, sucursal o cualquier otro establecimiento, que se encuentre ubicado en dichas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lastRenderedPageBreak/>
        <w:t>A los contribuyentes personas físicas que tributen en los términos del Título IV, Capítulo II, Sección IV de la Ley del Impuesto sobre la Renta, que tengan su domicilio fiscal, agencia, sucursal o cualquier otro establecimiento en las zonas afectadas a que se refiere el artículo Decimocuarto del presente decreto, se les exime de la obligación de presentar los pagos mensuales correspondientes a octubre, noviembre y diciembre de 2023, siempre que los ingresos correspondan a su domicilio fiscal, agencia, sucursal o cualquier otro establecimiento, que se encuentre ubicado en dichas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QUINTO.</w:t>
      </w:r>
      <w:r w:rsidRPr="00244516">
        <w:rPr>
          <w:rFonts w:ascii="Arial" w:eastAsia="Times New Roman" w:hAnsi="Arial" w:cs="Arial"/>
          <w:color w:val="2F2F2F"/>
          <w:sz w:val="18"/>
          <w:szCs w:val="18"/>
          <w:lang w:eastAsia="es-MX"/>
        </w:rPr>
        <w:t> A los contribuyentes personas físicas que tributen en los términos del Título IV, Capítulo II, Sección II, de la Ley del Impuesto sobre la Renta vigente hasta el 31 de diciembre de 2021, que tengan su domicilio fiscal, agencia, sucursal o cualquier otro establecimiento en las zonas afectadas a que se refiere el artículo Decimocuarto del presente decreto, se les difiere la obligación de presentar las declaraciones correspondientes al quinto y sexto bimestres del ejercicio fiscal de 2023, mismas que deberán presentarse a más tardar en febrero de 2024, siempre que los ingresos correspondan a su domicilio fiscal, agencia, sucursal o cualquier otro establecimiento, que se encuentre ubicado en dichas zonas afectadas. Lo dispuesto en el presente artículo no se considera un incumplimiento para los efectos de lo dispuesto por el artículo 112, fracción VIII, segundo párrafo, del ordenamiento citado con antelación.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A los contribuyentes personas físicas a que se refiere el artículo 113-A, último párrafo de la Ley del Impuesto sobre la Renta, que tengan su domicilio fiscal, agencia, sucursal o cualquier otro establecimiento en las zonas afectadas a que se refiere el artículo Decimocuarto del presente decreto, se les difiere la obligación de presentar los pagos del impuesto sobre la renta, correspondientes a octubre, noviembre y diciembre de 2023, mismos que deberán enterar a más tardar en febrero de 2024, siempre que los ingresos correspondan a su domicilio fiscal, agencia, sucursal o cualquier otro establecimiento, que se encuentre ubicado en dichas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Lo dispuesto en el presente artículo, no dará lugar al pago de actualizaciones, recargos y multas.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SEXTO.</w:t>
      </w:r>
      <w:r w:rsidRPr="00244516">
        <w:rPr>
          <w:rFonts w:ascii="Arial" w:eastAsia="Times New Roman" w:hAnsi="Arial" w:cs="Arial"/>
          <w:color w:val="2F2F2F"/>
          <w:sz w:val="18"/>
          <w:szCs w:val="18"/>
          <w:lang w:eastAsia="es-MX"/>
        </w:rPr>
        <w:t> Los contribuyentes que se dediquen exclusivamente a las actividades agrícolas, ganaderas, pesqueras o silvícolas, que tributen en los términos del Título II, Capítulo VIII, de la Ley del Impuesto sobre la Renta, que tengan su domicilio fiscal, agencia, sucursal o cualquier otro establecimiento en las zonas afectadas a que se refiere el artículo Decimocuarto del presente decreto, que opten por realizar pagos provisionales semestrales del impuesto sobre la renta, conforme a lo dispuesto por la regla 1.3. de la "Resolución de facilidades administrativas para los sectores de contribuyentes que en la misma se señalan para 2023", publicada en el Diario Oficial de la Federación el 3 de marzo de 2023, durante el segundo semestre de 2023, podrán optar por presentar mensualmente las declaraciones del impuesto al valor agregado correspondientes a dicho semestre, de conformidad con la Ley del Impuesto al Valor Agregado, sin que se considere que incumplen los requisitos establecidos en la citada resolución de facilidades para optar por presentar pagos provisionales semestrales del impuesto sobre la renta.</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SÉPTIMO.</w:t>
      </w:r>
      <w:r w:rsidRPr="00244516">
        <w:rPr>
          <w:rFonts w:ascii="Arial" w:eastAsia="Times New Roman" w:hAnsi="Arial" w:cs="Arial"/>
          <w:color w:val="2F2F2F"/>
          <w:sz w:val="18"/>
          <w:szCs w:val="18"/>
          <w:lang w:eastAsia="es-MX"/>
        </w:rPr>
        <w:t> Las solicitudes de devolución del impuesto al valor agregado presentadas hasta el mes de diciembre de 2023 por los contribuyentes que tengan su domicilio fiscal, agencia, sucursal o cualquier otro establecimiento en las zonas afectadas a que se refiere el artículo Decimocuarto del presente decreto, correspondientes a saldos a favor generados con antelación al mes citado, se tramitarán en la mitad del plazo establecido en el artículo 22 del Código Fiscal de la Federación.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No será aplicable lo dispuesto en el presente artículo en los casos siguientes: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I.</w:t>
      </w:r>
      <w:r w:rsidRPr="00244516">
        <w:rPr>
          <w:rFonts w:ascii="Arial" w:eastAsia="Times New Roman" w:hAnsi="Arial" w:cs="Arial"/>
          <w:color w:val="2F2F2F"/>
          <w:sz w:val="18"/>
          <w:szCs w:val="18"/>
          <w:lang w:eastAsia="es-MX"/>
        </w:rPr>
        <w:t> A los contribuyentes a los que se les haya aplicado la presunción establecida en el artículo 69-B del Código Fiscal de la Federación, una vez que se haya publicado en el Diario Oficial de la Federación y en el Portal del Servicio de Administración Tributaria el listado a que se refiere el cuarto párrafo del artículo citado.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II.</w:t>
      </w:r>
      <w:r w:rsidRPr="00244516">
        <w:rPr>
          <w:rFonts w:ascii="Arial" w:eastAsia="Times New Roman" w:hAnsi="Arial" w:cs="Arial"/>
          <w:color w:val="2F2F2F"/>
          <w:sz w:val="18"/>
          <w:szCs w:val="18"/>
          <w:lang w:eastAsia="es-MX"/>
        </w:rPr>
        <w:t> A los contribuyentes que soliciten la devolución con base en comprobantes fiscales expedidos por los contribuyentes que se encuentren en el listado a que se refiere la fracción anterior.</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III. </w:t>
      </w:r>
      <w:r w:rsidRPr="00244516">
        <w:rPr>
          <w:rFonts w:ascii="Arial" w:eastAsia="Times New Roman" w:hAnsi="Arial" w:cs="Arial"/>
          <w:color w:val="2F2F2F"/>
          <w:sz w:val="18"/>
          <w:szCs w:val="18"/>
          <w:lang w:eastAsia="es-MX"/>
        </w:rPr>
        <w:t>A los contribuyentes que se ubiquen en la causal a que se refiere el artículo 17-H, fracción X, del Código Fiscal de la Federación.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IV.</w:t>
      </w:r>
      <w:r w:rsidRPr="00244516">
        <w:rPr>
          <w:rFonts w:ascii="Arial" w:eastAsia="Times New Roman" w:hAnsi="Arial" w:cs="Arial"/>
          <w:color w:val="2F2F2F"/>
          <w:sz w:val="18"/>
          <w:szCs w:val="18"/>
          <w:lang w:eastAsia="es-MX"/>
        </w:rPr>
        <w:t> A los contribuyentes que previo a la entrada en vigor del presente decreto hayan sido sujetos del ejercicio de facultades de comprobación para verificar la procedencia del saldo a favor.</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OCTAVO.</w:t>
      </w:r>
      <w:r w:rsidRPr="00244516">
        <w:rPr>
          <w:rFonts w:ascii="Arial" w:eastAsia="Times New Roman" w:hAnsi="Arial" w:cs="Arial"/>
          <w:color w:val="2F2F2F"/>
          <w:sz w:val="18"/>
          <w:szCs w:val="18"/>
          <w:lang w:eastAsia="es-MX"/>
        </w:rPr>
        <w:t xml:space="preserve"> Los contribuyentes que con anterioridad al mes de octubre de 2023 cuenten con autorización para efectuar el pago a plazo de contribuciones omitidas y de sus accesorios en los términos del artículo 66 del Código Fiscal de la Federación y que tengan su domicilio fiscal en las zonas afectadas a que se refiere el artículo Decimocuarto del presente decreto, podrán diferir el pago de las parcialidades correspondientes al mes de octubre de 2023 y subsecuentes que se les haya autorizado, reanudando, en los mismos términos y condiciones autorizadas, el programa de pagos de dichas parcialidades a partir del mes de febrero de 2024, sin que para estos efectos se considere que las </w:t>
      </w:r>
      <w:r w:rsidRPr="00244516">
        <w:rPr>
          <w:rFonts w:ascii="Arial" w:eastAsia="Times New Roman" w:hAnsi="Arial" w:cs="Arial"/>
          <w:color w:val="2F2F2F"/>
          <w:sz w:val="18"/>
          <w:szCs w:val="18"/>
          <w:lang w:eastAsia="es-MX"/>
        </w:rPr>
        <w:lastRenderedPageBreak/>
        <w:t>parcialidades no fueron cubiertas oportunamente, por lo que no deberán pagarse recargos por prórroga o mora.</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NOVENO.</w:t>
      </w:r>
      <w:r w:rsidRPr="00244516">
        <w:rPr>
          <w:rFonts w:ascii="Arial" w:eastAsia="Times New Roman" w:hAnsi="Arial" w:cs="Arial"/>
          <w:color w:val="2F2F2F"/>
          <w:sz w:val="18"/>
          <w:szCs w:val="18"/>
          <w:lang w:eastAsia="es-MX"/>
        </w:rPr>
        <w:t> Los contribuyentes que efectúen el pago en parcialidades conforme al presente decreto no están obligados a garantizar el interés fiscal.</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En el supuesto de que se dejen de pagar total o parcialmente cualquiera de las parcialidades a que se refiere el presente decreto, se considerarán revocados los beneficios de pago en parcialidades otorgados en el mismo. En este caso, las autoridades fiscales exigirán el pago de la totalidad de las cantidades adeudadas al fisco federal, con las actualizaciones y los recargos que correspondan de conformidad con el Código Fiscal de la Federación.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DÉCIMO.</w:t>
      </w:r>
      <w:r w:rsidRPr="00244516">
        <w:rPr>
          <w:rFonts w:ascii="Arial" w:eastAsia="Times New Roman" w:hAnsi="Arial" w:cs="Arial"/>
          <w:color w:val="2F2F2F"/>
          <w:sz w:val="18"/>
          <w:szCs w:val="18"/>
          <w:lang w:eastAsia="es-MX"/>
        </w:rPr>
        <w:t> Las personas físicas que tengan su casa habitación en las zonas afectadas a que se refiere el artículo Decimocuarto del presente decreto, que tributen en los términos del Título IV de la Ley del Impuesto sobre la Renta, no considerarán como ingresos acumulables para efectos de dicha ley, los ingresos por apoyos económicos o monetarios que reciban de personas morales o fideicomisos autorizados para recibir donativos deducibles del impuesto sobre la renta, siempre que dichos apoyos económicos o monetarios no provengan de partes relacionadas en los términos de la Ley del Impuesto sobre la Renta y se destinen para la reconstrucción o rehabilitación de su casa habitación.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DECIMOPRIMERO.</w:t>
      </w:r>
      <w:r w:rsidRPr="00244516">
        <w:rPr>
          <w:rFonts w:ascii="Arial" w:eastAsia="Times New Roman" w:hAnsi="Arial" w:cs="Arial"/>
          <w:color w:val="2F2F2F"/>
          <w:sz w:val="18"/>
          <w:szCs w:val="18"/>
          <w:lang w:eastAsia="es-MX"/>
        </w:rPr>
        <w:t> Los contribuyentes que tengan su domicilio fiscal fuera de las zonas afectadas a que se refiere el artículo Decimocuarto del presente Decreto, pero cuenten con una sucursal, agencia o cualquier otro establecimiento dentro de las mismas, o los que tengan su domicilio fiscal en las zonas antes mencionadas, pero cuenten con sucursales, agencias o cualquier otro establecimiento fuera de ellas, gozarán de los beneficios establecidos en el presente decreto únicamente por los ingresos, activos, retenciones, valor de actos o actividades y erogaciones, correspondientes a la sucursal, agencia o cualquier otro establecimiento o a los atribuibles al domicilio fiscal, ubicados en las zonas afectadas.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DECIMOSEGUNDO.</w:t>
      </w:r>
      <w:r w:rsidRPr="00244516">
        <w:rPr>
          <w:rFonts w:ascii="Arial" w:eastAsia="Times New Roman" w:hAnsi="Arial" w:cs="Arial"/>
          <w:color w:val="2F2F2F"/>
          <w:sz w:val="18"/>
          <w:szCs w:val="18"/>
          <w:lang w:eastAsia="es-MX"/>
        </w:rPr>
        <w:t> Los contribuyentes que se encuentren en los supuestos para aplicar los beneficios otorgados en el presente decreto, deben hacerlo por todos los pagos provisionales, mensuales o definitivos a que se refiere el mismo, que se encuentren pendientes de efectuar a la fecha de su entrada en vigor, correspondientes al periodo de octubre, noviembre y diciembre de 2023.</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DECIMOTERCERO.</w:t>
      </w:r>
      <w:r w:rsidRPr="00244516">
        <w:rPr>
          <w:rFonts w:ascii="Arial" w:eastAsia="Times New Roman" w:hAnsi="Arial" w:cs="Arial"/>
          <w:color w:val="2F2F2F"/>
          <w:sz w:val="18"/>
          <w:szCs w:val="18"/>
          <w:lang w:eastAsia="es-MX"/>
        </w:rPr>
        <w:t> Para los efectos de los artículos 82, fracción IV, de la Ley del Impuesto sobre la Renta y 138 de su reglamento, se considera que las organizaciones civiles y fideicomisos autorizados para recibir donativos deducibles en los términos de dicha ley, cumplen con el objeto social autorizado para estos efectos, cuando otorguen donativos a los afectados para la reconstrucción o rehabilitación de su vivienda.</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DECIMOCUARTO.</w:t>
      </w:r>
      <w:r w:rsidRPr="00244516">
        <w:rPr>
          <w:rFonts w:ascii="Arial" w:eastAsia="Times New Roman" w:hAnsi="Arial" w:cs="Arial"/>
          <w:color w:val="2F2F2F"/>
          <w:sz w:val="18"/>
          <w:szCs w:val="18"/>
          <w:lang w:eastAsia="es-MX"/>
        </w:rPr>
        <w:t> Para los efectos de este decreto se consideran zonas afectadas los municipios del estado de Guerrero las señaladas en la Declaratoria de Desastre Natural que al efecto se emita por la autoridad competente.</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Se considera que los contribuyentes tienen su domicilio fiscal, sucursal, agencia o cualquier otro establecimiento en las zonas afectadas a que se refiere este artículo cuando hayan presentado el aviso respectivo ante el Registro Federal de Contribuyentes con anterioridad al 24 de octubre de 2023.</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DECIMOQUINTO.</w:t>
      </w:r>
      <w:r w:rsidRPr="00244516">
        <w:rPr>
          <w:rFonts w:ascii="Arial" w:eastAsia="Times New Roman" w:hAnsi="Arial" w:cs="Arial"/>
          <w:color w:val="2F2F2F"/>
          <w:sz w:val="18"/>
          <w:szCs w:val="18"/>
          <w:lang w:eastAsia="es-MX"/>
        </w:rPr>
        <w:t> Lo dispuesto en el presente decreto no es aplicable a las dependencias, entidades y demás instituciones de la Federación y del estado de Guerrero y sus municipios.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La aplicación de los beneficios establecidos en el presente decreto no dará lugar a devolución o compensación alguna diferente a la que se tendría en caso de no aplicar dichos beneficios.</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ARTÍCULO DECIMOSEXTO.</w:t>
      </w:r>
      <w:r w:rsidRPr="00244516">
        <w:rPr>
          <w:rFonts w:ascii="Arial" w:eastAsia="Times New Roman" w:hAnsi="Arial" w:cs="Arial"/>
          <w:color w:val="2F2F2F"/>
          <w:sz w:val="18"/>
          <w:szCs w:val="18"/>
          <w:lang w:eastAsia="es-MX"/>
        </w:rPr>
        <w:t> El Servicio de Administración Tributaria debe expedir las disposiciones de carácter general necesarias para la correcta y debida aplicación del presente decreto.</w:t>
      </w:r>
    </w:p>
    <w:p w:rsidR="00244516" w:rsidRPr="00244516" w:rsidRDefault="00244516" w:rsidP="00244516">
      <w:pPr>
        <w:shd w:val="clear" w:color="auto" w:fill="FFFFFF"/>
        <w:spacing w:after="100" w:line="240" w:lineRule="auto"/>
        <w:jc w:val="center"/>
        <w:rPr>
          <w:rFonts w:ascii="Times New Roman" w:eastAsia="Times New Roman" w:hAnsi="Times New Roman" w:cs="Times New Roman"/>
          <w:b/>
          <w:bCs/>
          <w:color w:val="2F2F2F"/>
          <w:sz w:val="18"/>
          <w:szCs w:val="18"/>
          <w:lang w:eastAsia="es-MX"/>
        </w:rPr>
      </w:pPr>
      <w:r w:rsidRPr="00244516">
        <w:rPr>
          <w:rFonts w:ascii="Times" w:eastAsia="Times New Roman" w:hAnsi="Times" w:cs="Times"/>
          <w:b/>
          <w:bCs/>
          <w:color w:val="2F2F2F"/>
          <w:sz w:val="18"/>
          <w:szCs w:val="18"/>
          <w:lang w:eastAsia="es-MX"/>
        </w:rPr>
        <w:t>TRANSITORIO</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b/>
          <w:bCs/>
          <w:color w:val="2F2F2F"/>
          <w:sz w:val="18"/>
          <w:szCs w:val="18"/>
          <w:lang w:eastAsia="es-MX"/>
        </w:rPr>
        <w:t>Único.</w:t>
      </w:r>
      <w:r w:rsidRPr="00244516">
        <w:rPr>
          <w:rFonts w:ascii="Arial" w:eastAsia="Times New Roman" w:hAnsi="Arial" w:cs="Arial"/>
          <w:color w:val="2F2F2F"/>
          <w:sz w:val="18"/>
          <w:szCs w:val="18"/>
          <w:lang w:eastAsia="es-MX"/>
        </w:rPr>
        <w:t> El presente decreto entra en vigor el día de su publicación en el Diario Oficial de la Federación.</w:t>
      </w:r>
    </w:p>
    <w:p w:rsidR="00244516" w:rsidRPr="00244516" w:rsidRDefault="00244516" w:rsidP="00244516">
      <w:pPr>
        <w:shd w:val="clear" w:color="auto" w:fill="FFFFFF"/>
        <w:spacing w:after="100" w:line="240" w:lineRule="auto"/>
        <w:ind w:firstLine="288"/>
        <w:jc w:val="both"/>
        <w:rPr>
          <w:rFonts w:ascii="Arial" w:eastAsia="Times New Roman" w:hAnsi="Arial" w:cs="Arial"/>
          <w:color w:val="2F2F2F"/>
          <w:sz w:val="18"/>
          <w:szCs w:val="18"/>
          <w:lang w:eastAsia="es-MX"/>
        </w:rPr>
      </w:pPr>
      <w:r w:rsidRPr="00244516">
        <w:rPr>
          <w:rFonts w:ascii="Arial" w:eastAsia="Times New Roman" w:hAnsi="Arial" w:cs="Arial"/>
          <w:color w:val="2F2F2F"/>
          <w:sz w:val="18"/>
          <w:szCs w:val="18"/>
          <w:lang w:eastAsia="es-MX"/>
        </w:rPr>
        <w:t>Dado en la residencia del Poder Ejecutivo Federal, en Ciudad de México a 30 de octubre de 2023.- </w:t>
      </w:r>
      <w:r w:rsidRPr="00244516">
        <w:rPr>
          <w:rFonts w:ascii="Arial" w:eastAsia="Times New Roman" w:hAnsi="Arial" w:cs="Arial"/>
          <w:b/>
          <w:bCs/>
          <w:color w:val="2F2F2F"/>
          <w:sz w:val="18"/>
          <w:szCs w:val="18"/>
          <w:lang w:eastAsia="es-MX"/>
        </w:rPr>
        <w:t>Andrés Manuel López Obrador</w:t>
      </w:r>
      <w:r w:rsidRPr="00244516">
        <w:rPr>
          <w:rFonts w:ascii="Arial" w:eastAsia="Times New Roman" w:hAnsi="Arial" w:cs="Arial"/>
          <w:color w:val="2F2F2F"/>
          <w:sz w:val="18"/>
          <w:szCs w:val="18"/>
          <w:lang w:eastAsia="es-MX"/>
        </w:rPr>
        <w:t>.- Rúbrica.- El Secretario de Hacienda y Crédito Público, </w:t>
      </w:r>
      <w:r w:rsidRPr="00244516">
        <w:rPr>
          <w:rFonts w:ascii="Arial" w:eastAsia="Times New Roman" w:hAnsi="Arial" w:cs="Arial"/>
          <w:b/>
          <w:bCs/>
          <w:color w:val="2F2F2F"/>
          <w:sz w:val="18"/>
          <w:szCs w:val="18"/>
          <w:lang w:eastAsia="es-MX"/>
        </w:rPr>
        <w:t>Rogelio Eduardo Ramírez de la O</w:t>
      </w:r>
      <w:r w:rsidRPr="00244516">
        <w:rPr>
          <w:rFonts w:ascii="Arial" w:eastAsia="Times New Roman" w:hAnsi="Arial" w:cs="Arial"/>
          <w:color w:val="2F2F2F"/>
          <w:sz w:val="18"/>
          <w:szCs w:val="18"/>
          <w:lang w:eastAsia="es-MX"/>
        </w:rPr>
        <w:t>.- Rúbrica.</w:t>
      </w:r>
    </w:p>
    <w:p w:rsidR="00244516" w:rsidRPr="00244516" w:rsidRDefault="00244516" w:rsidP="00244516">
      <w:pPr>
        <w:shd w:val="clear" w:color="auto" w:fill="FFFFFF"/>
        <w:spacing w:line="240" w:lineRule="auto"/>
        <w:jc w:val="both"/>
        <w:rPr>
          <w:rFonts w:ascii="Times New Roman" w:eastAsia="Times New Roman" w:hAnsi="Times New Roman" w:cs="Times New Roman"/>
          <w:color w:val="2F2F2F"/>
          <w:sz w:val="24"/>
          <w:szCs w:val="24"/>
          <w:lang w:eastAsia="es-MX"/>
        </w:rPr>
      </w:pPr>
      <w:r w:rsidRPr="00244516">
        <w:rPr>
          <w:rFonts w:ascii="Times New Roman" w:eastAsia="Times New Roman" w:hAnsi="Times New Roman" w:cs="Times New Roman"/>
          <w:color w:val="2F2F2F"/>
          <w:sz w:val="24"/>
          <w:szCs w:val="24"/>
          <w:lang w:eastAsia="es-MX"/>
        </w:rPr>
        <w:t> </w:t>
      </w:r>
    </w:p>
    <w:p w:rsidR="00244516" w:rsidRDefault="00244516"/>
    <w:sectPr w:rsidR="0024451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516"/>
    <w:rsid w:val="00244516"/>
    <w:rsid w:val="00B94E5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451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ipervnculo">
    <w:name w:val="hipervínculo"/>
    <w:basedOn w:val="Fuentedeprrafopredeter"/>
    <w:rsid w:val="0024451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451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ipervnculo">
    <w:name w:val="hipervínculo"/>
    <w:basedOn w:val="Fuentedeprrafopredeter"/>
    <w:rsid w:val="002445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6889348">
      <w:bodyDiv w:val="1"/>
      <w:marLeft w:val="0"/>
      <w:marRight w:val="0"/>
      <w:marTop w:val="0"/>
      <w:marBottom w:val="0"/>
      <w:divBdr>
        <w:top w:val="none" w:sz="0" w:space="0" w:color="auto"/>
        <w:left w:val="none" w:sz="0" w:space="0" w:color="auto"/>
        <w:bottom w:val="none" w:sz="0" w:space="0" w:color="auto"/>
        <w:right w:val="none" w:sz="0" w:space="0" w:color="auto"/>
      </w:divBdr>
      <w:divsChild>
        <w:div w:id="760099508">
          <w:marLeft w:val="0"/>
          <w:marRight w:val="0"/>
          <w:marTop w:val="0"/>
          <w:marBottom w:val="100"/>
          <w:divBdr>
            <w:top w:val="none" w:sz="0" w:space="0" w:color="auto"/>
            <w:left w:val="none" w:sz="0" w:space="0" w:color="auto"/>
            <w:bottom w:val="none" w:sz="0" w:space="0" w:color="auto"/>
            <w:right w:val="none" w:sz="0" w:space="0" w:color="auto"/>
          </w:divBdr>
        </w:div>
        <w:div w:id="930433748">
          <w:marLeft w:val="0"/>
          <w:marRight w:val="0"/>
          <w:marTop w:val="0"/>
          <w:marBottom w:val="100"/>
          <w:divBdr>
            <w:top w:val="none" w:sz="0" w:space="0" w:color="auto"/>
            <w:left w:val="none" w:sz="0" w:space="0" w:color="auto"/>
            <w:bottom w:val="none" w:sz="0" w:space="0" w:color="auto"/>
            <w:right w:val="none" w:sz="0" w:space="0" w:color="auto"/>
          </w:divBdr>
        </w:div>
        <w:div w:id="1317881557">
          <w:marLeft w:val="0"/>
          <w:marRight w:val="0"/>
          <w:marTop w:val="0"/>
          <w:marBottom w:val="100"/>
          <w:divBdr>
            <w:top w:val="none" w:sz="0" w:space="0" w:color="auto"/>
            <w:left w:val="none" w:sz="0" w:space="0" w:color="auto"/>
            <w:bottom w:val="none" w:sz="0" w:space="0" w:color="auto"/>
            <w:right w:val="none" w:sz="0" w:space="0" w:color="auto"/>
          </w:divBdr>
        </w:div>
        <w:div w:id="26102127">
          <w:marLeft w:val="0"/>
          <w:marRight w:val="0"/>
          <w:marTop w:val="0"/>
          <w:marBottom w:val="100"/>
          <w:divBdr>
            <w:top w:val="none" w:sz="0" w:space="0" w:color="auto"/>
            <w:left w:val="none" w:sz="0" w:space="0" w:color="auto"/>
            <w:bottom w:val="none" w:sz="0" w:space="0" w:color="auto"/>
            <w:right w:val="none" w:sz="0" w:space="0" w:color="auto"/>
          </w:divBdr>
        </w:div>
        <w:div w:id="1083186024">
          <w:marLeft w:val="0"/>
          <w:marRight w:val="0"/>
          <w:marTop w:val="0"/>
          <w:marBottom w:val="100"/>
          <w:divBdr>
            <w:top w:val="none" w:sz="0" w:space="0" w:color="auto"/>
            <w:left w:val="none" w:sz="0" w:space="0" w:color="auto"/>
            <w:bottom w:val="none" w:sz="0" w:space="0" w:color="auto"/>
            <w:right w:val="none" w:sz="0" w:space="0" w:color="auto"/>
          </w:divBdr>
        </w:div>
        <w:div w:id="1766875080">
          <w:marLeft w:val="0"/>
          <w:marRight w:val="0"/>
          <w:marTop w:val="0"/>
          <w:marBottom w:val="100"/>
          <w:divBdr>
            <w:top w:val="none" w:sz="0" w:space="0" w:color="auto"/>
            <w:left w:val="none" w:sz="0" w:space="0" w:color="auto"/>
            <w:bottom w:val="none" w:sz="0" w:space="0" w:color="auto"/>
            <w:right w:val="none" w:sz="0" w:space="0" w:color="auto"/>
          </w:divBdr>
        </w:div>
        <w:div w:id="648746270">
          <w:marLeft w:val="0"/>
          <w:marRight w:val="0"/>
          <w:marTop w:val="0"/>
          <w:marBottom w:val="100"/>
          <w:divBdr>
            <w:top w:val="none" w:sz="0" w:space="0" w:color="auto"/>
            <w:left w:val="none" w:sz="0" w:space="0" w:color="auto"/>
            <w:bottom w:val="none" w:sz="0" w:space="0" w:color="auto"/>
            <w:right w:val="none" w:sz="0" w:space="0" w:color="auto"/>
          </w:divBdr>
        </w:div>
        <w:div w:id="608394364">
          <w:marLeft w:val="0"/>
          <w:marRight w:val="0"/>
          <w:marTop w:val="0"/>
          <w:marBottom w:val="100"/>
          <w:divBdr>
            <w:top w:val="none" w:sz="0" w:space="0" w:color="auto"/>
            <w:left w:val="none" w:sz="0" w:space="0" w:color="auto"/>
            <w:bottom w:val="none" w:sz="0" w:space="0" w:color="auto"/>
            <w:right w:val="none" w:sz="0" w:space="0" w:color="auto"/>
          </w:divBdr>
        </w:div>
        <w:div w:id="545222948">
          <w:marLeft w:val="0"/>
          <w:marRight w:val="0"/>
          <w:marTop w:val="0"/>
          <w:marBottom w:val="100"/>
          <w:divBdr>
            <w:top w:val="none" w:sz="0" w:space="0" w:color="auto"/>
            <w:left w:val="none" w:sz="0" w:space="0" w:color="auto"/>
            <w:bottom w:val="none" w:sz="0" w:space="0" w:color="auto"/>
            <w:right w:val="none" w:sz="0" w:space="0" w:color="auto"/>
          </w:divBdr>
        </w:div>
        <w:div w:id="429199464">
          <w:marLeft w:val="0"/>
          <w:marRight w:val="0"/>
          <w:marTop w:val="0"/>
          <w:marBottom w:val="100"/>
          <w:divBdr>
            <w:top w:val="none" w:sz="0" w:space="0" w:color="auto"/>
            <w:left w:val="none" w:sz="0" w:space="0" w:color="auto"/>
            <w:bottom w:val="none" w:sz="0" w:space="0" w:color="auto"/>
            <w:right w:val="none" w:sz="0" w:space="0" w:color="auto"/>
          </w:divBdr>
        </w:div>
        <w:div w:id="1897547089">
          <w:marLeft w:val="0"/>
          <w:marRight w:val="0"/>
          <w:marTop w:val="0"/>
          <w:marBottom w:val="100"/>
          <w:divBdr>
            <w:top w:val="none" w:sz="0" w:space="0" w:color="auto"/>
            <w:left w:val="none" w:sz="0" w:space="0" w:color="auto"/>
            <w:bottom w:val="none" w:sz="0" w:space="0" w:color="auto"/>
            <w:right w:val="none" w:sz="0" w:space="0" w:color="auto"/>
          </w:divBdr>
        </w:div>
        <w:div w:id="1210873498">
          <w:marLeft w:val="0"/>
          <w:marRight w:val="0"/>
          <w:marTop w:val="0"/>
          <w:marBottom w:val="100"/>
          <w:divBdr>
            <w:top w:val="none" w:sz="0" w:space="0" w:color="auto"/>
            <w:left w:val="none" w:sz="0" w:space="0" w:color="auto"/>
            <w:bottom w:val="none" w:sz="0" w:space="0" w:color="auto"/>
            <w:right w:val="none" w:sz="0" w:space="0" w:color="auto"/>
          </w:divBdr>
        </w:div>
        <w:div w:id="690297288">
          <w:marLeft w:val="0"/>
          <w:marRight w:val="0"/>
          <w:marTop w:val="0"/>
          <w:marBottom w:val="100"/>
          <w:divBdr>
            <w:top w:val="none" w:sz="0" w:space="0" w:color="auto"/>
            <w:left w:val="none" w:sz="0" w:space="0" w:color="auto"/>
            <w:bottom w:val="none" w:sz="0" w:space="0" w:color="auto"/>
            <w:right w:val="none" w:sz="0" w:space="0" w:color="auto"/>
          </w:divBdr>
        </w:div>
        <w:div w:id="649483770">
          <w:marLeft w:val="0"/>
          <w:marRight w:val="0"/>
          <w:marTop w:val="0"/>
          <w:marBottom w:val="100"/>
          <w:divBdr>
            <w:top w:val="none" w:sz="0" w:space="0" w:color="auto"/>
            <w:left w:val="none" w:sz="0" w:space="0" w:color="auto"/>
            <w:bottom w:val="none" w:sz="0" w:space="0" w:color="auto"/>
            <w:right w:val="none" w:sz="0" w:space="0" w:color="auto"/>
          </w:divBdr>
        </w:div>
        <w:div w:id="85661118">
          <w:marLeft w:val="0"/>
          <w:marRight w:val="0"/>
          <w:marTop w:val="0"/>
          <w:marBottom w:val="100"/>
          <w:divBdr>
            <w:top w:val="none" w:sz="0" w:space="0" w:color="auto"/>
            <w:left w:val="none" w:sz="0" w:space="0" w:color="auto"/>
            <w:bottom w:val="none" w:sz="0" w:space="0" w:color="auto"/>
            <w:right w:val="none" w:sz="0" w:space="0" w:color="auto"/>
          </w:divBdr>
        </w:div>
        <w:div w:id="695618688">
          <w:marLeft w:val="0"/>
          <w:marRight w:val="0"/>
          <w:marTop w:val="0"/>
          <w:marBottom w:val="100"/>
          <w:divBdr>
            <w:top w:val="none" w:sz="0" w:space="0" w:color="auto"/>
            <w:left w:val="none" w:sz="0" w:space="0" w:color="auto"/>
            <w:bottom w:val="none" w:sz="0" w:space="0" w:color="auto"/>
            <w:right w:val="none" w:sz="0" w:space="0" w:color="auto"/>
          </w:divBdr>
        </w:div>
        <w:div w:id="1569224148">
          <w:marLeft w:val="0"/>
          <w:marRight w:val="0"/>
          <w:marTop w:val="0"/>
          <w:marBottom w:val="100"/>
          <w:divBdr>
            <w:top w:val="none" w:sz="0" w:space="0" w:color="auto"/>
            <w:left w:val="none" w:sz="0" w:space="0" w:color="auto"/>
            <w:bottom w:val="none" w:sz="0" w:space="0" w:color="auto"/>
            <w:right w:val="none" w:sz="0" w:space="0" w:color="auto"/>
          </w:divBdr>
        </w:div>
        <w:div w:id="2130390742">
          <w:marLeft w:val="0"/>
          <w:marRight w:val="0"/>
          <w:marTop w:val="0"/>
          <w:marBottom w:val="100"/>
          <w:divBdr>
            <w:top w:val="none" w:sz="0" w:space="0" w:color="auto"/>
            <w:left w:val="none" w:sz="0" w:space="0" w:color="auto"/>
            <w:bottom w:val="none" w:sz="0" w:space="0" w:color="auto"/>
            <w:right w:val="none" w:sz="0" w:space="0" w:color="auto"/>
          </w:divBdr>
        </w:div>
        <w:div w:id="1258252153">
          <w:marLeft w:val="0"/>
          <w:marRight w:val="0"/>
          <w:marTop w:val="0"/>
          <w:marBottom w:val="100"/>
          <w:divBdr>
            <w:top w:val="none" w:sz="0" w:space="0" w:color="auto"/>
            <w:left w:val="none" w:sz="0" w:space="0" w:color="auto"/>
            <w:bottom w:val="none" w:sz="0" w:space="0" w:color="auto"/>
            <w:right w:val="none" w:sz="0" w:space="0" w:color="auto"/>
          </w:divBdr>
        </w:div>
        <w:div w:id="701128166">
          <w:marLeft w:val="0"/>
          <w:marRight w:val="0"/>
          <w:marTop w:val="0"/>
          <w:marBottom w:val="100"/>
          <w:divBdr>
            <w:top w:val="none" w:sz="0" w:space="0" w:color="auto"/>
            <w:left w:val="none" w:sz="0" w:space="0" w:color="auto"/>
            <w:bottom w:val="none" w:sz="0" w:space="0" w:color="auto"/>
            <w:right w:val="none" w:sz="0" w:space="0" w:color="auto"/>
          </w:divBdr>
        </w:div>
        <w:div w:id="1670870241">
          <w:marLeft w:val="0"/>
          <w:marRight w:val="0"/>
          <w:marTop w:val="0"/>
          <w:marBottom w:val="100"/>
          <w:divBdr>
            <w:top w:val="none" w:sz="0" w:space="0" w:color="auto"/>
            <w:left w:val="none" w:sz="0" w:space="0" w:color="auto"/>
            <w:bottom w:val="none" w:sz="0" w:space="0" w:color="auto"/>
            <w:right w:val="none" w:sz="0" w:space="0" w:color="auto"/>
          </w:divBdr>
        </w:div>
        <w:div w:id="2128229414">
          <w:marLeft w:val="0"/>
          <w:marRight w:val="0"/>
          <w:marTop w:val="0"/>
          <w:marBottom w:val="100"/>
          <w:divBdr>
            <w:top w:val="none" w:sz="0" w:space="0" w:color="auto"/>
            <w:left w:val="none" w:sz="0" w:space="0" w:color="auto"/>
            <w:bottom w:val="none" w:sz="0" w:space="0" w:color="auto"/>
            <w:right w:val="none" w:sz="0" w:space="0" w:color="auto"/>
          </w:divBdr>
        </w:div>
        <w:div w:id="570969562">
          <w:marLeft w:val="0"/>
          <w:marRight w:val="0"/>
          <w:marTop w:val="0"/>
          <w:marBottom w:val="100"/>
          <w:divBdr>
            <w:top w:val="none" w:sz="0" w:space="0" w:color="auto"/>
            <w:left w:val="none" w:sz="0" w:space="0" w:color="auto"/>
            <w:bottom w:val="none" w:sz="0" w:space="0" w:color="auto"/>
            <w:right w:val="none" w:sz="0" w:space="0" w:color="auto"/>
          </w:divBdr>
        </w:div>
        <w:div w:id="1260677185">
          <w:marLeft w:val="0"/>
          <w:marRight w:val="0"/>
          <w:marTop w:val="0"/>
          <w:marBottom w:val="100"/>
          <w:divBdr>
            <w:top w:val="none" w:sz="0" w:space="0" w:color="auto"/>
            <w:left w:val="none" w:sz="0" w:space="0" w:color="auto"/>
            <w:bottom w:val="none" w:sz="0" w:space="0" w:color="auto"/>
            <w:right w:val="none" w:sz="0" w:space="0" w:color="auto"/>
          </w:divBdr>
        </w:div>
        <w:div w:id="616760733">
          <w:marLeft w:val="0"/>
          <w:marRight w:val="0"/>
          <w:marTop w:val="0"/>
          <w:marBottom w:val="100"/>
          <w:divBdr>
            <w:top w:val="none" w:sz="0" w:space="0" w:color="auto"/>
            <w:left w:val="none" w:sz="0" w:space="0" w:color="auto"/>
            <w:bottom w:val="none" w:sz="0" w:space="0" w:color="auto"/>
            <w:right w:val="none" w:sz="0" w:space="0" w:color="auto"/>
          </w:divBdr>
        </w:div>
        <w:div w:id="1581057268">
          <w:marLeft w:val="0"/>
          <w:marRight w:val="0"/>
          <w:marTop w:val="0"/>
          <w:marBottom w:val="100"/>
          <w:divBdr>
            <w:top w:val="none" w:sz="0" w:space="0" w:color="auto"/>
            <w:left w:val="none" w:sz="0" w:space="0" w:color="auto"/>
            <w:bottom w:val="none" w:sz="0" w:space="0" w:color="auto"/>
            <w:right w:val="none" w:sz="0" w:space="0" w:color="auto"/>
          </w:divBdr>
        </w:div>
        <w:div w:id="95251185">
          <w:marLeft w:val="0"/>
          <w:marRight w:val="0"/>
          <w:marTop w:val="0"/>
          <w:marBottom w:val="100"/>
          <w:divBdr>
            <w:top w:val="none" w:sz="0" w:space="0" w:color="auto"/>
            <w:left w:val="none" w:sz="0" w:space="0" w:color="auto"/>
            <w:bottom w:val="none" w:sz="0" w:space="0" w:color="auto"/>
            <w:right w:val="none" w:sz="0" w:space="0" w:color="auto"/>
          </w:divBdr>
        </w:div>
        <w:div w:id="1098909040">
          <w:marLeft w:val="0"/>
          <w:marRight w:val="0"/>
          <w:marTop w:val="0"/>
          <w:marBottom w:val="100"/>
          <w:divBdr>
            <w:top w:val="none" w:sz="0" w:space="0" w:color="auto"/>
            <w:left w:val="none" w:sz="0" w:space="0" w:color="auto"/>
            <w:bottom w:val="none" w:sz="0" w:space="0" w:color="auto"/>
            <w:right w:val="none" w:sz="0" w:space="0" w:color="auto"/>
          </w:divBdr>
        </w:div>
        <w:div w:id="315837218">
          <w:marLeft w:val="0"/>
          <w:marRight w:val="0"/>
          <w:marTop w:val="0"/>
          <w:marBottom w:val="100"/>
          <w:divBdr>
            <w:top w:val="none" w:sz="0" w:space="0" w:color="auto"/>
            <w:left w:val="none" w:sz="0" w:space="0" w:color="auto"/>
            <w:bottom w:val="none" w:sz="0" w:space="0" w:color="auto"/>
            <w:right w:val="none" w:sz="0" w:space="0" w:color="auto"/>
          </w:divBdr>
        </w:div>
        <w:div w:id="90392671">
          <w:marLeft w:val="0"/>
          <w:marRight w:val="0"/>
          <w:marTop w:val="0"/>
          <w:marBottom w:val="100"/>
          <w:divBdr>
            <w:top w:val="none" w:sz="0" w:space="0" w:color="auto"/>
            <w:left w:val="none" w:sz="0" w:space="0" w:color="auto"/>
            <w:bottom w:val="none" w:sz="0" w:space="0" w:color="auto"/>
            <w:right w:val="none" w:sz="0" w:space="0" w:color="auto"/>
          </w:divBdr>
        </w:div>
        <w:div w:id="2052997779">
          <w:marLeft w:val="0"/>
          <w:marRight w:val="0"/>
          <w:marTop w:val="0"/>
          <w:marBottom w:val="100"/>
          <w:divBdr>
            <w:top w:val="none" w:sz="0" w:space="0" w:color="auto"/>
            <w:left w:val="none" w:sz="0" w:space="0" w:color="auto"/>
            <w:bottom w:val="none" w:sz="0" w:space="0" w:color="auto"/>
            <w:right w:val="none" w:sz="0" w:space="0" w:color="auto"/>
          </w:divBdr>
        </w:div>
        <w:div w:id="451828072">
          <w:marLeft w:val="0"/>
          <w:marRight w:val="0"/>
          <w:marTop w:val="0"/>
          <w:marBottom w:val="100"/>
          <w:divBdr>
            <w:top w:val="none" w:sz="0" w:space="0" w:color="auto"/>
            <w:left w:val="none" w:sz="0" w:space="0" w:color="auto"/>
            <w:bottom w:val="none" w:sz="0" w:space="0" w:color="auto"/>
            <w:right w:val="none" w:sz="0" w:space="0" w:color="auto"/>
          </w:divBdr>
        </w:div>
        <w:div w:id="404255649">
          <w:marLeft w:val="0"/>
          <w:marRight w:val="0"/>
          <w:marTop w:val="0"/>
          <w:marBottom w:val="100"/>
          <w:divBdr>
            <w:top w:val="none" w:sz="0" w:space="0" w:color="auto"/>
            <w:left w:val="none" w:sz="0" w:space="0" w:color="auto"/>
            <w:bottom w:val="none" w:sz="0" w:space="0" w:color="auto"/>
            <w:right w:val="none" w:sz="0" w:space="0" w:color="auto"/>
          </w:divBdr>
        </w:div>
        <w:div w:id="191378704">
          <w:marLeft w:val="0"/>
          <w:marRight w:val="0"/>
          <w:marTop w:val="0"/>
          <w:marBottom w:val="100"/>
          <w:divBdr>
            <w:top w:val="none" w:sz="0" w:space="0" w:color="auto"/>
            <w:left w:val="none" w:sz="0" w:space="0" w:color="auto"/>
            <w:bottom w:val="none" w:sz="0" w:space="0" w:color="auto"/>
            <w:right w:val="none" w:sz="0" w:space="0" w:color="auto"/>
          </w:divBdr>
        </w:div>
        <w:div w:id="1181234165">
          <w:marLeft w:val="0"/>
          <w:marRight w:val="0"/>
          <w:marTop w:val="0"/>
          <w:marBottom w:val="100"/>
          <w:divBdr>
            <w:top w:val="none" w:sz="0" w:space="0" w:color="auto"/>
            <w:left w:val="none" w:sz="0" w:space="0" w:color="auto"/>
            <w:bottom w:val="none" w:sz="0" w:space="0" w:color="auto"/>
            <w:right w:val="none" w:sz="0" w:space="0" w:color="auto"/>
          </w:divBdr>
        </w:div>
        <w:div w:id="1625886464">
          <w:marLeft w:val="0"/>
          <w:marRight w:val="0"/>
          <w:marTop w:val="0"/>
          <w:marBottom w:val="100"/>
          <w:divBdr>
            <w:top w:val="none" w:sz="0" w:space="0" w:color="auto"/>
            <w:left w:val="none" w:sz="0" w:space="0" w:color="auto"/>
            <w:bottom w:val="none" w:sz="0" w:space="0" w:color="auto"/>
            <w:right w:val="none" w:sz="0" w:space="0" w:color="auto"/>
          </w:divBdr>
        </w:div>
        <w:div w:id="1998922605">
          <w:marLeft w:val="0"/>
          <w:marRight w:val="0"/>
          <w:marTop w:val="0"/>
          <w:marBottom w:val="100"/>
          <w:divBdr>
            <w:top w:val="none" w:sz="0" w:space="0" w:color="auto"/>
            <w:left w:val="none" w:sz="0" w:space="0" w:color="auto"/>
            <w:bottom w:val="none" w:sz="0" w:space="0" w:color="auto"/>
            <w:right w:val="none" w:sz="0" w:space="0" w:color="auto"/>
          </w:divBdr>
        </w:div>
        <w:div w:id="831214411">
          <w:marLeft w:val="0"/>
          <w:marRight w:val="0"/>
          <w:marTop w:val="0"/>
          <w:marBottom w:val="100"/>
          <w:divBdr>
            <w:top w:val="none" w:sz="0" w:space="0" w:color="auto"/>
            <w:left w:val="none" w:sz="0" w:space="0" w:color="auto"/>
            <w:bottom w:val="none" w:sz="0" w:space="0" w:color="auto"/>
            <w:right w:val="none" w:sz="0" w:space="0" w:color="auto"/>
          </w:divBdr>
        </w:div>
        <w:div w:id="402218933">
          <w:marLeft w:val="0"/>
          <w:marRight w:val="0"/>
          <w:marTop w:val="0"/>
          <w:marBottom w:val="100"/>
          <w:divBdr>
            <w:top w:val="none" w:sz="0" w:space="0" w:color="auto"/>
            <w:left w:val="none" w:sz="0" w:space="0" w:color="auto"/>
            <w:bottom w:val="none" w:sz="0" w:space="0" w:color="auto"/>
            <w:right w:val="none" w:sz="0" w:space="0" w:color="auto"/>
          </w:divBdr>
        </w:div>
        <w:div w:id="1111977521">
          <w:marLeft w:val="0"/>
          <w:marRight w:val="0"/>
          <w:marTop w:val="0"/>
          <w:marBottom w:val="100"/>
          <w:divBdr>
            <w:top w:val="none" w:sz="0" w:space="0" w:color="auto"/>
            <w:left w:val="none" w:sz="0" w:space="0" w:color="auto"/>
            <w:bottom w:val="none" w:sz="0" w:space="0" w:color="auto"/>
            <w:right w:val="none" w:sz="0" w:space="0" w:color="auto"/>
          </w:divBdr>
        </w:div>
        <w:div w:id="2047438456">
          <w:marLeft w:val="0"/>
          <w:marRight w:val="0"/>
          <w:marTop w:val="0"/>
          <w:marBottom w:val="100"/>
          <w:divBdr>
            <w:top w:val="none" w:sz="0" w:space="0" w:color="auto"/>
            <w:left w:val="none" w:sz="0" w:space="0" w:color="auto"/>
            <w:bottom w:val="none" w:sz="0" w:space="0" w:color="auto"/>
            <w:right w:val="none" w:sz="0" w:space="0" w:color="auto"/>
          </w:divBdr>
        </w:div>
        <w:div w:id="471754746">
          <w:marLeft w:val="0"/>
          <w:marRight w:val="0"/>
          <w:marTop w:val="0"/>
          <w:marBottom w:val="100"/>
          <w:divBdr>
            <w:top w:val="none" w:sz="0" w:space="0" w:color="auto"/>
            <w:left w:val="none" w:sz="0" w:space="0" w:color="auto"/>
            <w:bottom w:val="none" w:sz="0" w:space="0" w:color="auto"/>
            <w:right w:val="none" w:sz="0" w:space="0" w:color="auto"/>
          </w:divBdr>
        </w:div>
        <w:div w:id="375281731">
          <w:marLeft w:val="0"/>
          <w:marRight w:val="0"/>
          <w:marTop w:val="0"/>
          <w:marBottom w:val="100"/>
          <w:divBdr>
            <w:top w:val="none" w:sz="0" w:space="0" w:color="auto"/>
            <w:left w:val="none" w:sz="0" w:space="0" w:color="auto"/>
            <w:bottom w:val="none" w:sz="0" w:space="0" w:color="auto"/>
            <w:right w:val="none" w:sz="0" w:space="0" w:color="auto"/>
          </w:divBdr>
        </w:div>
        <w:div w:id="859271677">
          <w:marLeft w:val="0"/>
          <w:marRight w:val="0"/>
          <w:marTop w:val="0"/>
          <w:marBottom w:val="100"/>
          <w:divBdr>
            <w:top w:val="none" w:sz="0" w:space="0" w:color="auto"/>
            <w:left w:val="none" w:sz="0" w:space="0" w:color="auto"/>
            <w:bottom w:val="none" w:sz="0" w:space="0" w:color="auto"/>
            <w:right w:val="none" w:sz="0" w:space="0" w:color="auto"/>
          </w:divBdr>
        </w:div>
        <w:div w:id="812334544">
          <w:marLeft w:val="0"/>
          <w:marRight w:val="0"/>
          <w:marTop w:val="0"/>
          <w:marBottom w:val="100"/>
          <w:divBdr>
            <w:top w:val="none" w:sz="0" w:space="0" w:color="auto"/>
            <w:left w:val="none" w:sz="0" w:space="0" w:color="auto"/>
            <w:bottom w:val="none" w:sz="0" w:space="0" w:color="auto"/>
            <w:right w:val="none" w:sz="0" w:space="0" w:color="auto"/>
          </w:divBdr>
        </w:div>
        <w:div w:id="1883900064">
          <w:marLeft w:val="0"/>
          <w:marRight w:val="0"/>
          <w:marTop w:val="0"/>
          <w:marBottom w:val="100"/>
          <w:divBdr>
            <w:top w:val="none" w:sz="0" w:space="0" w:color="auto"/>
            <w:left w:val="none" w:sz="0" w:space="0" w:color="auto"/>
            <w:bottom w:val="none" w:sz="0" w:space="0" w:color="auto"/>
            <w:right w:val="none" w:sz="0" w:space="0" w:color="auto"/>
          </w:divBdr>
        </w:div>
        <w:div w:id="2035615867">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3089</Words>
  <Characters>16991</Characters>
  <Application>Microsoft Office Word</Application>
  <DocSecurity>0</DocSecurity>
  <Lines>141</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Escutia</dc:creator>
  <cp:lastModifiedBy>Nancy Escutia</cp:lastModifiedBy>
  <cp:revision>1</cp:revision>
  <dcterms:created xsi:type="dcterms:W3CDTF">2023-10-31T14:32:00Z</dcterms:created>
  <dcterms:modified xsi:type="dcterms:W3CDTF">2023-10-31T14:37:00Z</dcterms:modified>
</cp:coreProperties>
</file>