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por el que se actualizan las cuotas que se especifican en materia del impuesto especial sobre producción y servicios para 2023</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28 de diciembre de 2022)</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176/2022</w:t>
      </w:r>
    </w:p>
    <w:p w:rsidR="00000000" w:rsidDel="00000000" w:rsidP="00000000" w:rsidRDefault="00000000" w:rsidRPr="00000000" w14:paraId="00000006">
      <w:pPr>
        <w:shd w:fill="ffffff" w:val="clear"/>
        <w:spacing w:after="100" w:lineRule="auto"/>
        <w:ind w:firstLine="280"/>
        <w:jc w:val="center"/>
        <w:rPr>
          <w:b w:val="1"/>
          <w:color w:val="2f2f2f"/>
          <w:sz w:val="18"/>
          <w:szCs w:val="18"/>
        </w:rPr>
      </w:pPr>
      <w:r w:rsidDel="00000000" w:rsidR="00000000" w:rsidRPr="00000000">
        <w:rPr>
          <w:b w:val="1"/>
          <w:color w:val="2f2f2f"/>
          <w:sz w:val="18"/>
          <w:szCs w:val="18"/>
          <w:rtl w:val="0"/>
        </w:rPr>
        <w:t xml:space="preserve">Acuerdo por el que se actualizan las cuotas que se especifican en materia del impuesto especial</w:t>
      </w:r>
    </w:p>
    <w:p w:rsidR="00000000" w:rsidDel="00000000" w:rsidP="00000000" w:rsidRDefault="00000000" w:rsidRPr="00000000" w14:paraId="00000007">
      <w:pPr>
        <w:shd w:fill="ffffff" w:val="clear"/>
        <w:spacing w:after="100" w:lineRule="auto"/>
        <w:ind w:firstLine="280"/>
        <w:jc w:val="center"/>
        <w:rPr>
          <w:b w:val="1"/>
          <w:color w:val="2f2f2f"/>
          <w:sz w:val="18"/>
          <w:szCs w:val="18"/>
        </w:rPr>
      </w:pPr>
      <w:r w:rsidDel="00000000" w:rsidR="00000000" w:rsidRPr="00000000">
        <w:rPr>
          <w:b w:val="1"/>
          <w:color w:val="2f2f2f"/>
          <w:sz w:val="18"/>
          <w:szCs w:val="18"/>
          <w:rtl w:val="0"/>
        </w:rPr>
        <w:t xml:space="preserve">sobre producción y servicios para 2023</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ROGELIO EDUARDO RAMÍREZ DE LA O, Secretario de Hacienda y Crédito Público, con fundamento en los artículos 31, fracción XXXII de la Ley Orgánica de la Administración Pública Federal; 2o., fracción I, incisos C), D), G) y H), y 2o.-A de la Ley del Impuesto Especial sobre Producción y Servicios; y 4o. del Reglamento Interior de la Secretaría de Hacienda y Crédito Público, y</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dispuesto en los artículos 2o., fracción I, incisos C), D), G) y H), y 2o.-A de la Ley del Impuesto Especial sobre Producción y Servicios, las cuotas aplicables a los tabacos labrados, combustibles automotrices, bebidas saborizadas, combustibles fósiles y las cuotas aplicables a las gasolinas y al diésel que se destinan a las entidades federativas, se actualizarán anualmente y entrarán en vigor a partir del 1 de enero de cada año;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actualización se llevará a cabo aplicando el factor de actualización correspondiente al período comprendido desde el mes de diciembre del penúltimo año hasta el mes de diciembre inmediato anterior a aquél por el que se efectúa la actualización, factor que se obtendrá de conformidad con lo dispuesto por el artículo 17-A del Código Fiscal de la Federación;</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las cuotas aplicables a los tabacos labrados, combustibles automotrices, bebidas saborizadas, combustibles fósiles y las cuotas aplicables a las gasolinas y al diésel que se destinan a las entidades federativas fueron actualizadas por última vez mediante el "Acuerdo por el que se actualizan las cuotas que se especifican en materia del impuesto especial sobre producción y servicios para 2022" publicado en el Diario Oficial de la Federación el 23 de diciembre de 2021;</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Secretaría de Hacienda y Crédito Público publicará el factor de actualización en el Diario Oficial de la Federación durante el mes de diciembre de cada año; y</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base en lo anterior, se actualizan las cuotas aplicables a los tabacos labrados, combustibles automotrices, bebidas saborizadas, combustibles fósiles, así como las cuotas aplicables a las gasolinas y el diésel destinadas a las entidades federativas, por lo que se expide el siguiente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El factor de actualización aplicable para el año de 2023 a las cuotas a las que se refieren los artículos 2o., fracción I, incisos C), segundo párrafo; D), G), segundo párrafo y H), y 2o.-A, fracciones I, II y III de la Ley del Impuesto Especial sobre Producción y Servicios, es de 1.0779, resultado de dividir el Índice Nacional de Precios al Consumidor del mes de noviembre de 2022, publicado en el Diario Oficial de la Federación el 9 de diciembre de 2022 que fue de 125.997 puntos, y el Índice Nacional de Precios al Consumidor correspondiente al mes de noviembre de 2021, publicado en el Diario Oficial de la Federación el 10 de diciembre de 2021 que fue de 116.884 puntos, procedimiento establecido conforme a lo dispuesto por el artículo 17-A del Código Fiscal de la Federación.</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 </w:t>
      </w:r>
      <w:r w:rsidDel="00000000" w:rsidR="00000000" w:rsidRPr="00000000">
        <w:rPr>
          <w:color w:val="2f2f2f"/>
          <w:sz w:val="18"/>
          <w:szCs w:val="18"/>
          <w:rtl w:val="0"/>
        </w:rPr>
        <w:t xml:space="preserve">Conforme al factor de actualización mencionado en el artículo Primero de este Acuerdo, la cuota por cigarro aplicable a tabacos labrados a que se refiere el artículo 2o., fracción I, inciso C), segundo párrafo de la Ley del Impuesto Especial sobre Producción y Servicios, que estará vigente a partir del 1 de enero de 2023, es de $0.5911 por cigarro.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w:t>
      </w:r>
      <w:r w:rsidDel="00000000" w:rsidR="00000000" w:rsidRPr="00000000">
        <w:rPr>
          <w:color w:val="2f2f2f"/>
          <w:sz w:val="18"/>
          <w:szCs w:val="18"/>
          <w:rtl w:val="0"/>
        </w:rPr>
        <w:t xml:space="preserve"> Conforme al factor de actualización mencionado en el artículo Primero de este Acuerdo, las cuotas aplicables a los combustibles automotrices a que se refiere el artículo 2o., fracción I, inciso D) de la Ley del Impuesto Especial sobre Producción y Servicios, que estarán vigentes a partir del 1 de enero de 2023, son las siguientes:</w:t>
      </w:r>
    </w:p>
    <w:p w:rsidR="00000000" w:rsidDel="00000000" w:rsidP="00000000" w:rsidRDefault="00000000" w:rsidRPr="00000000" w14:paraId="0000001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Combustibles fósiles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Cuota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Unidad de medida</w:t>
      </w:r>
    </w:p>
    <w:p w:rsidR="00000000" w:rsidDel="00000000" w:rsidP="00000000" w:rsidRDefault="00000000" w:rsidRPr="00000000" w14:paraId="0000001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Gasolina menor a 91 octanos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5.9195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pesos por litro.</w:t>
      </w:r>
    </w:p>
    <w:p w:rsidR="00000000" w:rsidDel="00000000" w:rsidP="00000000" w:rsidRDefault="00000000" w:rsidRPr="00000000" w14:paraId="0000001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Gasolina mayor o igual a 91 octanos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4.9987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pesos por litro.</w:t>
      </w:r>
    </w:p>
    <w:p w:rsidR="00000000" w:rsidDel="00000000" w:rsidP="00000000" w:rsidRDefault="00000000" w:rsidRPr="00000000" w14:paraId="0000001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Diésel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6.5055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pesos por litro.</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Combustibles no fósiles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4.9987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pesos por litro.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CUARTO.-</w:t>
      </w:r>
      <w:r w:rsidDel="00000000" w:rsidR="00000000" w:rsidRPr="00000000">
        <w:rPr>
          <w:color w:val="2f2f2f"/>
          <w:sz w:val="18"/>
          <w:szCs w:val="18"/>
          <w:rtl w:val="0"/>
        </w:rPr>
        <w:t xml:space="preserve"> Conforme al factor de actualización mencionado en el artículo Primero de este Acuerdo, la cuota por litro aplicable a bebidas saborizadas a que se refiere el artículo 2o., fracción I, inciso G), segundo párrafo de la Ley del Impuesto Especial sobre Producción y Servicios, que estará vigente a partir del 1 de enero de 2023, es de $1.5086 por litro.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QUINTO.-</w:t>
      </w:r>
      <w:r w:rsidDel="00000000" w:rsidR="00000000" w:rsidRPr="00000000">
        <w:rPr>
          <w:color w:val="2f2f2f"/>
          <w:sz w:val="18"/>
          <w:szCs w:val="18"/>
          <w:rtl w:val="0"/>
        </w:rPr>
        <w:t xml:space="preserve"> Conforme al factor de actualización mencionado en el artículo Primero de este Acuerdo, las cuotas aplicables a los combustibles fósiles a que se refiere el artículo 2o., fracción I, inciso H) de la Ley del Impuesto Especial sobre Producción y Servicios, que estarán vigentes a partir del 1 de enero de 2023, son las siguientes:</w:t>
      </w:r>
    </w:p>
    <w:tbl>
      <w:tblPr>
        <w:tblStyle w:val="Table1"/>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85"/>
        <w:gridCol w:w="1620"/>
        <w:gridCol w:w="3315"/>
        <w:tblGridChange w:id="0">
          <w:tblGrid>
            <w:gridCol w:w="3885"/>
            <w:gridCol w:w="1620"/>
            <w:gridCol w:w="3315"/>
          </w:tblGrid>
        </w:tblGridChange>
      </w:tblGrid>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A">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Combustibles Fósiles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B">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Cuota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Unidad de medida</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ind w:left="80" w:firstLine="0"/>
              <w:jc w:val="both"/>
              <w:rPr>
                <w:color w:val="2f2f2f"/>
                <w:sz w:val="20"/>
                <w:szCs w:val="20"/>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Propano</w:t>
            </w:r>
            <w:r w:rsidDel="00000000" w:rsidR="00000000" w:rsidRPr="00000000">
              <w:rPr>
                <w:color w:val="2f2f2f"/>
                <w:sz w:val="20"/>
                <w:szCs w:val="20"/>
                <w:rtl w:val="0"/>
              </w:rPr>
              <w:t xml:space="preserv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80" w:firstLine="0"/>
              <w:jc w:val="both"/>
              <w:rPr>
                <w:color w:val="2f2f2f"/>
                <w:sz w:val="18"/>
                <w:szCs w:val="18"/>
              </w:rPr>
            </w:pPr>
            <w:r w:rsidDel="00000000" w:rsidR="00000000" w:rsidRPr="00000000">
              <w:rPr>
                <w:color w:val="2f2f2f"/>
                <w:sz w:val="18"/>
                <w:szCs w:val="18"/>
                <w:rtl w:val="0"/>
              </w:rPr>
              <w:t xml:space="preserve">8.9451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both"/>
              <w:rPr>
                <w:color w:val="2f2f2f"/>
                <w:sz w:val="18"/>
                <w:szCs w:val="18"/>
              </w:rPr>
            </w:pPr>
            <w:r w:rsidDel="00000000" w:rsidR="00000000" w:rsidRPr="00000000">
              <w:rPr>
                <w:color w:val="2f2f2f"/>
                <w:sz w:val="18"/>
                <w:szCs w:val="18"/>
                <w:rtl w:val="0"/>
              </w:rPr>
              <w:t xml:space="preserve">centavos por litro.</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80" w:firstLine="0"/>
              <w:jc w:val="both"/>
              <w:rPr>
                <w:color w:val="2f2f2f"/>
                <w:sz w:val="20"/>
                <w:szCs w:val="20"/>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Butano </w:t>
            </w:r>
            <w:r w:rsidDel="00000000" w:rsidR="00000000" w:rsidRPr="00000000">
              <w:rPr>
                <w:color w:val="2f2f2f"/>
                <w:sz w:val="20"/>
                <w:szCs w:val="20"/>
                <w:rtl w:val="0"/>
              </w:rPr>
              <w:t xml:space="preserv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80" w:firstLine="0"/>
              <w:jc w:val="both"/>
              <w:rPr>
                <w:color w:val="2f2f2f"/>
                <w:sz w:val="18"/>
                <w:szCs w:val="18"/>
              </w:rPr>
            </w:pPr>
            <w:r w:rsidDel="00000000" w:rsidR="00000000" w:rsidRPr="00000000">
              <w:rPr>
                <w:color w:val="2f2f2f"/>
                <w:sz w:val="18"/>
                <w:szCs w:val="18"/>
                <w:rtl w:val="0"/>
              </w:rPr>
              <w:t xml:space="preserve">11.5759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both"/>
              <w:rPr>
                <w:color w:val="2f2f2f"/>
                <w:sz w:val="18"/>
                <w:szCs w:val="18"/>
              </w:rPr>
            </w:pPr>
            <w:r w:rsidDel="00000000" w:rsidR="00000000" w:rsidRPr="00000000">
              <w:rPr>
                <w:color w:val="2f2f2f"/>
                <w:sz w:val="18"/>
                <w:szCs w:val="18"/>
                <w:rtl w:val="0"/>
              </w:rPr>
              <w:t xml:space="preserve">centavos por litro.</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jc w:val="both"/>
              <w:rPr>
                <w:color w:val="2f2f2f"/>
                <w:sz w:val="20"/>
                <w:szCs w:val="20"/>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Gasolinas y gasavión </w:t>
            </w:r>
            <w:r w:rsidDel="00000000" w:rsidR="00000000" w:rsidRPr="00000000">
              <w:rPr>
                <w:color w:val="2f2f2f"/>
                <w:sz w:val="20"/>
                <w:szCs w:val="20"/>
                <w:rtl w:val="0"/>
              </w:rPr>
              <w:t xml:space="preserv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80" w:firstLine="0"/>
              <w:jc w:val="both"/>
              <w:rPr>
                <w:color w:val="2f2f2f"/>
                <w:sz w:val="18"/>
                <w:szCs w:val="18"/>
              </w:rPr>
            </w:pPr>
            <w:r w:rsidDel="00000000" w:rsidR="00000000" w:rsidRPr="00000000">
              <w:rPr>
                <w:color w:val="2f2f2f"/>
                <w:sz w:val="18"/>
                <w:szCs w:val="18"/>
                <w:rtl w:val="0"/>
              </w:rPr>
              <w:t xml:space="preserve">15.6899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both"/>
              <w:rPr>
                <w:color w:val="2f2f2f"/>
                <w:sz w:val="18"/>
                <w:szCs w:val="18"/>
              </w:rPr>
            </w:pPr>
            <w:r w:rsidDel="00000000" w:rsidR="00000000" w:rsidRPr="00000000">
              <w:rPr>
                <w:color w:val="2f2f2f"/>
                <w:sz w:val="18"/>
                <w:szCs w:val="18"/>
                <w:rtl w:val="0"/>
              </w:rPr>
              <w:t xml:space="preserve">centavos por litro.</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80" w:firstLine="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.Turbosina y otros kerosenos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80" w:firstLine="0"/>
              <w:jc w:val="both"/>
              <w:rPr>
                <w:color w:val="2f2f2f"/>
                <w:sz w:val="18"/>
                <w:szCs w:val="18"/>
              </w:rPr>
            </w:pPr>
            <w:r w:rsidDel="00000000" w:rsidR="00000000" w:rsidRPr="00000000">
              <w:rPr>
                <w:color w:val="2f2f2f"/>
                <w:sz w:val="18"/>
                <w:szCs w:val="18"/>
                <w:rtl w:val="0"/>
              </w:rPr>
              <w:t xml:space="preserve">18.7393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both"/>
              <w:rPr>
                <w:color w:val="2f2f2f"/>
                <w:sz w:val="18"/>
                <w:szCs w:val="18"/>
              </w:rPr>
            </w:pPr>
            <w:r w:rsidDel="00000000" w:rsidR="00000000" w:rsidRPr="00000000">
              <w:rPr>
                <w:color w:val="2f2f2f"/>
                <w:sz w:val="18"/>
                <w:szCs w:val="18"/>
                <w:rtl w:val="0"/>
              </w:rPr>
              <w:t xml:space="preserve">centavos por litro.</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80" w:firstLine="0"/>
              <w:jc w:val="both"/>
              <w:rPr>
                <w:color w:val="2f2f2f"/>
                <w:sz w:val="20"/>
                <w:szCs w:val="20"/>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Diésel</w:t>
            </w:r>
            <w:r w:rsidDel="00000000" w:rsidR="00000000" w:rsidRPr="00000000">
              <w:rPr>
                <w:color w:val="2f2f2f"/>
                <w:sz w:val="20"/>
                <w:szCs w:val="20"/>
                <w:rtl w:val="0"/>
              </w:rPr>
              <w:t xml:space="preserv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both"/>
              <w:rPr>
                <w:color w:val="2f2f2f"/>
                <w:sz w:val="18"/>
                <w:szCs w:val="18"/>
              </w:rPr>
            </w:pPr>
            <w:r w:rsidDel="00000000" w:rsidR="00000000" w:rsidRPr="00000000">
              <w:rPr>
                <w:color w:val="2f2f2f"/>
                <w:sz w:val="18"/>
                <w:szCs w:val="18"/>
                <w:rtl w:val="0"/>
              </w:rPr>
              <w:t xml:space="preserve">19.0383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both"/>
              <w:rPr>
                <w:color w:val="2f2f2f"/>
                <w:sz w:val="18"/>
                <w:szCs w:val="18"/>
              </w:rPr>
            </w:pPr>
            <w:r w:rsidDel="00000000" w:rsidR="00000000" w:rsidRPr="00000000">
              <w:rPr>
                <w:color w:val="2f2f2f"/>
                <w:sz w:val="18"/>
                <w:szCs w:val="18"/>
                <w:rtl w:val="0"/>
              </w:rPr>
              <w:t xml:space="preserve">centavos por litro.</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80" w:firstLine="0"/>
              <w:jc w:val="both"/>
              <w:rPr>
                <w:color w:val="2f2f2f"/>
                <w:sz w:val="20"/>
                <w:szCs w:val="20"/>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Combustóleo </w:t>
            </w:r>
            <w:r w:rsidDel="00000000" w:rsidR="00000000" w:rsidRPr="00000000">
              <w:rPr>
                <w:color w:val="2f2f2f"/>
                <w:sz w:val="20"/>
                <w:szCs w:val="20"/>
                <w:rtl w:val="0"/>
              </w:rPr>
              <w:t xml:space="preserv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80" w:firstLine="0"/>
              <w:jc w:val="both"/>
              <w:rPr>
                <w:color w:val="2f2f2f"/>
                <w:sz w:val="18"/>
                <w:szCs w:val="18"/>
              </w:rPr>
            </w:pPr>
            <w:r w:rsidDel="00000000" w:rsidR="00000000" w:rsidRPr="00000000">
              <w:rPr>
                <w:color w:val="2f2f2f"/>
                <w:sz w:val="18"/>
                <w:szCs w:val="18"/>
                <w:rtl w:val="0"/>
              </w:rPr>
              <w:t xml:space="preserve">20.3179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80" w:firstLine="0"/>
              <w:jc w:val="both"/>
              <w:rPr>
                <w:color w:val="2f2f2f"/>
                <w:sz w:val="18"/>
                <w:szCs w:val="18"/>
              </w:rPr>
            </w:pPr>
            <w:r w:rsidDel="00000000" w:rsidR="00000000" w:rsidRPr="00000000">
              <w:rPr>
                <w:color w:val="2f2f2f"/>
                <w:sz w:val="18"/>
                <w:szCs w:val="18"/>
                <w:rtl w:val="0"/>
              </w:rPr>
              <w:t xml:space="preserve">centavos por litro.</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F">
            <w:pPr>
              <w:spacing w:after="100" w:lineRule="auto"/>
              <w:ind w:left="80" w:firstLine="0"/>
              <w:jc w:val="both"/>
              <w:rPr>
                <w:color w:val="2f2f2f"/>
                <w:sz w:val="20"/>
                <w:szCs w:val="20"/>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Coque de petróleo </w:t>
            </w:r>
            <w:r w:rsidDel="00000000" w:rsidR="00000000" w:rsidRPr="00000000">
              <w:rPr>
                <w:color w:val="2f2f2f"/>
                <w:sz w:val="20"/>
                <w:szCs w:val="20"/>
                <w:rtl w:val="0"/>
              </w:rPr>
              <w:t xml:space="preserv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0">
            <w:pPr>
              <w:spacing w:after="100" w:lineRule="auto"/>
              <w:ind w:left="80" w:firstLine="0"/>
              <w:jc w:val="both"/>
              <w:rPr>
                <w:color w:val="2f2f2f"/>
                <w:sz w:val="18"/>
                <w:szCs w:val="18"/>
              </w:rPr>
            </w:pPr>
            <w:r w:rsidDel="00000000" w:rsidR="00000000" w:rsidRPr="00000000">
              <w:rPr>
                <w:color w:val="2f2f2f"/>
                <w:sz w:val="18"/>
                <w:szCs w:val="18"/>
                <w:rtl w:val="0"/>
              </w:rPr>
              <w:t xml:space="preserve">23.5827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1">
            <w:pPr>
              <w:spacing w:after="100" w:lineRule="auto"/>
              <w:ind w:left="80" w:firstLine="0"/>
              <w:jc w:val="both"/>
              <w:rPr>
                <w:color w:val="2f2f2f"/>
                <w:sz w:val="18"/>
                <w:szCs w:val="18"/>
              </w:rPr>
            </w:pPr>
            <w:r w:rsidDel="00000000" w:rsidR="00000000" w:rsidRPr="00000000">
              <w:rPr>
                <w:color w:val="2f2f2f"/>
                <w:sz w:val="18"/>
                <w:szCs w:val="18"/>
                <w:rtl w:val="0"/>
              </w:rPr>
              <w:t xml:space="preserve">pesos por tonelada.</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80" w:firstLine="0"/>
              <w:jc w:val="both"/>
              <w:rPr>
                <w:color w:val="2f2f2f"/>
                <w:sz w:val="20"/>
                <w:szCs w:val="20"/>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Coque de carbón </w:t>
            </w:r>
            <w:r w:rsidDel="00000000" w:rsidR="00000000" w:rsidRPr="00000000">
              <w:rPr>
                <w:color w:val="2f2f2f"/>
                <w:sz w:val="20"/>
                <w:szCs w:val="20"/>
                <w:rtl w:val="0"/>
              </w:rPr>
              <w:t xml:space="preserv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3">
            <w:pPr>
              <w:spacing w:after="100" w:lineRule="auto"/>
              <w:ind w:left="80" w:firstLine="0"/>
              <w:jc w:val="both"/>
              <w:rPr>
                <w:color w:val="2f2f2f"/>
                <w:sz w:val="18"/>
                <w:szCs w:val="18"/>
              </w:rPr>
            </w:pPr>
            <w:r w:rsidDel="00000000" w:rsidR="00000000" w:rsidRPr="00000000">
              <w:rPr>
                <w:color w:val="2f2f2f"/>
                <w:sz w:val="18"/>
                <w:szCs w:val="18"/>
                <w:rtl w:val="0"/>
              </w:rPr>
              <w:t xml:space="preserve">55.2855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4">
            <w:pPr>
              <w:spacing w:after="100" w:lineRule="auto"/>
              <w:ind w:left="80" w:firstLine="0"/>
              <w:jc w:val="both"/>
              <w:rPr>
                <w:color w:val="2f2f2f"/>
                <w:sz w:val="18"/>
                <w:szCs w:val="18"/>
              </w:rPr>
            </w:pPr>
            <w:r w:rsidDel="00000000" w:rsidR="00000000" w:rsidRPr="00000000">
              <w:rPr>
                <w:color w:val="2f2f2f"/>
                <w:sz w:val="18"/>
                <w:szCs w:val="18"/>
                <w:rtl w:val="0"/>
              </w:rPr>
              <w:t xml:space="preserve">pesos por tonelada.</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ind w:left="80" w:firstLine="0"/>
              <w:jc w:val="both"/>
              <w:rPr>
                <w:color w:val="2f2f2f"/>
                <w:sz w:val="20"/>
                <w:szCs w:val="20"/>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Carbón mineral </w:t>
            </w:r>
            <w:r w:rsidDel="00000000" w:rsidR="00000000" w:rsidRPr="00000000">
              <w:rPr>
                <w:color w:val="2f2f2f"/>
                <w:sz w:val="20"/>
                <w:szCs w:val="20"/>
                <w:rtl w:val="0"/>
              </w:rPr>
              <w:t xml:space="preserv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80" w:firstLine="0"/>
              <w:jc w:val="both"/>
              <w:rPr>
                <w:color w:val="2f2f2f"/>
                <w:sz w:val="18"/>
                <w:szCs w:val="18"/>
              </w:rPr>
            </w:pPr>
            <w:r w:rsidDel="00000000" w:rsidR="00000000" w:rsidRPr="00000000">
              <w:rPr>
                <w:color w:val="2f2f2f"/>
                <w:sz w:val="18"/>
                <w:szCs w:val="18"/>
                <w:rtl w:val="0"/>
              </w:rPr>
              <w:t xml:space="preserve">41.6286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ind w:left="80" w:firstLine="0"/>
              <w:jc w:val="both"/>
              <w:rPr>
                <w:color w:val="2f2f2f"/>
                <w:sz w:val="18"/>
                <w:szCs w:val="18"/>
              </w:rPr>
            </w:pPr>
            <w:r w:rsidDel="00000000" w:rsidR="00000000" w:rsidRPr="00000000">
              <w:rPr>
                <w:color w:val="2f2f2f"/>
                <w:sz w:val="18"/>
                <w:szCs w:val="18"/>
                <w:rtl w:val="0"/>
              </w:rPr>
              <w:t xml:space="preserve">pesos por tonelada.</w:t>
            </w:r>
          </w:p>
        </w:tc>
      </w:tr>
      <w:tr>
        <w:trPr>
          <w:cantSplit w:val="0"/>
          <w:trHeight w:val="83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80" w:firstLine="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Otros combustibles fósiles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80" w:firstLine="0"/>
              <w:jc w:val="both"/>
              <w:rPr>
                <w:color w:val="2f2f2f"/>
                <w:sz w:val="18"/>
                <w:szCs w:val="18"/>
              </w:rPr>
            </w:pPr>
            <w:r w:rsidDel="00000000" w:rsidR="00000000" w:rsidRPr="00000000">
              <w:rPr>
                <w:color w:val="2f2f2f"/>
                <w:sz w:val="18"/>
                <w:szCs w:val="18"/>
                <w:rtl w:val="0"/>
              </w:rPr>
              <w:t xml:space="preserve">60.1766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A">
            <w:pPr>
              <w:spacing w:after="100" w:lineRule="auto"/>
              <w:ind w:left="80" w:firstLine="0"/>
              <w:jc w:val="both"/>
              <w:rPr>
                <w:color w:val="2f2f2f"/>
                <w:sz w:val="18"/>
                <w:szCs w:val="18"/>
              </w:rPr>
            </w:pPr>
            <w:r w:rsidDel="00000000" w:rsidR="00000000" w:rsidRPr="00000000">
              <w:rPr>
                <w:color w:val="2f2f2f"/>
                <w:sz w:val="18"/>
                <w:szCs w:val="18"/>
                <w:rtl w:val="0"/>
              </w:rPr>
              <w:t xml:space="preserve">pesos por tonelada de carbono que contenga el combustible.</w:t>
            </w:r>
          </w:p>
        </w:tc>
      </w:tr>
    </w:tbl>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SEXTO.- </w:t>
      </w:r>
      <w:r w:rsidDel="00000000" w:rsidR="00000000" w:rsidRPr="00000000">
        <w:rPr>
          <w:color w:val="2f2f2f"/>
          <w:sz w:val="18"/>
          <w:szCs w:val="18"/>
          <w:rtl w:val="0"/>
        </w:rPr>
        <w:t xml:space="preserve">Conforme al factor de actualización mencionado en el artículo Primero de este Acuerdo, las cuotas aplicables a las gasolinas y el diésel previstas en el artículo 2o.-A, fracciones I, II y III de la Ley del Impuesto Especial sobre Producción y Servicios, que estarán vigentes a partir del 1 de enero de 2023, son las siguientes:</w:t>
      </w:r>
    </w:p>
    <w:p w:rsidR="00000000" w:rsidDel="00000000" w:rsidP="00000000" w:rsidRDefault="00000000" w:rsidRPr="00000000" w14:paraId="0000003D">
      <w:pPr>
        <w:shd w:fill="ffffff" w:val="clear"/>
        <w:spacing w:after="100" w:lineRule="auto"/>
        <w:ind w:firstLine="2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Combustibles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Cuota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Unidad de medida</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Gasolina menor a 91 octanos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52.2479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centavos por litro.</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Gasolina mayor o igual a 91 octanos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63.7522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centavos por litro.</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Diésel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43.3626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centavos por litro.</w:t>
      </w:r>
    </w:p>
    <w:p w:rsidR="00000000" w:rsidDel="00000000" w:rsidP="00000000" w:rsidRDefault="00000000" w:rsidRPr="00000000" w14:paraId="0000004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presente Acuerdo entrará en vigor el 1 de enero de 2023.</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21 de diciembre de 2022.- En suplencia por ausencia del Secretario de Hacienda y Crédito Público y con fundamento en el artículo 105 del Reglamento Interior de la Secretaría de Hacienda y Crédito Público, el Subsecretario de Hacienda y Crédito Público, </w:t>
      </w:r>
      <w:r w:rsidDel="00000000" w:rsidR="00000000" w:rsidRPr="00000000">
        <w:rPr>
          <w:b w:val="1"/>
          <w:color w:val="2f2f2f"/>
          <w:sz w:val="18"/>
          <w:szCs w:val="18"/>
          <w:rtl w:val="0"/>
        </w:rPr>
        <w:t xml:space="preserve">Gabriel Yorio González</w:t>
      </w:r>
      <w:r w:rsidDel="00000000" w:rsidR="00000000" w:rsidRPr="00000000">
        <w:rPr>
          <w:color w:val="2f2f2f"/>
          <w:sz w:val="18"/>
          <w:szCs w:val="18"/>
          <w:rtl w:val="0"/>
        </w:rPr>
        <w:t xml:space="preserve">.- Rúbrica.</w:t>
      </w:r>
    </w:p>
    <w:p w:rsidR="00000000" w:rsidDel="00000000" w:rsidP="00000000" w:rsidRDefault="00000000" w:rsidRPr="00000000" w14:paraId="0000004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