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000000" w:space="0" w:sz="12" w:val="single"/>
        </w:pBdr>
        <w:shd w:fill="ffffff" w:val="clear"/>
        <w:spacing w:after="0" w:before="120" w:lineRule="auto"/>
        <w:jc w:val="center"/>
        <w:rPr>
          <w:rFonts w:ascii="Verdana" w:cs="Verdana" w:eastAsia="Verdana" w:hAnsi="Verdana"/>
          <w:b w:val="1"/>
          <w:color w:val="4a86e8"/>
          <w:sz w:val="20"/>
          <w:szCs w:val="20"/>
        </w:rPr>
      </w:pPr>
      <w:bookmarkStart w:colFirst="0" w:colLast="0" w:name="_a78sg56zmmzx" w:id="0"/>
      <w:bookmarkEnd w:id="0"/>
      <w:r w:rsidDel="00000000" w:rsidR="00000000" w:rsidRPr="00000000">
        <w:rPr>
          <w:rFonts w:ascii="Verdana" w:cs="Verdana" w:eastAsia="Verdana" w:hAnsi="Verdana"/>
          <w:b w:val="1"/>
          <w:color w:val="4a86e8"/>
          <w:sz w:val="20"/>
          <w:szCs w:val="20"/>
          <w:rtl w:val="0"/>
        </w:rPr>
        <w:t xml:space="preserve">Acuerdo que modifica al diverso que establece las mercancías cuya importación y exportación está sujeta a regulación por parte de la Secretaría de Salud</w:t>
        <w:br w:type="textWrapping"/>
        <w:t xml:space="preserve">(DOF 22 de marzo de 2024)</w:t>
      </w:r>
    </w:p>
    <w:p w:rsidR="00000000" w:rsidDel="00000000" w:rsidP="00000000" w:rsidRDefault="00000000" w:rsidRPr="00000000" w14:paraId="00000002">
      <w:pPr>
        <w:pStyle w:val="Heading2"/>
        <w:keepNext w:val="0"/>
        <w:keepLines w:val="0"/>
        <w:pBdr>
          <w:top w:color="000000" w:space="0" w:sz="6" w:val="single"/>
        </w:pBdr>
        <w:shd w:fill="ffffff" w:val="clear"/>
        <w:spacing w:after="100" w:lineRule="auto"/>
        <w:jc w:val="both"/>
        <w:rPr>
          <w:rFonts w:ascii="Verdana" w:cs="Verdana" w:eastAsia="Verdana" w:hAnsi="Verdana"/>
          <w:b w:val="1"/>
          <w:color w:val="2f2f2f"/>
          <w:sz w:val="20"/>
          <w:szCs w:val="20"/>
        </w:rPr>
      </w:pPr>
      <w:bookmarkStart w:colFirst="0" w:colLast="0" w:name="_eefgltvzc7m9" w:id="1"/>
      <w:bookmarkEnd w:id="1"/>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Secretaría de Economía.- Secretaría de Salud.</w:t>
      </w:r>
    </w:p>
    <w:p w:rsidR="00000000" w:rsidDel="00000000" w:rsidP="00000000" w:rsidRDefault="00000000" w:rsidRPr="00000000" w14:paraId="0000000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fundamento en los artículos 34, fracciones I y XXXIII, y 39, fracciones XXI y XXVII, de la Ley Orgánica de la Administración Pública Federal; 4o., fracción III, 5o., fracción III, 15, fracción VI, 16, fracción VI, y 17 de la Ley de Comercio Exterior; 17 bis, 286, 289, 292 y 295 de la Ley General de Salud; 5, fracción XVII, del Reglamento Interior de la Secretaría de Economía; 2, apartado C, fracción X, 6 y 7, fracción XVI, del Reglamento Interior de la Secretaría de Salud, y</w:t>
      </w:r>
    </w:p>
    <w:p w:rsidR="00000000" w:rsidDel="00000000" w:rsidP="00000000" w:rsidRDefault="00000000" w:rsidRPr="00000000" w14:paraId="00000004">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la Ley General de Salud establece el control sanitario de los productos y materias primas de importación y de exportación que ejerce la Secretaría de Salud;</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26 de diciembre de 2020, se publicó en el Diario Oficial de la Federación (DOF) el Acuerdo que establece las mercancías cuya importación y exportación está sujeta a regulación por parte de la Secretaría de Salud (Acuerdo), mismo que fue reformado por diversos publicados en el mismo órgano de difusión oficial el 23 de febrero de 2021, el 28 de enero y 1 de septiembre, de 2022;</w:t>
      </w:r>
    </w:p>
    <w:p w:rsidR="00000000" w:rsidDel="00000000" w:rsidP="00000000" w:rsidRDefault="00000000" w:rsidRPr="00000000" w14:paraId="0000000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7 de junio de 2022, se publicó en el DOF el Decreto por el que se expide la Ley de los Impuestos Generales de Importación y de Exportación (LIGIE), la cual establece en su artículo 1o. las cuotas que, atendiendo a la clasificación de la mercancía, sirven para determinar los impuestos generales de importación y de exportación, conforme a la Tarifa aplicable a la importación y exportación de mercancías en territorio nacional, y que fue modificada mediante diversos decretos publicados en el mismo órgano de difusión oficial;</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27 de junio de 2022, se publicó en el DOF el Acuerdo por el que se establece la metodología para la creación y modificación de los números de identificación comercial (Acuerdo de metodología), el cual establece, entre otros, los criterios, el procedimiento a seguir para su creación y modificación, así como su evaluación;</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22 de agosto de 2022, se publicó en el DOF el Acuerdo por el que se dan a conocer los Números de Identificación Comercial (NICO) y sus tablas de correlación (Acuerdo NICO y tablas de correlación), el cual tiene por objeto dar a conocer los NICO en los que se clasifican las mercancías en función de las fracciones arancelarias y las Anotaciones de los mismos, con la finalidad de brindar certeza jurídica y efectuar una correcta clasificación de las mercancías, mismo que fue modificado por diverso publicado en el mismo órgano de difusión oficial el 30 de junio de 2023;</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de conformidad con lo establecido en el artículo 9 del Acuerdo de metodología, se publicó en el DOF el diverso que modifica el Acuerdo NICO y tablas de correlación, mediante el cual se crearon 6 NICO, se suprimieron 3 NICO, y se crearon una Anotación del Capítulo 09 y una Anotación del Capítulo 95 de la LIGIE;</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virtud de lo dispuesto por los artículos 20 de la Ley de Comercio Exterior y 36-A, primer párrafo, fracciones I, inciso c), y II, inciso b), de la Ley Aduanera, sólo podrán hacerse cumplir en el punto de entrada o salida al país, las regulaciones no arancelarias cuyas mercancías hayan sido identificadas en términos de sus fracciones arancelarias y nomenclatura que les corresponda;</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ante la necesidad de otorgar mayor certidumbre jurídica en la aplicación del Acuerdo, resulta indispensable efectuar su actualización a fin de armonizar los NICO contenidos en el mismo, conforme a los cambios referidos en los considerandos anteriores, y</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conforme a lo establecido por la Ley de Comercio Exterior, las disposiciones a las que se refiere el presente instrumento cuentan con la opinión de la Comisión de Comercio Exterior, se expide el siguiente:</w:t>
      </w:r>
    </w:p>
    <w:p w:rsidR="00000000" w:rsidDel="00000000" w:rsidP="00000000" w:rsidRDefault="00000000" w:rsidRPr="00000000" w14:paraId="0000000E">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QUE MODIFICA AL DIVERSO QUE ESTABLECE LAS MERCANCÍAS CUYA IMPORTACIÓN</w:t>
      </w:r>
    </w:p>
    <w:p w:rsidR="00000000" w:rsidDel="00000000" w:rsidP="00000000" w:rsidRDefault="00000000" w:rsidRPr="00000000" w14:paraId="0000000F">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Y EXPORTACIÓN ESTÁ SUJETA A REGULACIÓN POR PARTE DE LA SECRETARÍA DE SALUD</w:t>
      </w:r>
    </w:p>
    <w:p w:rsidR="00000000" w:rsidDel="00000000" w:rsidP="00000000" w:rsidRDefault="00000000" w:rsidRPr="00000000" w14:paraId="0000001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 </w:t>
      </w:r>
      <w:r w:rsidDel="00000000" w:rsidR="00000000" w:rsidRPr="00000000">
        <w:rPr>
          <w:rFonts w:ascii="Verdana" w:cs="Verdana" w:eastAsia="Verdana" w:hAnsi="Verdana"/>
          <w:color w:val="2f2f2f"/>
          <w:sz w:val="20"/>
          <w:szCs w:val="20"/>
          <w:rtl w:val="0"/>
        </w:rPr>
        <w:t xml:space="preserve">Se </w:t>
      </w:r>
      <w:r w:rsidDel="00000000" w:rsidR="00000000" w:rsidRPr="00000000">
        <w:rPr>
          <w:rFonts w:ascii="Verdana" w:cs="Verdana" w:eastAsia="Verdana" w:hAnsi="Verdana"/>
          <w:b w:val="1"/>
          <w:color w:val="2f2f2f"/>
          <w:sz w:val="20"/>
          <w:szCs w:val="20"/>
          <w:rtl w:val="0"/>
        </w:rPr>
        <w:t xml:space="preserve">reforma </w:t>
      </w:r>
      <w:r w:rsidDel="00000000" w:rsidR="00000000" w:rsidRPr="00000000">
        <w:rPr>
          <w:rFonts w:ascii="Verdana" w:cs="Verdana" w:eastAsia="Verdana" w:hAnsi="Verdana"/>
          <w:color w:val="2f2f2f"/>
          <w:sz w:val="20"/>
          <w:szCs w:val="20"/>
          <w:rtl w:val="0"/>
        </w:rPr>
        <w:t xml:space="preserve">el Anexo I, fracción f), del Acuerdo que establece las mercancías cuya importación y exportación está sujeta a regulación por parte de la Secretaría de Salud, publicado en el Diario Oficial de la Federación el 26 de diciembre de 2020 y sus posteriores modificaciones, respecto de la fracción arancelaria y sus</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números de identificación comercial que se indican, en el orden que les corresponda:</w:t>
      </w:r>
    </w:p>
    <w:p w:rsidR="00000000" w:rsidDel="00000000" w:rsidP="00000000" w:rsidRDefault="00000000" w:rsidRPr="00000000" w14:paraId="00000011">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"ANEXO I</w:t>
      </w:r>
    </w:p>
    <w:p w:rsidR="00000000" w:rsidDel="00000000" w:rsidP="00000000" w:rsidRDefault="00000000" w:rsidRPr="00000000" w14:paraId="00000012">
      <w:pPr>
        <w:shd w:fill="ffffff" w:val="clear"/>
        <w:spacing w:after="100" w:lineRule="auto"/>
        <w:ind w:left="1520" w:hanging="62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 </w:t>
      </w:r>
      <w:r w:rsidDel="00000000" w:rsidR="00000000" w:rsidRPr="00000000">
        <w:rPr>
          <w:rFonts w:ascii="Verdana" w:cs="Verdana" w:eastAsia="Verdana" w:hAnsi="Verdana"/>
          <w:color w:val="2f2f2f"/>
          <w:sz w:val="20"/>
          <w:szCs w:val="20"/>
          <w:rtl w:val="0"/>
        </w:rPr>
        <w:t xml:space="preserve">a </w:t>
      </w:r>
      <w:r w:rsidDel="00000000" w:rsidR="00000000" w:rsidRPr="00000000">
        <w:rPr>
          <w:rFonts w:ascii="Verdana" w:cs="Verdana" w:eastAsia="Verdana" w:hAnsi="Verdana"/>
          <w:b w:val="1"/>
          <w:color w:val="2f2f2f"/>
          <w:sz w:val="20"/>
          <w:szCs w:val="20"/>
          <w:rtl w:val="0"/>
        </w:rPr>
        <w:t xml:space="preserve">e) </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3">
      <w:pPr>
        <w:shd w:fill="ffffff" w:val="clear"/>
        <w:spacing w:after="100" w:lineRule="auto"/>
        <w:ind w:left="1520" w:hanging="62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f) </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4">
      <w:pPr>
        <w:shd w:fill="ffffff" w:val="clear"/>
        <w:spacing w:after="100" w:lineRule="auto"/>
        <w:ind w:left="1520" w:hanging="620"/>
        <w:jc w:val="both"/>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9880787142133"/>
        <w:gridCol w:w="4728.357093748784"/>
        <w:gridCol w:w="2706.166638560625"/>
        <w:tblGridChange w:id="0">
          <w:tblGrid>
            <w:gridCol w:w="1590.9880787142133"/>
            <w:gridCol w:w="4728.357093748784"/>
            <w:gridCol w:w="2706.166638560625"/>
          </w:tblGrid>
        </w:tblGridChange>
      </w:tblGrid>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0015">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Fracción</w:t>
            </w:r>
          </w:p>
          <w:p w:rsidR="00000000" w:rsidDel="00000000" w:rsidP="00000000" w:rsidRDefault="00000000" w:rsidRPr="00000000" w14:paraId="00000016">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Arancelaria/</w:t>
            </w:r>
          </w:p>
          <w:p w:rsidR="00000000" w:rsidDel="00000000" w:rsidP="00000000" w:rsidRDefault="00000000" w:rsidRPr="00000000" w14:paraId="00000017">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NICO</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0018">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Descripción</w:t>
            </w:r>
          </w:p>
        </w:tc>
        <w:tc>
          <w:tcPr>
            <w:tcBorders>
              <w:top w:color="000000" w:space="0" w:sz="6" w:val="single"/>
              <w:left w:color="000000" w:space="0" w:sz="6" w:val="single"/>
              <w:bottom w:color="000000" w:space="0" w:sz="6" w:val="single"/>
              <w:right w:color="000000" w:space="0" w:sz="6" w:val="single"/>
            </w:tcBorders>
            <w:shd w:fill="e0e0e0" w:val="clear"/>
            <w:tcMar>
              <w:top w:w="100.0" w:type="dxa"/>
              <w:left w:w="80.0" w:type="dxa"/>
              <w:bottom w:w="100.0" w:type="dxa"/>
              <w:right w:w="80.0" w:type="dxa"/>
            </w:tcMar>
            <w:vAlign w:val="center"/>
          </w:tcPr>
          <w:p w:rsidR="00000000" w:rsidDel="00000000" w:rsidP="00000000" w:rsidRDefault="00000000" w:rsidRPr="00000000" w14:paraId="00000019">
            <w:pP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Acotación</w:t>
            </w:r>
          </w:p>
        </w:tc>
      </w:tr>
      <w:tr>
        <w:trPr>
          <w:cantSplit w:val="0"/>
          <w:trHeight w:val="560" w:hRule="atLeast"/>
          <w:tblHeader w:val="0"/>
        </w:trPr>
        <w:tc>
          <w:tcPr>
            <w:gridSpan w:val="3"/>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A">
            <w:pP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1D">
            <w:pP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9503.00.23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1E">
            <w:pP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Juguetes inflables, incluso las pelotas de juguete fabricadas exclusivamente de materias plásticas, excepto lo comprendido en la fracción arancelaria 9503.00.22.</w:t>
            </w:r>
          </w:p>
        </w:tc>
        <w:tc>
          <w:tcPr>
            <w:vMerge w:val="restart"/>
            <w:tcBorders>
              <w:top w:color="000000" w:space="0" w:sz="6" w:val="single"/>
              <w:left w:color="000000" w:space="0" w:sz="6" w:val="single"/>
              <w:bottom w:color="000000" w:space="0" w:sz="0" w:val="nil"/>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1F">
            <w:pP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Únicamente:</w:t>
            </w:r>
            <w:r w:rsidDel="00000000" w:rsidR="00000000" w:rsidRPr="00000000">
              <w:rPr>
                <w:rFonts w:ascii="Verdana" w:cs="Verdana" w:eastAsia="Verdana" w:hAnsi="Verdana"/>
                <w:sz w:val="20"/>
                <w:szCs w:val="20"/>
                <w:rtl w:val="0"/>
              </w:rPr>
              <w:t xml:space="preserve"> Juguetes dirigidos a niños menores de 3 años, que no sean de grandes dimensiones.</w:t>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0">
            <w:pPr>
              <w:spacing w:after="10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1">
            <w:pP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Globos de plástico metalizado.</w:t>
            </w:r>
          </w:p>
        </w:tc>
        <w:tc>
          <w:tcPr>
            <w:vMerge w:val="continue"/>
            <w:tcBorders>
              <w:top w:color="000000" w:space="0" w:sz="6" w:val="single"/>
              <w:left w:color="000000" w:space="0" w:sz="6" w:val="single"/>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jc w:val="both"/>
              <w:rPr>
                <w:rFonts w:ascii="Verdana" w:cs="Verdana" w:eastAsia="Verdana" w:hAnsi="Verdana"/>
                <w:color w:val="2f2f2f"/>
                <w:sz w:val="20"/>
                <w:szCs w:val="20"/>
              </w:rPr>
            </w:pPr>
            <w:r w:rsidDel="00000000" w:rsidR="00000000" w:rsidRPr="00000000">
              <w:rPr>
                <w:rtl w:val="0"/>
              </w:rPr>
            </w:r>
          </w:p>
        </w:tc>
      </w:tr>
      <w:tr>
        <w:trPr>
          <w:cantSplit w:val="0"/>
          <w:trHeight w:val="56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3">
            <w:pPr>
              <w:spacing w:after="10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4">
            <w:pP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demás.</w:t>
            </w:r>
          </w:p>
        </w:tc>
        <w:tc>
          <w:tcPr>
            <w:vMerge w:val="continue"/>
            <w:tcBorders>
              <w:top w:color="000000" w:space="0" w:sz="6" w:val="single"/>
              <w:left w:color="000000" w:space="0" w:sz="6" w:val="single"/>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jc w:val="both"/>
              <w:rPr>
                <w:rFonts w:ascii="Verdana" w:cs="Verdana" w:eastAsia="Verdana" w:hAnsi="Verdana"/>
                <w:color w:val="2f2f2f"/>
                <w:sz w:val="20"/>
                <w:szCs w:val="20"/>
              </w:rPr>
            </w:pPr>
            <w:r w:rsidDel="00000000" w:rsidR="00000000" w:rsidRPr="00000000">
              <w:rPr>
                <w:rtl w:val="0"/>
              </w:rPr>
            </w:r>
          </w:p>
        </w:tc>
      </w:tr>
      <w:tr>
        <w:trPr>
          <w:cantSplit w:val="0"/>
          <w:trHeight w:val="560"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6">
            <w:pP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tc>
      </w:tr>
    </w:tbl>
    <w:p w:rsidR="00000000" w:rsidDel="00000000" w:rsidP="00000000" w:rsidRDefault="00000000" w:rsidRPr="00000000" w14:paraId="0000002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2A">
      <w:pPr>
        <w:shd w:fill="ffffff" w:val="clear"/>
        <w:spacing w:after="100" w:lineRule="auto"/>
        <w:ind w:left="1520" w:hanging="62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g) </w:t>
      </w:r>
      <w:r w:rsidDel="00000000" w:rsidR="00000000" w:rsidRPr="00000000">
        <w:rPr>
          <w:rFonts w:ascii="Verdana" w:cs="Verdana" w:eastAsia="Verdana" w:hAnsi="Verdana"/>
          <w:color w:val="2f2f2f"/>
          <w:sz w:val="20"/>
          <w:szCs w:val="20"/>
          <w:rtl w:val="0"/>
        </w:rPr>
        <w:t xml:space="preserve">a </w:t>
      </w:r>
      <w:r w:rsidDel="00000000" w:rsidR="00000000" w:rsidRPr="00000000">
        <w:rPr>
          <w:rFonts w:ascii="Verdana" w:cs="Verdana" w:eastAsia="Verdana" w:hAnsi="Verdana"/>
          <w:b w:val="1"/>
          <w:color w:val="2f2f2f"/>
          <w:sz w:val="20"/>
          <w:szCs w:val="20"/>
          <w:rtl w:val="0"/>
        </w:rPr>
        <w:t xml:space="preserve">k) ...</w:t>
      </w: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2B">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w:t>
      </w:r>
    </w:p>
    <w:p w:rsidR="00000000" w:rsidDel="00000000" w:rsidP="00000000" w:rsidRDefault="00000000" w:rsidRPr="00000000" w14:paraId="0000002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 </w:t>
      </w:r>
      <w:r w:rsidDel="00000000" w:rsidR="00000000" w:rsidRPr="00000000">
        <w:rPr>
          <w:rFonts w:ascii="Verdana" w:cs="Verdana" w:eastAsia="Verdana" w:hAnsi="Verdana"/>
          <w:color w:val="2f2f2f"/>
          <w:sz w:val="20"/>
          <w:szCs w:val="20"/>
          <w:rtl w:val="0"/>
        </w:rPr>
        <w:t xml:space="preserve">El presente Acuerdo entra en vigor el día de su publicación en el Diario Oficial de la Federación.</w:t>
      </w:r>
    </w:p>
    <w:p w:rsidR="00000000" w:rsidDel="00000000" w:rsidP="00000000" w:rsidRDefault="00000000" w:rsidRPr="00000000" w14:paraId="0000002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sz w:val="20"/>
          <w:szCs w:val="20"/>
          <w:rtl w:val="0"/>
        </w:rPr>
        <w:t xml:space="preserve">Ciudad de México, a 4 de marzo de 2024.- La Secretaria de Economía, </w:t>
      </w:r>
      <w:r w:rsidDel="00000000" w:rsidR="00000000" w:rsidRPr="00000000">
        <w:rPr>
          <w:rFonts w:ascii="Verdana" w:cs="Verdana" w:eastAsia="Verdana" w:hAnsi="Verdana"/>
          <w:b w:val="1"/>
          <w:sz w:val="20"/>
          <w:szCs w:val="20"/>
          <w:rtl w:val="0"/>
        </w:rPr>
        <w:t xml:space="preserve">Raquel Buenrostro Sánchez</w:t>
      </w:r>
      <w:r w:rsidDel="00000000" w:rsidR="00000000" w:rsidRPr="00000000">
        <w:rPr>
          <w:rFonts w:ascii="Verdana" w:cs="Verdana" w:eastAsia="Verdana" w:hAnsi="Verdana"/>
          <w:sz w:val="20"/>
          <w:szCs w:val="20"/>
          <w:rtl w:val="0"/>
        </w:rPr>
        <w:t xml:space="preserve">.- Rúbrica.- </w:t>
      </w:r>
      <w:r w:rsidDel="00000000" w:rsidR="00000000" w:rsidRPr="00000000">
        <w:rPr>
          <w:rFonts w:ascii="Verdana" w:cs="Verdana" w:eastAsia="Verdana" w:hAnsi="Verdana"/>
          <w:color w:val="2f2f2f"/>
          <w:sz w:val="20"/>
          <w:szCs w:val="20"/>
          <w:rtl w:val="0"/>
        </w:rPr>
        <w:t xml:space="preserve">El Secretario de Salud, </w:t>
      </w:r>
      <w:r w:rsidDel="00000000" w:rsidR="00000000" w:rsidRPr="00000000">
        <w:rPr>
          <w:rFonts w:ascii="Verdana" w:cs="Verdana" w:eastAsia="Verdana" w:hAnsi="Verdana"/>
          <w:b w:val="1"/>
          <w:color w:val="2f2f2f"/>
          <w:sz w:val="20"/>
          <w:szCs w:val="20"/>
          <w:rtl w:val="0"/>
        </w:rPr>
        <w:t xml:space="preserve">Jorge Carlos Alcocer Varela</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2E">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