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55" w:rsidRPr="00465555" w:rsidRDefault="00465555" w:rsidP="00465555">
      <w:pPr>
        <w:jc w:val="center"/>
        <w:rPr>
          <w:rFonts w:ascii="Verdana" w:hAnsi="Verdana"/>
          <w:b/>
          <w:bCs/>
          <w:color w:val="0070C0"/>
          <w:sz w:val="24"/>
        </w:rPr>
      </w:pPr>
      <w:bookmarkStart w:id="0" w:name="_GoBack"/>
      <w:r w:rsidRPr="00465555">
        <w:rPr>
          <w:rFonts w:ascii="Verdana" w:hAnsi="Verdana"/>
          <w:b/>
          <w:bCs/>
          <w:color w:val="0070C0"/>
          <w:sz w:val="24"/>
        </w:rPr>
        <w:t xml:space="preserve">Acuerdo General número 6/2018, de dos de julio de dos mil dieciocho, del Pleno de la Suprema Corte de Justicia de la Nación, por el que se dispone el aplazamiento en el dictado de la Resolución en las contradicciones de tesis del conocimiento de los Plenos de Circuito, así como en los amparos en revisión radicados en los Tribunales Colegiados de Circuito, en los que se aborde el tema relativo a determinar si la contraprestación pagada por concepto de </w:t>
      </w:r>
      <w:proofErr w:type="spellStart"/>
      <w:r w:rsidRPr="00465555">
        <w:rPr>
          <w:rFonts w:ascii="Verdana" w:hAnsi="Verdana"/>
          <w:b/>
          <w:bCs/>
          <w:color w:val="0070C0"/>
          <w:sz w:val="24"/>
        </w:rPr>
        <w:t>prevalidación</w:t>
      </w:r>
      <w:proofErr w:type="spellEnd"/>
      <w:r w:rsidRPr="00465555">
        <w:rPr>
          <w:rFonts w:ascii="Verdana" w:hAnsi="Verdana"/>
          <w:b/>
          <w:bCs/>
          <w:color w:val="0070C0"/>
          <w:sz w:val="24"/>
        </w:rPr>
        <w:t xml:space="preserve"> electrónica de datos que no se disminuyó del monto del derecho de trámite aduanero correspondiente, constituye un pago a cuya devolución se tiene derecho</w:t>
      </w:r>
    </w:p>
    <w:bookmarkEnd w:id="0"/>
    <w:p w:rsidR="00465555" w:rsidRPr="00465555" w:rsidRDefault="00465555" w:rsidP="00465555">
      <w:pPr>
        <w:tabs>
          <w:tab w:val="center" w:pos="4419"/>
          <w:tab w:val="left" w:pos="7951"/>
        </w:tabs>
        <w:rPr>
          <w:rFonts w:ascii="Verdana" w:hAnsi="Verdana"/>
          <w:b/>
          <w:bCs/>
          <w:color w:val="00B0F0"/>
          <w:sz w:val="24"/>
        </w:rPr>
      </w:pPr>
      <w:r w:rsidRPr="00465555">
        <w:rPr>
          <w:rFonts w:ascii="Verdana" w:hAnsi="Verdana"/>
          <w:b/>
          <w:bCs/>
          <w:color w:val="0070C0"/>
          <w:sz w:val="24"/>
        </w:rPr>
        <w:tab/>
        <w:t>(DOF del 10 de julio de 2018)</w:t>
      </w:r>
      <w:r w:rsidRPr="00465555">
        <w:rPr>
          <w:rFonts w:ascii="Verdana" w:hAnsi="Verdana"/>
          <w:b/>
          <w:bCs/>
          <w:color w:val="0070C0"/>
          <w:sz w:val="24"/>
        </w:rPr>
        <w:tab/>
      </w:r>
    </w:p>
    <w:p w:rsidR="00465555" w:rsidRPr="00465555" w:rsidRDefault="00465555" w:rsidP="00465555">
      <w:pPr>
        <w:rPr>
          <w:rFonts w:ascii="Verdana" w:hAnsi="Verdana"/>
          <w:b/>
          <w:bCs/>
          <w:sz w:val="20"/>
        </w:rPr>
      </w:pPr>
      <w:r w:rsidRPr="00465555">
        <w:rPr>
          <w:rFonts w:ascii="Verdana" w:hAnsi="Verdana"/>
          <w:b/>
          <w:bCs/>
          <w:sz w:val="20"/>
        </w:rPr>
        <w:t>Al margen un sello con el Escudo Nacional, que dice: Estados Unidos Mexicanos.- Suprema Corte de Justicia de la Nación.</w:t>
      </w:r>
    </w:p>
    <w:p w:rsidR="00465555" w:rsidRPr="00465555" w:rsidRDefault="00465555" w:rsidP="00465555">
      <w:pPr>
        <w:rPr>
          <w:rFonts w:ascii="Verdana" w:hAnsi="Verdana"/>
          <w:sz w:val="20"/>
        </w:rPr>
      </w:pPr>
      <w:r w:rsidRPr="00465555">
        <w:rPr>
          <w:rFonts w:ascii="Verdana" w:hAnsi="Verdana"/>
          <w:sz w:val="20"/>
        </w:rPr>
        <w:t>ACUERDO GENERAL NÚMERO 6/2018, DE DOS DE JULIO DE DOS MIL DIECIOCHO, DEL PLENO DE LA SUPREMA CORTE DE JUSTICIA DE LA NACIÓN, POR EL QUE SE DISPONE EL APLAZAMIENTO EN EL DICTADO DE LA RESOLUCIÓN EN LAS CONTRADICCIONES DE TESIS DEL CONOCIMIENTO DE LOS PLENOS DE CIRCUITO, ASÍ COMO EN LOS AMPAROS EN REVISIÓN RADICADOS EN LOS TRIBUNALES COLEGIADOS DE CIRCUITO, EN LOS QUE SE ABORDE EL TEMA RELATIVO </w:t>
      </w:r>
      <w:r w:rsidRPr="00465555">
        <w:rPr>
          <w:rFonts w:ascii="Verdana" w:hAnsi="Verdana"/>
          <w:i/>
          <w:iCs/>
          <w:sz w:val="20"/>
        </w:rPr>
        <w:t>A DETERMINAR SI LA CONTRAPRESTACIÓN PAGADA POR CONCEPTO DE PREVALIDACIÓN ELECTRÓNICA DE DATOS QUE NO SE DISMINUYÓ DEL MONTO DEL DERECHO DE TRÁMITE ADUANERO CORRESPONDIENTE, CONSTITUYE UN PAGO A CUYA DEVOLUCIÓN SE TIENE DERECHO</w:t>
      </w:r>
      <w:r w:rsidRPr="00465555">
        <w:rPr>
          <w:rFonts w:ascii="Verdana" w:hAnsi="Verdana"/>
          <w:sz w:val="20"/>
        </w:rPr>
        <w:t>.</w:t>
      </w:r>
    </w:p>
    <w:p w:rsidR="00465555" w:rsidRPr="00465555" w:rsidRDefault="00465555" w:rsidP="00465555">
      <w:pPr>
        <w:rPr>
          <w:rFonts w:ascii="Verdana" w:hAnsi="Verdana"/>
          <w:b/>
          <w:bCs/>
          <w:sz w:val="20"/>
        </w:rPr>
      </w:pPr>
      <w:r w:rsidRPr="00465555">
        <w:rPr>
          <w:rFonts w:ascii="Verdana" w:hAnsi="Verdana"/>
          <w:b/>
          <w:bCs/>
          <w:sz w:val="20"/>
        </w:rPr>
        <w:t>CONSIDERANDO:</w:t>
      </w:r>
    </w:p>
    <w:p w:rsidR="00465555" w:rsidRPr="00465555" w:rsidRDefault="00465555" w:rsidP="00465555">
      <w:pPr>
        <w:rPr>
          <w:rFonts w:ascii="Verdana" w:hAnsi="Verdana"/>
          <w:sz w:val="20"/>
        </w:rPr>
      </w:pPr>
      <w:r w:rsidRPr="00465555">
        <w:rPr>
          <w:rFonts w:ascii="Verdana" w:hAnsi="Verdana"/>
          <w:b/>
          <w:bCs/>
          <w:sz w:val="20"/>
        </w:rPr>
        <w:t>PRIMERO.</w:t>
      </w:r>
      <w:r w:rsidRPr="00465555">
        <w:rPr>
          <w:rFonts w:ascii="Verdana" w:hAnsi="Verdana"/>
          <w:sz w:val="20"/>
        </w:rPr>
        <w:t> En términos de lo previsto en los artículos 94, párrafo quinto, de la Constitución Política de los Estados Unidos Mexicanos, así como 11, fracción XXI, de la Ley Orgánica del Poder Judicial de la Federación, la competencia de este Alto Tribunal se rige por lo que disponen las leyes, y el Tribunal Pleno es competente para emitir acuerdos generales en las materias de su competencia;</w:t>
      </w:r>
    </w:p>
    <w:p w:rsidR="00465555" w:rsidRPr="00465555" w:rsidRDefault="00465555" w:rsidP="00465555">
      <w:pPr>
        <w:rPr>
          <w:rFonts w:ascii="Verdana" w:hAnsi="Verdana"/>
          <w:sz w:val="20"/>
        </w:rPr>
      </w:pPr>
      <w:r w:rsidRPr="00465555">
        <w:rPr>
          <w:rFonts w:ascii="Verdana" w:hAnsi="Verdana"/>
          <w:b/>
          <w:bCs/>
          <w:sz w:val="20"/>
        </w:rPr>
        <w:t>SEGUNDO. </w:t>
      </w:r>
      <w:r w:rsidRPr="00465555">
        <w:rPr>
          <w:rFonts w:ascii="Verdana" w:hAnsi="Verdana"/>
          <w:sz w:val="20"/>
        </w:rPr>
        <w:t>En la Segunda Sala de este Alto Tribunal está pendiente de resolverse la </w:t>
      </w:r>
      <w:r w:rsidRPr="00465555">
        <w:rPr>
          <w:rFonts w:ascii="Verdana" w:hAnsi="Verdana"/>
          <w:i/>
          <w:iCs/>
          <w:sz w:val="20"/>
        </w:rPr>
        <w:t>contradicción de tesis 143/2018</w:t>
      </w:r>
      <w:r w:rsidRPr="00465555">
        <w:rPr>
          <w:rFonts w:ascii="Verdana" w:hAnsi="Verdana"/>
          <w:sz w:val="20"/>
        </w:rPr>
        <w:t>, relativa </w:t>
      </w:r>
      <w:r w:rsidRPr="00465555">
        <w:rPr>
          <w:rFonts w:ascii="Verdana" w:hAnsi="Verdana"/>
          <w:i/>
          <w:iCs/>
          <w:sz w:val="20"/>
        </w:rPr>
        <w:t>a</w:t>
      </w:r>
      <w:r w:rsidRPr="00465555">
        <w:rPr>
          <w:rFonts w:ascii="Verdana" w:hAnsi="Verdana"/>
          <w:sz w:val="20"/>
        </w:rPr>
        <w:t> </w:t>
      </w:r>
      <w:r w:rsidRPr="00465555">
        <w:rPr>
          <w:rFonts w:ascii="Verdana" w:hAnsi="Verdana"/>
          <w:i/>
          <w:iCs/>
          <w:sz w:val="20"/>
        </w:rPr>
        <w:t xml:space="preserve">determinar si la contraprestación pagada por concepto de </w:t>
      </w:r>
      <w:proofErr w:type="spellStart"/>
      <w:r w:rsidRPr="00465555">
        <w:rPr>
          <w:rFonts w:ascii="Verdana" w:hAnsi="Verdana"/>
          <w:i/>
          <w:iCs/>
          <w:sz w:val="20"/>
        </w:rPr>
        <w:t>prevalidación</w:t>
      </w:r>
      <w:proofErr w:type="spellEnd"/>
      <w:r w:rsidRPr="00465555">
        <w:rPr>
          <w:rFonts w:ascii="Verdana" w:hAnsi="Verdana"/>
          <w:i/>
          <w:iCs/>
          <w:sz w:val="20"/>
        </w:rPr>
        <w:t xml:space="preserve"> electrónica de datos que no se disminuyó del monto del derecho de trámite aduanero correspondiente, constituye un pago a cuya devolución se tiene derecho</w:t>
      </w:r>
      <w:r w:rsidRPr="00465555">
        <w:rPr>
          <w:rFonts w:ascii="Verdana" w:hAnsi="Verdana"/>
          <w:sz w:val="20"/>
        </w:rPr>
        <w:t>;</w:t>
      </w:r>
    </w:p>
    <w:p w:rsidR="00465555" w:rsidRPr="00465555" w:rsidRDefault="00465555" w:rsidP="00465555">
      <w:pPr>
        <w:rPr>
          <w:rFonts w:ascii="Verdana" w:hAnsi="Verdana"/>
          <w:sz w:val="20"/>
        </w:rPr>
      </w:pPr>
      <w:r w:rsidRPr="00465555">
        <w:rPr>
          <w:rFonts w:ascii="Verdana" w:hAnsi="Verdana"/>
          <w:b/>
          <w:bCs/>
          <w:sz w:val="20"/>
        </w:rPr>
        <w:t>TERCERO. </w:t>
      </w:r>
      <w:r w:rsidRPr="00465555">
        <w:rPr>
          <w:rFonts w:ascii="Verdana" w:hAnsi="Verdana"/>
          <w:sz w:val="20"/>
        </w:rPr>
        <w:t>Este Alto Tribunal tiene conocimiento de que actualmente se encuentran pendientes de resolver tanto contradicciones de tesis como amparos en revisión radicados, respectivamente, en Plenos de Circuito y en Tribunales Colegiados de Circuito, con la misma temática señalada en el Considerando inmediato anterior;</w:t>
      </w:r>
    </w:p>
    <w:p w:rsidR="00465555" w:rsidRPr="00465555" w:rsidRDefault="00465555" w:rsidP="00465555">
      <w:pPr>
        <w:rPr>
          <w:rFonts w:ascii="Verdana" w:hAnsi="Verdana"/>
          <w:sz w:val="20"/>
        </w:rPr>
      </w:pPr>
      <w:r w:rsidRPr="00465555">
        <w:rPr>
          <w:rFonts w:ascii="Verdana" w:hAnsi="Verdana"/>
          <w:b/>
          <w:bCs/>
          <w:sz w:val="20"/>
        </w:rPr>
        <w:lastRenderedPageBreak/>
        <w:t>CUARTO. </w:t>
      </w:r>
      <w:r w:rsidRPr="00465555">
        <w:rPr>
          <w:rFonts w:ascii="Verdana" w:hAnsi="Verdana"/>
          <w:sz w:val="20"/>
        </w:rPr>
        <w:t>Conforme a lo dispuesto en el artículo 37 de la Ley Reglamentaria de las Fracciones I y II del Artículo 105 de la Constitución Política de los Estados Unidos Mexicanos, el Pleno de la Suprema Corte de Justicia de la Nación puede aplazar mediante acuerdos generales la resolución de juicios de amparo pendientes de resolver, por lo que resulta aplicable supletoriamente a la Ley de Amparo, en términos de lo señalado en el párrafo segundo de su artículo 2o., lo previsto en el diverso 366 del Código Federal de Procedimientos Civiles, en cuanto a la atribución para decretar la suspensión del proceso cuando la decisión no pueda pronunciarse hasta que se dicte resolución en otro negocio, supuesto que se actualiza cuando existen asuntos pendientes de resolver en los Plenos de Circuito y en los Tribunales Colegiados de Circuito, en los que se plantean cuestiones que serán definidas por la Suprema Corte de Justicia de la Nación;</w:t>
      </w:r>
    </w:p>
    <w:p w:rsidR="00465555" w:rsidRPr="00465555" w:rsidRDefault="00465555" w:rsidP="00465555">
      <w:pPr>
        <w:rPr>
          <w:rFonts w:ascii="Verdana" w:hAnsi="Verdana"/>
          <w:sz w:val="20"/>
        </w:rPr>
      </w:pPr>
      <w:r w:rsidRPr="00465555">
        <w:rPr>
          <w:rFonts w:ascii="Verdana" w:hAnsi="Verdana"/>
          <w:b/>
          <w:bCs/>
          <w:sz w:val="20"/>
        </w:rPr>
        <w:t>QUINTO. </w:t>
      </w:r>
      <w:r w:rsidRPr="00465555">
        <w:rPr>
          <w:rFonts w:ascii="Verdana" w:hAnsi="Verdana"/>
          <w:sz w:val="20"/>
        </w:rPr>
        <w:t xml:space="preserve">Atendiendo a los fines de los preceptos referidos en el Considerando anterior, los que deben interpretarse tomando en cuenta lo previsto en el párrafo tercero del artículo 1o. de la Constitución Política de los Estados Unidos Mexicanos, conforme al cual todas las autoridades, en el ámbito de sus competencias, tienen la obligación de promover, respetar, proteger y garantizar los derechos humanos, entre otros, los de seguridad jurídica y acceso efectivo a la justicia, lo que implica, incluso, fijar el alcance de toda disposición general favoreciendo la tutela de esas prerrogativas fundamentales, debe estimarse que el Pleno de </w:t>
      </w:r>
      <w:proofErr w:type="spellStart"/>
      <w:r w:rsidRPr="00465555">
        <w:rPr>
          <w:rFonts w:ascii="Verdana" w:hAnsi="Verdana"/>
          <w:sz w:val="20"/>
        </w:rPr>
        <w:t>laSuprema</w:t>
      </w:r>
      <w:proofErr w:type="spellEnd"/>
      <w:r w:rsidRPr="00465555">
        <w:rPr>
          <w:rFonts w:ascii="Verdana" w:hAnsi="Verdana"/>
          <w:sz w:val="20"/>
        </w:rPr>
        <w:t xml:space="preserve"> Corte de Justicia de la Nación puede aplazar mediante acuerdos generales la resolución de los asuntos de los que jurídicamente puede conocer, incluso en ejercicio de la facultad de atracción que le confiere el diverso 107, fracciones V, párrafo último y VIII, párrafo segundo, de la Constitución General, con independencia de que se hayan radicado o no en ella, hasta en tanto se resuelvan los que ya son del conocimiento de este Alto Tribunal, siempre y cuando el problema jurídico a resolver en aquéllos y en éstos sea el mismo, con lo cual se evita el dictado de sentencias contradictorias o bien contrarias al criterio </w:t>
      </w:r>
      <w:proofErr w:type="spellStart"/>
      <w:r w:rsidRPr="00465555">
        <w:rPr>
          <w:rFonts w:ascii="Verdana" w:hAnsi="Verdana"/>
          <w:sz w:val="20"/>
        </w:rPr>
        <w:t>queestablezca</w:t>
      </w:r>
      <w:proofErr w:type="spellEnd"/>
      <w:r w:rsidRPr="00465555">
        <w:rPr>
          <w:rFonts w:ascii="Verdana" w:hAnsi="Verdana"/>
          <w:sz w:val="20"/>
        </w:rPr>
        <w:t xml:space="preserve"> esta Suprema Corte de Justicia de la Nación, y</w:t>
      </w:r>
    </w:p>
    <w:p w:rsidR="00465555" w:rsidRPr="00465555" w:rsidRDefault="00465555" w:rsidP="00465555">
      <w:pPr>
        <w:rPr>
          <w:rFonts w:ascii="Verdana" w:hAnsi="Verdana"/>
          <w:sz w:val="20"/>
        </w:rPr>
      </w:pPr>
      <w:r w:rsidRPr="00465555">
        <w:rPr>
          <w:rFonts w:ascii="Verdana" w:hAnsi="Verdana"/>
          <w:b/>
          <w:bCs/>
          <w:sz w:val="20"/>
        </w:rPr>
        <w:t>SEXTO.</w:t>
      </w:r>
      <w:r w:rsidRPr="00465555">
        <w:rPr>
          <w:rFonts w:ascii="Verdana" w:hAnsi="Verdana"/>
          <w:sz w:val="20"/>
        </w:rPr>
        <w:t> Con el fin de tutelar los derechos a la seguridad jurídica y a la justicia pronta, y en virtud de que la institución del aplazamiento o suspensión del dictado de la resolución está prevista en el artículo 366 antes invocado, por aplicación supletoria de éste, se estima conveniente acordar el aplazamiento de la resolución de las contradicciones de tesis del conocimiento de los Plenos de Circuito y de los amparos en revisión radicados en los Tribunales Colegiados de Circuito, en los que se aborde el tema relativo </w:t>
      </w:r>
      <w:r w:rsidRPr="00465555">
        <w:rPr>
          <w:rFonts w:ascii="Verdana" w:hAnsi="Verdana"/>
          <w:i/>
          <w:iCs/>
          <w:sz w:val="20"/>
        </w:rPr>
        <w:t>a</w:t>
      </w:r>
      <w:r w:rsidRPr="00465555">
        <w:rPr>
          <w:rFonts w:ascii="Verdana" w:hAnsi="Verdana"/>
          <w:sz w:val="20"/>
        </w:rPr>
        <w:t> </w:t>
      </w:r>
      <w:r w:rsidRPr="00465555">
        <w:rPr>
          <w:rFonts w:ascii="Verdana" w:hAnsi="Verdana"/>
          <w:i/>
          <w:iCs/>
          <w:sz w:val="20"/>
        </w:rPr>
        <w:t xml:space="preserve">determinar si la contraprestación pagada por concepto de </w:t>
      </w:r>
      <w:proofErr w:type="spellStart"/>
      <w:r w:rsidRPr="00465555">
        <w:rPr>
          <w:rFonts w:ascii="Verdana" w:hAnsi="Verdana"/>
          <w:i/>
          <w:iCs/>
          <w:sz w:val="20"/>
        </w:rPr>
        <w:t>prevalidación</w:t>
      </w:r>
      <w:proofErr w:type="spellEnd"/>
      <w:r w:rsidRPr="00465555">
        <w:rPr>
          <w:rFonts w:ascii="Verdana" w:hAnsi="Verdana"/>
          <w:i/>
          <w:iCs/>
          <w:sz w:val="20"/>
        </w:rPr>
        <w:t xml:space="preserve"> electrónica de datos que no se disminuyó del monto del derecho de trámite aduanero correspondiente, constituye un pago a cuya devolución se tiene derecho.</w:t>
      </w:r>
    </w:p>
    <w:p w:rsidR="00465555" w:rsidRPr="00465555" w:rsidRDefault="00465555" w:rsidP="00465555">
      <w:pPr>
        <w:rPr>
          <w:rFonts w:ascii="Verdana" w:hAnsi="Verdana"/>
          <w:sz w:val="20"/>
        </w:rPr>
      </w:pPr>
      <w:r w:rsidRPr="00465555">
        <w:rPr>
          <w:rFonts w:ascii="Verdana" w:hAnsi="Verdana"/>
          <w:sz w:val="20"/>
        </w:rPr>
        <w:t>En consecuencia, con fundamento en lo antes mencionado, el Pleno de la Suprema Corte de Justicia de la Nación expide el siguiente:</w:t>
      </w:r>
    </w:p>
    <w:p w:rsidR="00465555" w:rsidRPr="00465555" w:rsidRDefault="00465555" w:rsidP="00465555">
      <w:pPr>
        <w:rPr>
          <w:rFonts w:ascii="Verdana" w:hAnsi="Verdana"/>
          <w:b/>
          <w:bCs/>
          <w:sz w:val="20"/>
        </w:rPr>
      </w:pPr>
      <w:r w:rsidRPr="00465555">
        <w:rPr>
          <w:rFonts w:ascii="Verdana" w:hAnsi="Verdana"/>
          <w:b/>
          <w:bCs/>
          <w:sz w:val="20"/>
        </w:rPr>
        <w:t>ACUERDO:</w:t>
      </w:r>
    </w:p>
    <w:p w:rsidR="00465555" w:rsidRPr="00465555" w:rsidRDefault="00465555" w:rsidP="00465555">
      <w:pPr>
        <w:rPr>
          <w:rFonts w:ascii="Verdana" w:hAnsi="Verdana"/>
          <w:sz w:val="20"/>
        </w:rPr>
      </w:pPr>
      <w:r w:rsidRPr="00465555">
        <w:rPr>
          <w:rFonts w:ascii="Verdana" w:hAnsi="Verdana"/>
          <w:b/>
          <w:bCs/>
          <w:sz w:val="20"/>
        </w:rPr>
        <w:t>ÚNICO. </w:t>
      </w:r>
      <w:r w:rsidRPr="00465555">
        <w:rPr>
          <w:rFonts w:ascii="Verdana" w:hAnsi="Verdana"/>
          <w:sz w:val="20"/>
        </w:rPr>
        <w:t>En tanto la Segunda Sala de la Suprema Corte de Justicia de la Nación resuelve la </w:t>
      </w:r>
      <w:r w:rsidRPr="00465555">
        <w:rPr>
          <w:rFonts w:ascii="Verdana" w:hAnsi="Verdana"/>
          <w:i/>
          <w:iCs/>
          <w:sz w:val="20"/>
        </w:rPr>
        <w:t>contradicción de tesis 143/2018</w:t>
      </w:r>
      <w:r w:rsidRPr="00465555">
        <w:rPr>
          <w:rFonts w:ascii="Verdana" w:hAnsi="Verdana"/>
          <w:sz w:val="20"/>
        </w:rPr>
        <w:t xml:space="preserve">referida en el Considerando Segundo de este instrumento normativo, y se emite el Acuerdo General Plenario que corresponda, </w:t>
      </w:r>
      <w:r w:rsidRPr="00465555">
        <w:rPr>
          <w:rFonts w:ascii="Verdana" w:hAnsi="Verdana"/>
          <w:sz w:val="20"/>
        </w:rPr>
        <w:lastRenderedPageBreak/>
        <w:t>en las contradicciones de tesis del conocimiento de los Plenos de Circuito, así como en los amparos en revisión radicados en los Tribunales Colegiados de Circuito, en los que se aborde el tema relativo </w:t>
      </w:r>
      <w:r w:rsidRPr="00465555">
        <w:rPr>
          <w:rFonts w:ascii="Verdana" w:hAnsi="Verdana"/>
          <w:i/>
          <w:iCs/>
          <w:sz w:val="20"/>
        </w:rPr>
        <w:t>a</w:t>
      </w:r>
      <w:r w:rsidRPr="00465555">
        <w:rPr>
          <w:rFonts w:ascii="Verdana" w:hAnsi="Verdana"/>
          <w:sz w:val="20"/>
        </w:rPr>
        <w:t> </w:t>
      </w:r>
      <w:r w:rsidRPr="00465555">
        <w:rPr>
          <w:rFonts w:ascii="Verdana" w:hAnsi="Verdana"/>
          <w:i/>
          <w:iCs/>
          <w:sz w:val="20"/>
        </w:rPr>
        <w:t xml:space="preserve">determinar si la contraprestación pagada por concepto de </w:t>
      </w:r>
      <w:proofErr w:type="spellStart"/>
      <w:r w:rsidRPr="00465555">
        <w:rPr>
          <w:rFonts w:ascii="Verdana" w:hAnsi="Verdana"/>
          <w:i/>
          <w:iCs/>
          <w:sz w:val="20"/>
        </w:rPr>
        <w:t>prevalidación</w:t>
      </w:r>
      <w:proofErr w:type="spellEnd"/>
      <w:r w:rsidRPr="00465555">
        <w:rPr>
          <w:rFonts w:ascii="Verdana" w:hAnsi="Verdana"/>
          <w:i/>
          <w:iCs/>
          <w:sz w:val="20"/>
        </w:rPr>
        <w:t xml:space="preserve"> electrónica de datos que no se disminuyó del monto del derecho de trámite aduanero correspondiente, constituye un pago a cuya devolución se tiene derecho</w:t>
      </w:r>
      <w:r w:rsidRPr="00465555">
        <w:rPr>
          <w:rFonts w:ascii="Verdana" w:hAnsi="Verdana"/>
          <w:sz w:val="20"/>
        </w:rPr>
        <w:t>, se deberá continuar el trámite hasta el estado de resolución y aplazar el dictado de ésta.</w:t>
      </w:r>
    </w:p>
    <w:p w:rsidR="00465555" w:rsidRPr="00465555" w:rsidRDefault="00465555" w:rsidP="00465555">
      <w:pPr>
        <w:rPr>
          <w:rFonts w:ascii="Verdana" w:hAnsi="Verdana"/>
          <w:b/>
          <w:bCs/>
          <w:sz w:val="20"/>
        </w:rPr>
      </w:pPr>
      <w:r w:rsidRPr="00465555">
        <w:rPr>
          <w:rFonts w:ascii="Verdana" w:hAnsi="Verdana"/>
          <w:b/>
          <w:bCs/>
          <w:sz w:val="20"/>
        </w:rPr>
        <w:t>TRANSITORIOS:</w:t>
      </w:r>
    </w:p>
    <w:p w:rsidR="00465555" w:rsidRPr="00465555" w:rsidRDefault="00465555" w:rsidP="00465555">
      <w:pPr>
        <w:rPr>
          <w:rFonts w:ascii="Verdana" w:hAnsi="Verdana"/>
          <w:sz w:val="20"/>
        </w:rPr>
      </w:pPr>
      <w:r w:rsidRPr="00465555">
        <w:rPr>
          <w:rFonts w:ascii="Verdana" w:hAnsi="Verdana"/>
          <w:b/>
          <w:bCs/>
          <w:sz w:val="20"/>
        </w:rPr>
        <w:t>PRIMERO.</w:t>
      </w:r>
      <w:r w:rsidRPr="00465555">
        <w:rPr>
          <w:rFonts w:ascii="Verdana" w:hAnsi="Verdana"/>
          <w:sz w:val="20"/>
        </w:rPr>
        <w:t> Este Acuerdo General entrará en vigor al día siguiente de su publicación en el Diario Oficial de la Federación.</w:t>
      </w:r>
    </w:p>
    <w:p w:rsidR="00465555" w:rsidRPr="00465555" w:rsidRDefault="00465555" w:rsidP="00465555">
      <w:pPr>
        <w:rPr>
          <w:rFonts w:ascii="Verdana" w:hAnsi="Verdana"/>
          <w:sz w:val="20"/>
        </w:rPr>
      </w:pPr>
      <w:r w:rsidRPr="00465555">
        <w:rPr>
          <w:rFonts w:ascii="Verdana" w:hAnsi="Verdana"/>
          <w:b/>
          <w:bCs/>
          <w:sz w:val="20"/>
        </w:rPr>
        <w:t>SEGUNDO.</w:t>
      </w:r>
      <w:r w:rsidRPr="00465555">
        <w:rPr>
          <w:rFonts w:ascii="Verdana" w:hAnsi="Verdana"/>
          <w:sz w:val="20"/>
        </w:rPr>
        <w:t>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hágase del conocimiento tanto del Consejo de la Judicatura Federal como de los Juzgados de Distrito y, para su cumplimiento, de los Tribunales Colegiados de Circuito y de los Plenos de Circuito.</w:t>
      </w:r>
    </w:p>
    <w:p w:rsidR="00465555" w:rsidRPr="00465555" w:rsidRDefault="00465555" w:rsidP="00465555">
      <w:pPr>
        <w:rPr>
          <w:rFonts w:ascii="Verdana" w:hAnsi="Verdana"/>
          <w:sz w:val="20"/>
        </w:rPr>
      </w:pPr>
      <w:r w:rsidRPr="00465555">
        <w:rPr>
          <w:rFonts w:ascii="Verdana" w:hAnsi="Verdana"/>
          <w:sz w:val="20"/>
        </w:rPr>
        <w:t>El Presidente de la Suprema Corte de Justicia de la Nación, Ministro</w:t>
      </w:r>
      <w:r w:rsidRPr="00465555">
        <w:rPr>
          <w:rFonts w:ascii="Verdana" w:hAnsi="Verdana"/>
          <w:b/>
          <w:bCs/>
          <w:sz w:val="20"/>
        </w:rPr>
        <w:t> Luis María Aguilar Morales</w:t>
      </w:r>
      <w:r w:rsidRPr="00465555">
        <w:rPr>
          <w:rFonts w:ascii="Verdana" w:hAnsi="Verdana"/>
          <w:sz w:val="20"/>
        </w:rPr>
        <w:t>.- Rúbrica.- El Secretario General de Acuerdos, </w:t>
      </w:r>
      <w:r w:rsidRPr="00465555">
        <w:rPr>
          <w:rFonts w:ascii="Verdana" w:hAnsi="Verdana"/>
          <w:b/>
          <w:bCs/>
          <w:sz w:val="20"/>
        </w:rPr>
        <w:t>Rafael Coello Cetina</w:t>
      </w:r>
      <w:r w:rsidRPr="00465555">
        <w:rPr>
          <w:rFonts w:ascii="Verdana" w:hAnsi="Verdana"/>
          <w:sz w:val="20"/>
        </w:rPr>
        <w:t>.- Rúbrica.</w:t>
      </w:r>
    </w:p>
    <w:p w:rsidR="00465555" w:rsidRPr="00465555" w:rsidRDefault="00465555" w:rsidP="00465555">
      <w:pPr>
        <w:rPr>
          <w:rFonts w:ascii="Verdana" w:hAnsi="Verdana"/>
          <w:sz w:val="20"/>
        </w:rPr>
      </w:pPr>
      <w:r w:rsidRPr="00465555">
        <w:rPr>
          <w:rFonts w:ascii="Verdana" w:hAnsi="Verdana"/>
          <w:sz w:val="20"/>
        </w:rPr>
        <w:t>El licenciado </w:t>
      </w:r>
      <w:r w:rsidRPr="00465555">
        <w:rPr>
          <w:rFonts w:ascii="Verdana" w:hAnsi="Verdana"/>
          <w:b/>
          <w:bCs/>
          <w:sz w:val="20"/>
        </w:rPr>
        <w:t>Rafael Coello Cetina</w:t>
      </w:r>
      <w:r w:rsidRPr="00465555">
        <w:rPr>
          <w:rFonts w:ascii="Verdana" w:hAnsi="Verdana"/>
          <w:sz w:val="20"/>
        </w:rPr>
        <w:t>, Secretario General de Acuerdos de la Suprema Corte de Justicia de la Nación, CERTIFICA: Este ACUERDO GENERAL NÚMERO 6/2018, DE DOS DE JULIO DE DOS MIL DIECIOCHO, DEL PLENO DE LA SUPREMA CORTE DE JUSTICIA DE LA NACIÓN, POR EL QUE SE DISPONE EL APLAZAMIENTO EN EL DICTADO DE LA RESOLUCIÓN EN LAS CONTRADICCIONES DE TESIS DEL CONOCIMIENTO DE LOS PLENOS DE CIRCUITO, ASÍ COMO EN LOS AMPAROS EN REVISIÓN RADICADOS EN LOS TRIBUNALES COLEGIADOS DE CIRCUITO, EN LOS QUE SE ABORDE EL TEMA RELATIVO </w:t>
      </w:r>
      <w:r w:rsidRPr="00465555">
        <w:rPr>
          <w:rFonts w:ascii="Verdana" w:hAnsi="Verdana"/>
          <w:i/>
          <w:iCs/>
          <w:sz w:val="20"/>
        </w:rPr>
        <w:t>A DETERMINAR SI LA CONTRAPRESTACIÓN PAGADA POR CONCEPTO DEPREVALIDACIÓN ELECTRÓNICA DE DATOS QUE NO SE DISMINUYÓ DEL MONTO DEL DERECHO DE TRÁMITE ADUANERO CORRESPONDIENTE, CONSTITUYE UN PAGO A CUYA DEVOLUCIÓN SE TIENE DERECHO</w:t>
      </w:r>
      <w:r w:rsidRPr="00465555">
        <w:rPr>
          <w:rFonts w:ascii="Verdana" w:hAnsi="Verdana"/>
          <w:sz w:val="20"/>
        </w:rPr>
        <w:t xml:space="preserve">, fue emitido por el Tribunal Pleno en Sesión Privada celebrada el día de hoy, por unanimidad de nueve votos de los señores Ministros Alfredo Gutiérrez Ortiz Mena, José Fernando Franco González Salas, Arturo Zaldívar Lelo de Larrea, Jorge Mario Pardo Rebolledo, Norma Lucía Piña Hernández, Eduardo Medina Mora I., Javier </w:t>
      </w:r>
      <w:proofErr w:type="spellStart"/>
      <w:r w:rsidRPr="00465555">
        <w:rPr>
          <w:rFonts w:ascii="Verdana" w:hAnsi="Verdana"/>
          <w:sz w:val="20"/>
        </w:rPr>
        <w:t>Laynez</w:t>
      </w:r>
      <w:proofErr w:type="spellEnd"/>
      <w:r w:rsidRPr="00465555">
        <w:rPr>
          <w:rFonts w:ascii="Verdana" w:hAnsi="Verdana"/>
          <w:sz w:val="20"/>
        </w:rPr>
        <w:t xml:space="preserve"> </w:t>
      </w:r>
      <w:proofErr w:type="spellStart"/>
      <w:r w:rsidRPr="00465555">
        <w:rPr>
          <w:rFonts w:ascii="Verdana" w:hAnsi="Verdana"/>
          <w:sz w:val="20"/>
        </w:rPr>
        <w:t>Potisek</w:t>
      </w:r>
      <w:proofErr w:type="spellEnd"/>
      <w:r w:rsidRPr="00465555">
        <w:rPr>
          <w:rFonts w:ascii="Verdana" w:hAnsi="Verdana"/>
          <w:sz w:val="20"/>
        </w:rPr>
        <w:t xml:space="preserve">, Alberto Pérez </w:t>
      </w:r>
      <w:proofErr w:type="spellStart"/>
      <w:r w:rsidRPr="00465555">
        <w:rPr>
          <w:rFonts w:ascii="Verdana" w:hAnsi="Verdana"/>
          <w:sz w:val="20"/>
        </w:rPr>
        <w:t>Dayán</w:t>
      </w:r>
      <w:proofErr w:type="spellEnd"/>
      <w:r w:rsidRPr="00465555">
        <w:rPr>
          <w:rFonts w:ascii="Verdana" w:hAnsi="Verdana"/>
          <w:sz w:val="20"/>
        </w:rPr>
        <w:t xml:space="preserve"> y Presidente Luis María Aguilar Morales. Los señores Ministros José Ramón Cossío Díaz y Margarita Beatriz Luna Ramos estuvieron ausentes.- Ciudad de México, a dos de julio de dos mil dieciocho.- Rúbrica.</w:t>
      </w:r>
    </w:p>
    <w:p w:rsidR="00BF3AEB" w:rsidRPr="00465555" w:rsidRDefault="00465555">
      <w:pPr>
        <w:rPr>
          <w:rFonts w:ascii="Verdana" w:hAnsi="Verdana"/>
          <w:sz w:val="20"/>
        </w:rPr>
      </w:pPr>
    </w:p>
    <w:sectPr w:rsidR="00BF3AEB" w:rsidRPr="004655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55"/>
    <w:rsid w:val="002228FA"/>
    <w:rsid w:val="0046555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03379">
      <w:bodyDiv w:val="1"/>
      <w:marLeft w:val="0"/>
      <w:marRight w:val="0"/>
      <w:marTop w:val="0"/>
      <w:marBottom w:val="0"/>
      <w:divBdr>
        <w:top w:val="none" w:sz="0" w:space="0" w:color="auto"/>
        <w:left w:val="none" w:sz="0" w:space="0" w:color="auto"/>
        <w:bottom w:val="none" w:sz="0" w:space="0" w:color="auto"/>
        <w:right w:val="none" w:sz="0" w:space="0" w:color="auto"/>
      </w:divBdr>
    </w:div>
    <w:div w:id="1485127993">
      <w:bodyDiv w:val="1"/>
      <w:marLeft w:val="0"/>
      <w:marRight w:val="0"/>
      <w:marTop w:val="0"/>
      <w:marBottom w:val="0"/>
      <w:divBdr>
        <w:top w:val="none" w:sz="0" w:space="0" w:color="auto"/>
        <w:left w:val="none" w:sz="0" w:space="0" w:color="auto"/>
        <w:bottom w:val="none" w:sz="0" w:space="0" w:color="auto"/>
        <w:right w:val="none" w:sz="0" w:space="0" w:color="auto"/>
      </w:divBdr>
      <w:divsChild>
        <w:div w:id="1387484038">
          <w:marLeft w:val="0"/>
          <w:marRight w:val="0"/>
          <w:marTop w:val="0"/>
          <w:marBottom w:val="101"/>
          <w:divBdr>
            <w:top w:val="none" w:sz="0" w:space="0" w:color="auto"/>
            <w:left w:val="none" w:sz="0" w:space="0" w:color="auto"/>
            <w:bottom w:val="none" w:sz="0" w:space="0" w:color="auto"/>
            <w:right w:val="none" w:sz="0" w:space="0" w:color="auto"/>
          </w:divBdr>
        </w:div>
        <w:div w:id="1263537444">
          <w:marLeft w:val="0"/>
          <w:marRight w:val="0"/>
          <w:marTop w:val="101"/>
          <w:marBottom w:val="101"/>
          <w:divBdr>
            <w:top w:val="none" w:sz="0" w:space="0" w:color="auto"/>
            <w:left w:val="none" w:sz="0" w:space="0" w:color="auto"/>
            <w:bottom w:val="none" w:sz="0" w:space="0" w:color="auto"/>
            <w:right w:val="none" w:sz="0" w:space="0" w:color="auto"/>
          </w:divBdr>
        </w:div>
        <w:div w:id="647249994">
          <w:marLeft w:val="0"/>
          <w:marRight w:val="0"/>
          <w:marTop w:val="0"/>
          <w:marBottom w:val="101"/>
          <w:divBdr>
            <w:top w:val="none" w:sz="0" w:space="0" w:color="auto"/>
            <w:left w:val="none" w:sz="0" w:space="0" w:color="auto"/>
            <w:bottom w:val="none" w:sz="0" w:space="0" w:color="auto"/>
            <w:right w:val="none" w:sz="0" w:space="0" w:color="auto"/>
          </w:divBdr>
        </w:div>
        <w:div w:id="84960375">
          <w:marLeft w:val="0"/>
          <w:marRight w:val="0"/>
          <w:marTop w:val="0"/>
          <w:marBottom w:val="101"/>
          <w:divBdr>
            <w:top w:val="none" w:sz="0" w:space="0" w:color="auto"/>
            <w:left w:val="none" w:sz="0" w:space="0" w:color="auto"/>
            <w:bottom w:val="none" w:sz="0" w:space="0" w:color="auto"/>
            <w:right w:val="none" w:sz="0" w:space="0" w:color="auto"/>
          </w:divBdr>
        </w:div>
        <w:div w:id="1355885649">
          <w:marLeft w:val="0"/>
          <w:marRight w:val="0"/>
          <w:marTop w:val="0"/>
          <w:marBottom w:val="101"/>
          <w:divBdr>
            <w:top w:val="none" w:sz="0" w:space="0" w:color="auto"/>
            <w:left w:val="none" w:sz="0" w:space="0" w:color="auto"/>
            <w:bottom w:val="none" w:sz="0" w:space="0" w:color="auto"/>
            <w:right w:val="none" w:sz="0" w:space="0" w:color="auto"/>
          </w:divBdr>
        </w:div>
        <w:div w:id="1150945088">
          <w:marLeft w:val="0"/>
          <w:marRight w:val="0"/>
          <w:marTop w:val="0"/>
          <w:marBottom w:val="101"/>
          <w:divBdr>
            <w:top w:val="none" w:sz="0" w:space="0" w:color="auto"/>
            <w:left w:val="none" w:sz="0" w:space="0" w:color="auto"/>
            <w:bottom w:val="none" w:sz="0" w:space="0" w:color="auto"/>
            <w:right w:val="none" w:sz="0" w:space="0" w:color="auto"/>
          </w:divBdr>
        </w:div>
        <w:div w:id="675764459">
          <w:marLeft w:val="0"/>
          <w:marRight w:val="0"/>
          <w:marTop w:val="0"/>
          <w:marBottom w:val="101"/>
          <w:divBdr>
            <w:top w:val="none" w:sz="0" w:space="0" w:color="auto"/>
            <w:left w:val="none" w:sz="0" w:space="0" w:color="auto"/>
            <w:bottom w:val="none" w:sz="0" w:space="0" w:color="auto"/>
            <w:right w:val="none" w:sz="0" w:space="0" w:color="auto"/>
          </w:divBdr>
        </w:div>
        <w:div w:id="1317103471">
          <w:marLeft w:val="0"/>
          <w:marRight w:val="0"/>
          <w:marTop w:val="0"/>
          <w:marBottom w:val="101"/>
          <w:divBdr>
            <w:top w:val="none" w:sz="0" w:space="0" w:color="auto"/>
            <w:left w:val="none" w:sz="0" w:space="0" w:color="auto"/>
            <w:bottom w:val="none" w:sz="0" w:space="0" w:color="auto"/>
            <w:right w:val="none" w:sz="0" w:space="0" w:color="auto"/>
          </w:divBdr>
        </w:div>
        <w:div w:id="799420590">
          <w:marLeft w:val="0"/>
          <w:marRight w:val="0"/>
          <w:marTop w:val="0"/>
          <w:marBottom w:val="101"/>
          <w:divBdr>
            <w:top w:val="none" w:sz="0" w:space="0" w:color="auto"/>
            <w:left w:val="none" w:sz="0" w:space="0" w:color="auto"/>
            <w:bottom w:val="none" w:sz="0" w:space="0" w:color="auto"/>
            <w:right w:val="none" w:sz="0" w:space="0" w:color="auto"/>
          </w:divBdr>
        </w:div>
        <w:div w:id="356663184">
          <w:marLeft w:val="0"/>
          <w:marRight w:val="0"/>
          <w:marTop w:val="101"/>
          <w:marBottom w:val="101"/>
          <w:divBdr>
            <w:top w:val="none" w:sz="0" w:space="0" w:color="auto"/>
            <w:left w:val="none" w:sz="0" w:space="0" w:color="auto"/>
            <w:bottom w:val="none" w:sz="0" w:space="0" w:color="auto"/>
            <w:right w:val="none" w:sz="0" w:space="0" w:color="auto"/>
          </w:divBdr>
        </w:div>
        <w:div w:id="220098622">
          <w:marLeft w:val="0"/>
          <w:marRight w:val="0"/>
          <w:marTop w:val="0"/>
          <w:marBottom w:val="101"/>
          <w:divBdr>
            <w:top w:val="none" w:sz="0" w:space="0" w:color="auto"/>
            <w:left w:val="none" w:sz="0" w:space="0" w:color="auto"/>
            <w:bottom w:val="none" w:sz="0" w:space="0" w:color="auto"/>
            <w:right w:val="none" w:sz="0" w:space="0" w:color="auto"/>
          </w:divBdr>
        </w:div>
        <w:div w:id="559287633">
          <w:marLeft w:val="0"/>
          <w:marRight w:val="0"/>
          <w:marTop w:val="101"/>
          <w:marBottom w:val="101"/>
          <w:divBdr>
            <w:top w:val="none" w:sz="0" w:space="0" w:color="auto"/>
            <w:left w:val="none" w:sz="0" w:space="0" w:color="auto"/>
            <w:bottom w:val="none" w:sz="0" w:space="0" w:color="auto"/>
            <w:right w:val="none" w:sz="0" w:space="0" w:color="auto"/>
          </w:divBdr>
        </w:div>
        <w:div w:id="1734422449">
          <w:marLeft w:val="0"/>
          <w:marRight w:val="0"/>
          <w:marTop w:val="0"/>
          <w:marBottom w:val="101"/>
          <w:divBdr>
            <w:top w:val="none" w:sz="0" w:space="0" w:color="auto"/>
            <w:left w:val="none" w:sz="0" w:space="0" w:color="auto"/>
            <w:bottom w:val="none" w:sz="0" w:space="0" w:color="auto"/>
            <w:right w:val="none" w:sz="0" w:space="0" w:color="auto"/>
          </w:divBdr>
        </w:div>
        <w:div w:id="786120338">
          <w:marLeft w:val="0"/>
          <w:marRight w:val="0"/>
          <w:marTop w:val="0"/>
          <w:marBottom w:val="101"/>
          <w:divBdr>
            <w:top w:val="none" w:sz="0" w:space="0" w:color="auto"/>
            <w:left w:val="none" w:sz="0" w:space="0" w:color="auto"/>
            <w:bottom w:val="none" w:sz="0" w:space="0" w:color="auto"/>
            <w:right w:val="none" w:sz="0" w:space="0" w:color="auto"/>
          </w:divBdr>
        </w:div>
        <w:div w:id="328025575">
          <w:marLeft w:val="0"/>
          <w:marRight w:val="0"/>
          <w:marTop w:val="0"/>
          <w:marBottom w:val="101"/>
          <w:divBdr>
            <w:top w:val="none" w:sz="0" w:space="0" w:color="auto"/>
            <w:left w:val="none" w:sz="0" w:space="0" w:color="auto"/>
            <w:bottom w:val="none" w:sz="0" w:space="0" w:color="auto"/>
            <w:right w:val="none" w:sz="0" w:space="0" w:color="auto"/>
          </w:divBdr>
        </w:div>
        <w:div w:id="1389525690">
          <w:marLeft w:val="0"/>
          <w:marRight w:val="0"/>
          <w:marTop w:val="0"/>
          <w:marBottom w:val="101"/>
          <w:divBdr>
            <w:top w:val="none" w:sz="0" w:space="0" w:color="auto"/>
            <w:left w:val="none" w:sz="0" w:space="0" w:color="auto"/>
            <w:bottom w:val="none" w:sz="0" w:space="0" w:color="auto"/>
            <w:right w:val="none" w:sz="0" w:space="0" w:color="auto"/>
          </w:divBdr>
        </w:div>
      </w:divsChild>
    </w:div>
    <w:div w:id="16888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1326</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2018-07-10T13:11:00Z</dcterms:created>
  <dcterms:modified xsi:type="dcterms:W3CDTF">2018-07-10T13:15:00Z</dcterms:modified>
</cp:coreProperties>
</file>