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 examen de vigencia de la cuota compensatoria impuesta a las importaciones de tubería de acero sin costura,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DECLARA EL INICIO DEL PROCEDIMIENTO ADMINISTRATIVO DE EXAMEN DE VIGENCIA DE LA CUOTA COMPENSATORIA IMPUESTA A LAS IMPORTACIONES DE TUBERÍA DE ACERO SIN COSTURA ORIGINARIAS DE LA REPÚBLICA POPULAR CHINA,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E.C. 01/21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24 de febrero de 2011 se publicó en el Diario Oficial de la Federación (DOF) la Resolución final de la investigación antidumping sobre las importaciones de tubería de acero sin costura originarias de la República Popular China ("China"), independientemente del país de procedencia.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Mediante esta Resolución, la Secretaría determinó una cuota compensatoria definitiva a las importaciones cuyos precios fueran inferiores al precio de referencia de $1,772 dólares de los Estados Unidos de América ("dólares") por tonelada métrica, equivalente a la diferencia entre ese precio de referencia y el valor en aduana, multiplicada por el número de toneladas métricas que conformaran el embarque amparado por cada pedimento de importación. El monto de la cuota compensatoria no debía rebasar el 56% ad valorem sobre el valor en aduana.</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Revisión de la cuota compensatoria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20 de junio de 2013 se publicó en el DOF la Resolución final de la revisión de la cuota compensatoria. Mediante esta Resolución, la Secretaría determinó modificar la cuota compensatoria señalada en el punto 2 de la presente Resolución por una cuota compensatoria definitiva de $1,252 dólares por tonelada métrica.</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Examen de vigencia previo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4 de noviembre de 2016 se publicó en el DOF la Resolución final del primer examen de vigencia de la cuota compensatoria. Mediante esta Resolución, la Secretaría determinó prorrogar la vigencia de la cuota compensatoria por cinco años más.</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Aviso sobre la vigencia de cuotas compensatorias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tubería de acero sin costura originaria de China, objeto de este examen.</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Manifestación de interés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El 18 de enero de 2021 Tubos de Acero de México, S.A. (TAMSA) manifestó su interés en que la Secretaría inicie el examen de vigencia de la cuota compensatoria definitiva impuesta a las importaciones de tubería de acero sin costura originarias de China. TAMSA propuso como periodo de examen el comprendido del 1 de enero al 31 de diciembre de 2020.</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TAMSA es una empresa constituida conforme a las leyes mexicanas. Su principal actividad consiste, entre otras, en fabricar tubos de hierro, acero y de cualquier otro metal, incluido el producto objeto de examen. Para acreditar su calidad de productor nacional de tubería de acero sin costura, presentó una carta de la Cámara Nacional de la Industria del Hierro y del Acero del 14 de enero de 2021, que así la acredita.</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Producto objeto de examen</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El producto objeto de examen es la tubería de acero sin costura (con excepción de la inoxidable), con diámetro nominal externo igual o mayor a 5 pulgadas (141.3 mm de diámetro externo real) y menor o igual a 16 pulgadas (406.4 mm de diámetro externo real), independientemente del espesor de pared, recubrimiento o grado de acero con que se fabrique. Esta tubería incluye la denominada tubería para conducción (o tubería estándar), tubería de presión y tubería de línea, que en los Estados Unidos se conocen como "standar pipe", "pressure pipe" y "line pipe", respectivamente.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No están sujetas a la cuota compensatoria las importaciones de tubería con diámetros menores a 5 pulgadas y mayores a 16 pulgadas, así como tubería inoxidable, barras huecas, tubería mecánica, tubería estructural con diámetros distintos (inferiores o mayores) y tubos para caldera.</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Tratamiento arancelario</w:t>
      </w:r>
    </w:p>
    <w:p w:rsidR="00000000" w:rsidDel="00000000" w:rsidP="00000000" w:rsidRDefault="00000000" w:rsidRPr="00000000" w14:paraId="0000001B">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Durante el procedimiento ordinario, así como el examen de vigencia previo, el producto objeto de examen se clasificaba en las fracciones arancelarias 7304.19.02, 7304.19.99, 7304.39.06 y 7304.39.99 de la Tarifa de la Ley de los Impuestos Generales de Importación y de Exportación (TIGIE), sin embargo, de conformidad con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publicado en el DOF el 20</w:t>
      </w:r>
      <w:r w:rsidDel="00000000" w:rsidR="00000000" w:rsidRPr="00000000">
        <w:rPr>
          <w:sz w:val="18"/>
          <w:szCs w:val="18"/>
          <w:rtl w:val="0"/>
        </w:rPr>
        <w:t xml:space="preserve"> de septiembre de 2019, se suprimió la fracción arancelaria 7304.39.06 y se crearon las fracciones arancelarias 7304.19.91, 7304.39.12, 7304.39.13 y 7304.39.91 de la TIGIE.</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De acuerdo con el punto anterior, el producto objeto de examen ingresa al mercado nacional a través de las fracciones arancelarias 7304.19.02, 7304.19.91, 7304.19.99, </w:t>
      </w:r>
      <w:r w:rsidDel="00000000" w:rsidR="00000000" w:rsidRPr="00000000">
        <w:rPr>
          <w:sz w:val="18"/>
          <w:szCs w:val="18"/>
          <w:rtl w:val="0"/>
        </w:rPr>
        <w:t xml:space="preserve">7304.39.12, 7304.39.13, 7304.39.91</w:t>
      </w:r>
      <w:r w:rsidDel="00000000" w:rsidR="00000000" w:rsidRPr="00000000">
        <w:rPr>
          <w:color w:val="2f2f2f"/>
          <w:sz w:val="18"/>
          <w:szCs w:val="18"/>
          <w:rtl w:val="0"/>
        </w:rPr>
        <w:t xml:space="preserve"> y 7304.39.99 de la TIGIE, cuya descripción es la siguiente:</w:t>
      </w:r>
    </w:p>
    <w:tbl>
      <w:tblPr>
        <w:tblStyle w:val="Table1"/>
        <w:tblW w:w="85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6495"/>
        <w:tblGridChange w:id="0">
          <w:tblGrid>
            <w:gridCol w:w="2010"/>
            <w:gridCol w:w="6495"/>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D">
            <w:pPr>
              <w:spacing w:after="100" w:lineRule="auto"/>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1E">
            <w:pPr>
              <w:spacing w:after="100" w:lineRule="auto"/>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F">
            <w:pPr>
              <w:spacing w:after="100" w:lineRule="auto"/>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jc w:val="both"/>
              <w:rPr>
                <w:sz w:val="18"/>
                <w:szCs w:val="18"/>
              </w:rPr>
            </w:pPr>
            <w:r w:rsidDel="00000000" w:rsidR="00000000" w:rsidRPr="00000000">
              <w:rPr>
                <w:sz w:val="18"/>
                <w:szCs w:val="18"/>
                <w:rtl w:val="0"/>
              </w:rPr>
              <w:t xml:space="preserve">Capítulo 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jc w:val="both"/>
              <w:rPr>
                <w:sz w:val="18"/>
                <w:szCs w:val="18"/>
              </w:rPr>
            </w:pPr>
            <w:r w:rsidDel="00000000" w:rsidR="00000000" w:rsidRPr="00000000">
              <w:rPr>
                <w:sz w:val="18"/>
                <w:szCs w:val="18"/>
                <w:rtl w:val="0"/>
              </w:rPr>
              <w:t xml:space="preserve">Manufacturas de fundición, hierro o acero.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jc w:val="both"/>
              <w:rPr>
                <w:sz w:val="18"/>
                <w:szCs w:val="18"/>
              </w:rPr>
            </w:pPr>
            <w:r w:rsidDel="00000000" w:rsidR="00000000" w:rsidRPr="00000000">
              <w:rPr>
                <w:sz w:val="18"/>
                <w:szCs w:val="18"/>
                <w:rtl w:val="0"/>
              </w:rPr>
              <w:t xml:space="preserve">Partida 7304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jc w:val="both"/>
              <w:rPr>
                <w:sz w:val="18"/>
                <w:szCs w:val="18"/>
              </w:rPr>
            </w:pPr>
            <w:r w:rsidDel="00000000" w:rsidR="00000000" w:rsidRPr="00000000">
              <w:rPr>
                <w:sz w:val="18"/>
                <w:szCs w:val="18"/>
                <w:rtl w:val="0"/>
              </w:rPr>
              <w:t xml:space="preserve">Tubos y perfiles huecos, sin costura (sin soldadura), de hierro o acero.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jc w:val="both"/>
              <w:rPr>
                <w:sz w:val="18"/>
                <w:szCs w:val="18"/>
              </w:rPr>
            </w:pPr>
            <w:r w:rsidDel="00000000" w:rsidR="00000000" w:rsidRPr="00000000">
              <w:rPr>
                <w:sz w:val="18"/>
                <w:szCs w:val="18"/>
                <w:rtl w:val="0"/>
              </w:rPr>
              <w:t xml:space="preserve">-Tubos de los tipos utilizados en oleoductos o gasoductos: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jc w:val="both"/>
              <w:rPr>
                <w:sz w:val="18"/>
                <w:szCs w:val="18"/>
              </w:rPr>
            </w:pPr>
            <w:r w:rsidDel="00000000" w:rsidR="00000000" w:rsidRPr="00000000">
              <w:rPr>
                <w:sz w:val="18"/>
                <w:szCs w:val="18"/>
                <w:rtl w:val="0"/>
              </w:rPr>
              <w:t xml:space="preserve">Subpartida 7304.19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jc w:val="both"/>
              <w:rPr>
                <w:sz w:val="18"/>
                <w:szCs w:val="18"/>
              </w:rPr>
            </w:pPr>
            <w:r w:rsidDel="00000000" w:rsidR="00000000" w:rsidRPr="00000000">
              <w:rPr>
                <w:sz w:val="18"/>
                <w:szCs w:val="18"/>
                <w:rtl w:val="0"/>
              </w:rPr>
              <w:t xml:space="preserve">-- Los demás</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8">
            <w:pPr>
              <w:spacing w:after="100" w:lineRule="auto"/>
              <w:jc w:val="both"/>
              <w:rPr>
                <w:sz w:val="18"/>
                <w:szCs w:val="18"/>
              </w:rPr>
            </w:pPr>
            <w:r w:rsidDel="00000000" w:rsidR="00000000" w:rsidRPr="00000000">
              <w:rPr>
                <w:sz w:val="18"/>
                <w:szCs w:val="18"/>
                <w:rtl w:val="0"/>
              </w:rPr>
              <w:t xml:space="preserve">Fracción 7304.19.02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9">
            <w:pPr>
              <w:spacing w:after="100" w:lineRule="auto"/>
              <w:jc w:val="both"/>
              <w:rPr>
                <w:sz w:val="18"/>
                <w:szCs w:val="18"/>
              </w:rPr>
            </w:pPr>
            <w:r w:rsidDel="00000000" w:rsidR="00000000" w:rsidRPr="00000000">
              <w:rPr>
                <w:sz w:val="18"/>
                <w:szCs w:val="18"/>
                <w:rtl w:val="0"/>
              </w:rPr>
              <w:t xml:space="preserve">Tubos laminados en caliente, sin recubrimiento u otros trabajos de superficie, incluidos los tubos laminados en caliente barnizados o laqueados: de diámetro exterior superior a 114.3 mm sin exceder de 406.4 mm y espesor de pared igual o superior a 6.35 mm sin exceder de 38.1 mm.</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A">
            <w:pPr>
              <w:spacing w:after="100" w:lineRule="auto"/>
              <w:jc w:val="both"/>
              <w:rPr>
                <w:sz w:val="18"/>
                <w:szCs w:val="18"/>
              </w:rPr>
            </w:pPr>
            <w:r w:rsidDel="00000000" w:rsidR="00000000" w:rsidRPr="00000000">
              <w:rPr>
                <w:sz w:val="18"/>
                <w:szCs w:val="18"/>
                <w:rtl w:val="0"/>
              </w:rPr>
              <w:t xml:space="preserve">Fracción 7304.19.91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B">
            <w:pPr>
              <w:spacing w:after="100" w:lineRule="auto"/>
              <w:jc w:val="both"/>
              <w:rPr>
                <w:sz w:val="18"/>
                <w:szCs w:val="18"/>
              </w:rPr>
            </w:pPr>
            <w:r w:rsidDel="00000000" w:rsidR="00000000" w:rsidRPr="00000000">
              <w:rPr>
                <w:sz w:val="18"/>
                <w:szCs w:val="18"/>
                <w:rtl w:val="0"/>
              </w:rPr>
              <w:t xml:space="preserve">Los demás con un diámetro exterior inferior o igual a 406.4 mm.</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C">
            <w:pPr>
              <w:spacing w:after="100" w:lineRule="auto"/>
              <w:jc w:val="both"/>
              <w:rPr>
                <w:sz w:val="18"/>
                <w:szCs w:val="18"/>
              </w:rPr>
            </w:pPr>
            <w:r w:rsidDel="00000000" w:rsidR="00000000" w:rsidRPr="00000000">
              <w:rPr>
                <w:sz w:val="18"/>
                <w:szCs w:val="18"/>
                <w:rtl w:val="0"/>
              </w:rPr>
              <w:t xml:space="preserve">Fracción 7304.19.99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D">
            <w:pPr>
              <w:spacing w:after="100" w:lineRule="auto"/>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jc w:val="both"/>
              <w:rPr>
                <w:sz w:val="18"/>
                <w:szCs w:val="18"/>
              </w:rPr>
            </w:pPr>
            <w:r w:rsidDel="00000000" w:rsidR="00000000" w:rsidRPr="00000000">
              <w:rPr>
                <w:sz w:val="18"/>
                <w:szCs w:val="18"/>
                <w:rtl w:val="0"/>
              </w:rPr>
              <w:t xml:space="preserve">-Los demás, de sección circular, de hierro o acero sin alear:</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jc w:val="both"/>
              <w:rPr>
                <w:sz w:val="18"/>
                <w:szCs w:val="18"/>
              </w:rPr>
            </w:pPr>
            <w:r w:rsidDel="00000000" w:rsidR="00000000" w:rsidRPr="00000000">
              <w:rPr>
                <w:sz w:val="18"/>
                <w:szCs w:val="18"/>
                <w:rtl w:val="0"/>
              </w:rPr>
              <w:t xml:space="preserve">Subpartida 7304.39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jc w:val="both"/>
              <w:rPr>
                <w:sz w:val="18"/>
                <w:szCs w:val="18"/>
              </w:rPr>
            </w:pPr>
            <w:r w:rsidDel="00000000" w:rsidR="00000000" w:rsidRPr="00000000">
              <w:rPr>
                <w:sz w:val="18"/>
                <w:szCs w:val="18"/>
                <w:rtl w:val="0"/>
              </w:rPr>
              <w:t xml:space="preserve">--Los demás.</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2">
            <w:pPr>
              <w:spacing w:after="100" w:lineRule="auto"/>
              <w:jc w:val="both"/>
              <w:rPr>
                <w:sz w:val="18"/>
                <w:szCs w:val="18"/>
              </w:rPr>
            </w:pPr>
            <w:r w:rsidDel="00000000" w:rsidR="00000000" w:rsidRPr="00000000">
              <w:rPr>
                <w:sz w:val="18"/>
                <w:szCs w:val="18"/>
                <w:rtl w:val="0"/>
              </w:rPr>
              <w:t xml:space="preserve">Fracción 7304.39.12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3">
            <w:pPr>
              <w:spacing w:after="100" w:lineRule="auto"/>
              <w:jc w:val="both"/>
              <w:rPr>
                <w:sz w:val="18"/>
                <w:szCs w:val="18"/>
              </w:rPr>
            </w:pPr>
            <w:r w:rsidDel="00000000" w:rsidR="00000000" w:rsidRPr="00000000">
              <w:rPr>
                <w:sz w:val="18"/>
                <w:szCs w:val="18"/>
                <w:rtl w:val="0"/>
              </w:rPr>
              <w:t xml:space="preserve">Tubos llamados "térmicos", sin recubrimientos distintos de los obtenidos por laqueado y barnizado o sin trabajos de superficie, de diámetro exterior superior a 114.3 mm sin exceder de 406.4 mm y espesor de pared igual o superior a 6.35 mm sin exceder de 38.1 mm.</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4">
            <w:pPr>
              <w:spacing w:after="100" w:lineRule="auto"/>
              <w:jc w:val="both"/>
              <w:rPr>
                <w:sz w:val="18"/>
                <w:szCs w:val="18"/>
              </w:rPr>
            </w:pPr>
            <w:r w:rsidDel="00000000" w:rsidR="00000000" w:rsidRPr="00000000">
              <w:rPr>
                <w:sz w:val="18"/>
                <w:szCs w:val="18"/>
                <w:rtl w:val="0"/>
              </w:rPr>
              <w:t xml:space="preserve">Fracción 7304.39.13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5">
            <w:pPr>
              <w:spacing w:after="100" w:lineRule="auto"/>
              <w:jc w:val="both"/>
              <w:rPr>
                <w:sz w:val="18"/>
                <w:szCs w:val="18"/>
              </w:rPr>
            </w:pPr>
            <w:r w:rsidDel="00000000" w:rsidR="00000000" w:rsidRPr="00000000">
              <w:rPr>
                <w:sz w:val="18"/>
                <w:szCs w:val="18"/>
                <w:rtl w:val="0"/>
              </w:rPr>
              <w:t xml:space="preserve">Tubos llamados de "conducción", sin recubrimientos distintos de los obtenidos por laqueado y barnizado o sin trabajos de superficie, de diámetro exterior superior a 114.3 mm sin exceder de 406.4 mm y espesor de pared igual o superior a 6.35 mm sin exceder de 38.1 mm.</w:t>
            </w:r>
          </w:p>
        </w:tc>
      </w:tr>
    </w:tbl>
    <w:p w:rsidR="00000000" w:rsidDel="00000000" w:rsidP="00000000" w:rsidRDefault="00000000" w:rsidRPr="00000000" w14:paraId="00000036">
      <w:pPr>
        <w:rPr>
          <w:color w:val="2f2f2f"/>
          <w:sz w:val="18"/>
          <w:szCs w:val="18"/>
        </w:rPr>
      </w:pPr>
      <w:r w:rsidDel="00000000" w:rsidR="00000000" w:rsidRPr="00000000">
        <w:rPr>
          <w:rtl w:val="0"/>
        </w:rPr>
      </w:r>
    </w:p>
    <w:tbl>
      <w:tblPr>
        <w:tblStyle w:val="Table2"/>
        <w:tblW w:w="85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6495"/>
        <w:tblGridChange w:id="0">
          <w:tblGrid>
            <w:gridCol w:w="2010"/>
            <w:gridCol w:w="649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7">
            <w:pPr>
              <w:spacing w:after="100" w:lineRule="auto"/>
              <w:jc w:val="both"/>
              <w:rPr>
                <w:sz w:val="18"/>
                <w:szCs w:val="18"/>
              </w:rPr>
            </w:pPr>
            <w:r w:rsidDel="00000000" w:rsidR="00000000" w:rsidRPr="00000000">
              <w:rPr>
                <w:sz w:val="18"/>
                <w:szCs w:val="18"/>
                <w:rtl w:val="0"/>
              </w:rPr>
              <w:t xml:space="preserve">Fracción 7304.39.91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8">
            <w:pPr>
              <w:spacing w:after="100" w:lineRule="auto"/>
              <w:jc w:val="both"/>
              <w:rPr>
                <w:sz w:val="18"/>
                <w:szCs w:val="18"/>
              </w:rPr>
            </w:pPr>
            <w:r w:rsidDel="00000000" w:rsidR="00000000" w:rsidRPr="00000000">
              <w:rPr>
                <w:sz w:val="18"/>
                <w:szCs w:val="18"/>
                <w:rtl w:val="0"/>
              </w:rPr>
              <w:t xml:space="preserve">Los demás de diámetro exterior superior o igual a 38.1 mm, pero inferior o igual a 406.4 mm, con un espesor de pared superior a 12.7 mm.</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9">
            <w:pPr>
              <w:spacing w:after="100" w:lineRule="auto"/>
              <w:jc w:val="both"/>
              <w:rPr>
                <w:sz w:val="18"/>
                <w:szCs w:val="18"/>
              </w:rPr>
            </w:pPr>
            <w:r w:rsidDel="00000000" w:rsidR="00000000" w:rsidRPr="00000000">
              <w:rPr>
                <w:sz w:val="18"/>
                <w:szCs w:val="18"/>
                <w:rtl w:val="0"/>
              </w:rPr>
              <w:t xml:space="preserve">Fracción 7304.39.99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A">
            <w:pPr>
              <w:spacing w:after="100" w:lineRule="auto"/>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03B">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Fuente: Sistema de Información Arancelaria Vía Internet (SIAVI)</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La unidad de medida que utiliza la TIGIE es el kilogramo, aunque las operaciones comerciales se realizan normalmente en toneladas métricas.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De conformidad con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publicado en el DOF el 20 de septiembre de 2019, las importaciones que ingresan al mercado nacional por las fracciones arancelarias 7304.19.02, 7304.19.91, 7304.19.99, 7304.39.12, 7304.39.13, </w:t>
      </w:r>
      <w:r w:rsidDel="00000000" w:rsidR="00000000" w:rsidRPr="00000000">
        <w:rPr>
          <w:sz w:val="18"/>
          <w:szCs w:val="18"/>
          <w:rtl w:val="0"/>
        </w:rPr>
        <w:t xml:space="preserve">7304.39.91</w:t>
      </w:r>
      <w:r w:rsidDel="00000000" w:rsidR="00000000" w:rsidRPr="00000000">
        <w:rPr>
          <w:color w:val="2f2f2f"/>
          <w:sz w:val="18"/>
          <w:szCs w:val="18"/>
          <w:rtl w:val="0"/>
        </w:rPr>
        <w:t xml:space="preserve"> y 7304.39.99 de la TIGIE están sujetas a un arancel del 15% a partir del 22 de septiembre de 2019 y hasta el 21 de septiembre de 2021, de 10% a partir del 22 de septiembre de 2021, y de 5% a partir del 22 de septiembre del 2023. Asimismo, las fracciones arancelarias 7304.19.91, 7304.19.99, </w:t>
      </w:r>
      <w:r w:rsidDel="00000000" w:rsidR="00000000" w:rsidRPr="00000000">
        <w:rPr>
          <w:sz w:val="18"/>
          <w:szCs w:val="18"/>
          <w:rtl w:val="0"/>
        </w:rPr>
        <w:t xml:space="preserve">7304.39.91</w:t>
      </w:r>
      <w:r w:rsidDel="00000000" w:rsidR="00000000" w:rsidRPr="00000000">
        <w:rPr>
          <w:color w:val="2f2f2f"/>
          <w:sz w:val="18"/>
          <w:szCs w:val="18"/>
          <w:rtl w:val="0"/>
        </w:rPr>
        <w:t xml:space="preserve"> y 7304.39.99 quedarán exentas de arancel a partir del 22 de agosto de 2024, mientras que las fracciones arancelarias 7304.19.02, 7304.39.12 y 7304.39.13 se mantienen con el arancel del 5% antes señalado.</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Los países con los que México tiene celebrados tratados de libre comercio se encuentran exentos de arancel en las fracciones arancelarias 7304.19.02, 7304.19.99 y 7304.39.99 de la TIGIE. En lo que se refiere a Australia, Canadá, Japón, Nueva Zelanda, Singapur y Vietnam, países que conforman el Tratado Integral y Progresista de Asociación Transpacífico (TIPAT), aplican los siguientes aranceles:</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al Acuerdo que establece la tasa aplicable del Impuesto General de Importación (IGI) para las mercancías originarias de dichos países, publicado en el DOF el 30 de noviembre de 2018, para la fracción arancelaria 7304.19.02, Australia, Canadá, Japón, Nueva Zelanda y Singapur están sujetos a un arancel del 1 % en 2021 y cero a partir del 2022, en tanto que para las fracciones arancelarias 7304.19.99 y 7304.39.99 se encuentran exentos, y</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el Acuerdo que establece la tasa aplicable del IGI para las mercancías originarias de los países que conforman el TIPAT que corresponden a Vietnam publicado en el DOF el 14 de enero de 2019, para la fracción arancelaria 7304.19.02, dicho país está sujeto a un arancel del 2% en 2021, 1% en 2022 y cero a partir del 2023, mientras que las fracciones arancelarias 7304.19.99 y 7304.39.99 están exentas.</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El 22 de noviembre de 2019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7304.19.02, 7304.19.91, 7304.19.99, </w:t>
      </w:r>
      <w:r w:rsidDel="00000000" w:rsidR="00000000" w:rsidRPr="00000000">
        <w:rPr>
          <w:sz w:val="18"/>
          <w:szCs w:val="18"/>
          <w:rtl w:val="0"/>
        </w:rPr>
        <w:t xml:space="preserve">7304.39.12, 7304.39.13, 7304.39.91</w:t>
      </w:r>
      <w:r w:rsidDel="00000000" w:rsidR="00000000" w:rsidRPr="00000000">
        <w:rPr>
          <w:color w:val="2f2f2f"/>
          <w:sz w:val="18"/>
          <w:szCs w:val="18"/>
          <w:rtl w:val="0"/>
        </w:rPr>
        <w:t xml:space="preserve"> y 7304.39.99 de la TIGIE, para efectos de monitoreo estadístico comercial cuando se destinen al régimen aduanero de importación definitiva.</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Proceso productivo</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El proceso productivo inicia a partir de la obtención del acero líquido. En las plantas integradas, este se obtiene en altos hornos (BF, por las siglas en inglés de Blast Furnace) u hornos denominados BOF (por las siglas en inglés de Basic Oxigen Furnace), a partir de mineral de hierro, chatarra, fierro esponja, carbón mineral y oxígeno. En plantas de tipo mini-mill, el acero líquido se obtiene en hornos de arco eléctrico (EAF, por las siglas en inglés de Electric Arc Furnace), que utilizan fundamentalmente chatarra, briquetas, arrabio, energía eléctrica, electrodos y oxígeno.</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El acero líquido que se obtiene por cualquiera de estos procesos pasa por una máquina de colada continua donde se obtienen barras o lingotes de acero que se precalientan en un horno giratorio y se pasan por el "laminador a mandril retenido", en donde se perforan y ajustan al diámetro y espesor requeridos. A continuación, la tubería se corta en la longitud requerida y se somete a inspección para detectar posibles defectos. Posteriormente, para mejorar las propiedades químicas del acero, los tubos se someten a un proceso de tratamiento térmico. Conforme las normas lo requieran, se les pueden o no realizar pruebas hidrostáticas. Finalmente, se coloca grasa y protectores en los extremos de la tubería para evitar corrosión y daños en el producto.</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Además de la materia prima para obtener el acero líquido, otros insumos que se emplean en la producción de la tubería investigada son refractarios, energía eléctrica, gas natural, equipos de laminación, protectores de bisel, pinturas y barnices.</w:t>
      </w:r>
    </w:p>
    <w:p w:rsidR="00000000" w:rsidDel="00000000" w:rsidP="00000000" w:rsidRDefault="00000000" w:rsidRPr="00000000" w14:paraId="0000004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 Normas</w:t>
      </w:r>
    </w:p>
    <w:p w:rsidR="00000000" w:rsidDel="00000000" w:rsidP="00000000" w:rsidRDefault="00000000" w:rsidRPr="00000000" w14:paraId="0000004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El producto objeto de examen se produce comúnmente conforme a las especificaciones de las siguientes normas de la Sociedad Americana para Pruebas y Materiales (ASTM, por las siglas en inglés de American Society for Testing Materials), de la Sociedad Americana de Ingenieros Mecánicos (ASME, por las siglas en inglés de American Society of Mechanical Engineers), de la Organización Internacional de Normalización (ISO, por las siglas en inglés de International Organization for Standardization) y del Instituto Americano del Petróleo (API, por las siglas en inglés de American Petroleum Institute): i) la tubería para conducción, conforme a las normas ASTM A53, ASME SA53, ISO 31383-3 e ISO 3183-2; ii) la tubería de presión, conforme a las normas ASME SA106 y ASTM A106, y iii) la tubería de línea, conforme a las especificaciones de la norma API5L.</w:t>
      </w:r>
    </w:p>
    <w:p w:rsidR="00000000" w:rsidDel="00000000" w:rsidP="00000000" w:rsidRDefault="00000000" w:rsidRPr="00000000" w14:paraId="0000004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El producto objeto de examen se fabrica con las siguientes características: i) grados de acero X42 y B, según las normas API5L o ASTM; ii) diámetro exterior nominal en un rango de 5 a 16 pulgadas (equivalentes a 141.3 y 406.4 milímetros) de diámetro exterior real, con espesores de pared en un rango de 1.68 a 40.49 milímetros, y iii) contenido máximo de carbono, silicio, manganeso, fósforo, azufre, vanadio, niobio y titanio en 0.30%, 0.40%, 1.06%, 0.035%, 0.045%, 0.08%, 0.05% y 0.04%, respectivamente.</w:t>
      </w:r>
    </w:p>
    <w:p w:rsidR="00000000" w:rsidDel="00000000" w:rsidP="00000000" w:rsidRDefault="00000000" w:rsidRPr="00000000" w14:paraId="0000004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5. Usos y funciones</w:t>
      </w:r>
    </w:p>
    <w:p w:rsidR="00000000" w:rsidDel="00000000" w:rsidP="00000000" w:rsidRDefault="00000000" w:rsidRPr="00000000" w14:paraId="0000004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La función principal del producto objeto de examen es la conducción de fluidos, incluidos agua, vapor, aire, gases, productos petroquímicos y químicos, a diferentes temperaturas y presiones. Los usos más comunes de la tubería estándar, de presión y de línea son:</w:t>
      </w:r>
    </w:p>
    <w:p w:rsidR="00000000" w:rsidDel="00000000" w:rsidP="00000000" w:rsidRDefault="00000000" w:rsidRPr="00000000" w14:paraId="0000004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Tubería estándar. Se destina al transporte, normalmente a baja temperatura y presión, de agua, vapor, gas natural, aire, y otros líquidos y gases, en sistemas de plomería y calefacción, unidades de aire acondicionado, sistemas automáticos de rociadores y otros usos afines. En algunos casos suele utilizarse para transportar líquidos a elevadas temperaturas, sin exceder las especificaciones de la norma conforme a la cual se fabrica.</w:t>
      </w:r>
    </w:p>
    <w:p w:rsidR="00000000" w:rsidDel="00000000" w:rsidP="00000000" w:rsidRDefault="00000000" w:rsidRPr="00000000" w14:paraId="0000004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Tubería de presión. Se utiliza en sistemas de tuberías industriales y en plantas de generación de energía eléctrica o nuclear para transportar (normalmente a alta temperatura y presión) agua, vapor, petroquímicos, químicos, productos derivados del petróleo, gas natural y otros líquidos y gases.</w:t>
      </w:r>
    </w:p>
    <w:p w:rsidR="00000000" w:rsidDel="00000000" w:rsidP="00000000" w:rsidRDefault="00000000" w:rsidRPr="00000000" w14:paraId="0000004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Tubería de línea. Se usa para transportar petróleo, gas natural u otros fluidos en gasoductos y oleoductos, tanto en tierra como en mar.</w:t>
      </w:r>
    </w:p>
    <w:p w:rsidR="00000000" w:rsidDel="00000000" w:rsidP="00000000" w:rsidRDefault="00000000" w:rsidRPr="00000000" w14:paraId="0000004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G. Posibles partes interesadas</w:t>
      </w:r>
    </w:p>
    <w:p w:rsidR="00000000" w:rsidDel="00000000" w:rsidP="00000000" w:rsidRDefault="00000000" w:rsidRPr="00000000" w14:paraId="0000004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Las partes de que la Secretaría tiene conocimiento y que podrían tener interés en comparecer al presente procedimiento, son las siguientes:</w:t>
      </w:r>
    </w:p>
    <w:p w:rsidR="00000000" w:rsidDel="00000000" w:rsidP="00000000" w:rsidRDefault="00000000" w:rsidRPr="00000000" w14:paraId="0000005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Productora nacional</w:t>
      </w:r>
    </w:p>
    <w:p w:rsidR="00000000" w:rsidDel="00000000" w:rsidP="00000000" w:rsidRDefault="00000000" w:rsidRPr="00000000" w14:paraId="00000051">
      <w:pPr>
        <w:shd w:fill="ffffff" w:val="clear"/>
        <w:ind w:firstLine="280"/>
        <w:jc w:val="both"/>
        <w:rPr>
          <w:color w:val="2f2f2f"/>
          <w:sz w:val="18"/>
          <w:szCs w:val="18"/>
        </w:rPr>
      </w:pPr>
      <w:r w:rsidDel="00000000" w:rsidR="00000000" w:rsidRPr="00000000">
        <w:rPr>
          <w:color w:val="2f2f2f"/>
          <w:sz w:val="18"/>
          <w:szCs w:val="18"/>
          <w:rtl w:val="0"/>
        </w:rPr>
        <w:t xml:space="preserve">Tubos de Acero de México, S.A.</w:t>
      </w:r>
    </w:p>
    <w:p w:rsidR="00000000" w:rsidDel="00000000" w:rsidP="00000000" w:rsidRDefault="00000000" w:rsidRPr="00000000" w14:paraId="00000052">
      <w:pPr>
        <w:shd w:fill="ffffff" w:val="clear"/>
        <w:ind w:firstLine="280"/>
        <w:jc w:val="both"/>
        <w:rPr>
          <w:color w:val="2f2f2f"/>
          <w:sz w:val="18"/>
          <w:szCs w:val="18"/>
        </w:rPr>
      </w:pPr>
      <w:r w:rsidDel="00000000" w:rsidR="00000000" w:rsidRPr="00000000">
        <w:rPr>
          <w:color w:val="2f2f2f"/>
          <w:sz w:val="18"/>
          <w:szCs w:val="18"/>
          <w:rtl w:val="0"/>
        </w:rPr>
        <w:t xml:space="preserve">Insurgentes sur No. 1824, piso 9</w:t>
      </w:r>
    </w:p>
    <w:p w:rsidR="00000000" w:rsidDel="00000000" w:rsidP="00000000" w:rsidRDefault="00000000" w:rsidRPr="00000000" w14:paraId="00000053">
      <w:pPr>
        <w:shd w:fill="ffffff" w:val="clear"/>
        <w:ind w:firstLine="280"/>
        <w:jc w:val="both"/>
        <w:rPr>
          <w:color w:val="2f2f2f"/>
          <w:sz w:val="18"/>
          <w:szCs w:val="18"/>
        </w:rPr>
      </w:pPr>
      <w:r w:rsidDel="00000000" w:rsidR="00000000" w:rsidRPr="00000000">
        <w:rPr>
          <w:color w:val="2f2f2f"/>
          <w:sz w:val="18"/>
          <w:szCs w:val="18"/>
          <w:rtl w:val="0"/>
        </w:rPr>
        <w:t xml:space="preserve">Col. Florida</w:t>
      </w:r>
    </w:p>
    <w:p w:rsidR="00000000" w:rsidDel="00000000" w:rsidP="00000000" w:rsidRDefault="00000000" w:rsidRPr="00000000" w14:paraId="000000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C.P. 01030, Ciudad de México</w:t>
      </w:r>
    </w:p>
    <w:p w:rsidR="00000000" w:rsidDel="00000000" w:rsidP="00000000" w:rsidRDefault="00000000" w:rsidRPr="00000000" w14:paraId="0000005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Gobierno</w:t>
      </w:r>
    </w:p>
    <w:p w:rsidR="00000000" w:rsidDel="00000000" w:rsidP="00000000" w:rsidRDefault="00000000" w:rsidRPr="00000000" w14:paraId="00000056">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7">
      <w:pPr>
        <w:shd w:fill="ffffff" w:val="clear"/>
        <w:ind w:firstLine="280"/>
        <w:jc w:val="both"/>
        <w:rPr>
          <w:color w:val="2f2f2f"/>
          <w:sz w:val="18"/>
          <w:szCs w:val="18"/>
        </w:rPr>
      </w:pPr>
      <w:r w:rsidDel="00000000" w:rsidR="00000000" w:rsidRPr="00000000">
        <w:rPr>
          <w:color w:val="2f2f2f"/>
          <w:sz w:val="18"/>
          <w:szCs w:val="18"/>
          <w:rtl w:val="0"/>
        </w:rPr>
        <w:t xml:space="preserve">Embajada de China en México</w:t>
      </w:r>
    </w:p>
    <w:p w:rsidR="00000000" w:rsidDel="00000000" w:rsidP="00000000" w:rsidRDefault="00000000" w:rsidRPr="00000000" w14:paraId="00000058">
      <w:pPr>
        <w:shd w:fill="ffffff" w:val="clear"/>
        <w:ind w:firstLine="280"/>
        <w:jc w:val="both"/>
        <w:rPr>
          <w:color w:val="2f2f2f"/>
          <w:sz w:val="18"/>
          <w:szCs w:val="18"/>
        </w:rPr>
      </w:pPr>
      <w:r w:rsidDel="00000000" w:rsidR="00000000" w:rsidRPr="00000000">
        <w:rPr>
          <w:color w:val="2f2f2f"/>
          <w:sz w:val="18"/>
          <w:szCs w:val="18"/>
          <w:rtl w:val="0"/>
        </w:rPr>
        <w:t xml:space="preserve">Platón No. 317</w:t>
      </w:r>
    </w:p>
    <w:p w:rsidR="00000000" w:rsidDel="00000000" w:rsidP="00000000" w:rsidRDefault="00000000" w:rsidRPr="00000000" w14:paraId="00000059">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05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C.P. 11560, Ciudad de México</w:t>
      </w:r>
    </w:p>
    <w:p w:rsidR="00000000" w:rsidDel="00000000" w:rsidP="00000000" w:rsidRDefault="00000000" w:rsidRPr="00000000" w14:paraId="0000005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5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5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000000" w:rsidDel="00000000" w:rsidP="00000000" w:rsidRDefault="00000000" w:rsidRPr="00000000" w14:paraId="0000005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5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Para efectos de este procedimiento son aplicables el Acuerdo Antidumping, la LCE, el RLCE,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000000" w:rsidDel="00000000" w:rsidP="00000000" w:rsidRDefault="00000000" w:rsidRPr="00000000" w14:paraId="0000006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6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6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 Legitimación para el inicio del examen de vigencia de cuota</w:t>
      </w:r>
    </w:p>
    <w:p w:rsidR="00000000" w:rsidDel="00000000" w:rsidP="00000000" w:rsidRDefault="00000000" w:rsidRPr="00000000" w14:paraId="0000006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6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En el presente caso, TAMSA, en su calidad de productora nacional del producto objeto de examen, manifestó en tiempo y forma, su interés en que se inicie el examen de vigencia de la cuota compensatoria definitiva impuesta a las importaciones de tubería de acero sin costura originarias de China, por lo que se actualizan los supuestos previstos en la legislación de la materia y, en consecuencia, procede iniciarlo.</w:t>
      </w:r>
    </w:p>
    <w:p w:rsidR="00000000" w:rsidDel="00000000" w:rsidP="00000000" w:rsidRDefault="00000000" w:rsidRPr="00000000" w14:paraId="0000006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 Periodo de examen y de análisis</w:t>
      </w:r>
    </w:p>
    <w:p w:rsidR="00000000" w:rsidDel="00000000" w:rsidP="00000000" w:rsidRDefault="00000000" w:rsidRPr="00000000" w14:paraId="0000006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La Secretaría determina fijar como periodo de examen el propuesto por TAMSA, comprendido del 1 de enero al 31 de diciembre de 2020 y como periodo de análisis el comprendido del 1 de enero de 2016 al 31 de diciembre de 2020, toda vez que estos se apegan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06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Por lo expuesto, con fundamento en los artículos 11.1 y 11.3 del Acuerdo Antidumping, y 67, 70 fracción II, 70 B y 89 F de la LCE, se emite la siguiente</w:t>
      </w:r>
    </w:p>
    <w:p w:rsidR="00000000" w:rsidDel="00000000" w:rsidP="00000000" w:rsidRDefault="00000000" w:rsidRPr="00000000" w14:paraId="00000068">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6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Se declara el inicio del procedimiento administrativo de examen de vigencia de la cuota compensatoria definitiva impuesta a las importaciones de tubería de acero sin costura originarias de China,</w:t>
      </w:r>
    </w:p>
    <w:p w:rsidR="00000000" w:rsidDel="00000000" w:rsidP="00000000" w:rsidRDefault="00000000" w:rsidRPr="00000000" w14:paraId="0000006A">
      <w:pPr>
        <w:shd w:fill="ffffff" w:val="clear"/>
        <w:spacing w:after="80" w:lineRule="auto"/>
        <w:jc w:val="both"/>
        <w:rPr>
          <w:color w:val="2f2f2f"/>
          <w:sz w:val="18"/>
          <w:szCs w:val="18"/>
        </w:rPr>
      </w:pPr>
      <w:r w:rsidDel="00000000" w:rsidR="00000000" w:rsidRPr="00000000">
        <w:rPr>
          <w:color w:val="2f2f2f"/>
          <w:sz w:val="18"/>
          <w:szCs w:val="18"/>
          <w:rtl w:val="0"/>
        </w:rPr>
        <w:t xml:space="preserve">independientemente del país de procedencia, que ingresan a través de las fracciones arancelarias 7304.19.02, 7304.19.91, 7304.19.99, </w:t>
      </w:r>
      <w:r w:rsidDel="00000000" w:rsidR="00000000" w:rsidRPr="00000000">
        <w:rPr>
          <w:sz w:val="18"/>
          <w:szCs w:val="18"/>
          <w:rtl w:val="0"/>
        </w:rPr>
        <w:t xml:space="preserve">7304.39.12, 7304.39.13, 7304.39.91</w:t>
      </w:r>
      <w:r w:rsidDel="00000000" w:rsidR="00000000" w:rsidRPr="00000000">
        <w:rPr>
          <w:color w:val="2f2f2f"/>
          <w:sz w:val="18"/>
          <w:szCs w:val="18"/>
          <w:rtl w:val="0"/>
        </w:rPr>
        <w:t xml:space="preserve"> y 7304.39.99 de la TIGIE, o por cualquier otra.</w:t>
      </w:r>
    </w:p>
    <w:p w:rsidR="00000000" w:rsidDel="00000000" w:rsidP="00000000" w:rsidRDefault="00000000" w:rsidRPr="00000000" w14:paraId="0000006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Se fija como periodo de examen el comprendido del 1 de enero al 31 de diciembre de 2020 y como periodo de análisis el comprendido del 1 de enero de 2016 al 31 de diciembre de 2020.</w:t>
      </w:r>
    </w:p>
    <w:p w:rsidR="00000000" w:rsidDel="00000000" w:rsidP="00000000" w:rsidRDefault="00000000" w:rsidRPr="00000000" w14:paraId="0000006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Conforme a lo establecido en los artículos 11.3 del Acuerdo Antidumping, 70 fracción II y 89 F de la LCE y 94 del RLCE, la cuota compensatoria definitiva a que se refieren el punto 3 de la presente Resolución, continuará vigente mientras se tramita el presente procedimiento de examen de vigencia.</w:t>
      </w:r>
    </w:p>
    <w:p w:rsidR="00000000" w:rsidDel="00000000" w:rsidP="00000000" w:rsidRDefault="00000000" w:rsidRPr="00000000" w14:paraId="0000006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y concluirá a las 18:00 horas del día de su vencimiento. La presentación de la información se hará conforme a lo dispuesto en el "Acuerdo que modifica el diverso por el que se establecen medidas administrativas en la Secretaría de Economía, con motivo de la emergencia sanitaria generada por el Coronavirus COVID-19", publicado en el DOF el 24 de diciembre de 2020 o mediante diverso que la Secretaría publique con posterioridad.</w:t>
      </w:r>
    </w:p>
    <w:p w:rsidR="00000000" w:rsidDel="00000000" w:rsidP="00000000" w:rsidRDefault="00000000" w:rsidRPr="00000000" w14:paraId="0000006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El formulario oficial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w:t>
      </w:r>
    </w:p>
    <w:p w:rsidR="00000000" w:rsidDel="00000000" w:rsidP="00000000" w:rsidRDefault="00000000" w:rsidRPr="00000000" w14:paraId="0000006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18"/>
          <w:szCs w:val="18"/>
          <w:rtl w:val="0"/>
        </w:rPr>
        <w:t xml:space="preserve"> Notifíquese la presente Resolución a las partes de que se tenga conocimiento.</w:t>
      </w:r>
    </w:p>
    <w:p w:rsidR="00000000" w:rsidDel="00000000" w:rsidP="00000000" w:rsidRDefault="00000000" w:rsidRPr="00000000" w14:paraId="0000007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18"/>
          <w:szCs w:val="18"/>
          <w:rtl w:val="0"/>
        </w:rPr>
        <w:t xml:space="preserve"> Comuníquese esta Resolución al Servicio de Administración Tributaria, para los efectos legales correspondientes.</w:t>
      </w:r>
    </w:p>
    <w:p w:rsidR="00000000" w:rsidDel="00000000" w:rsidP="00000000" w:rsidRDefault="00000000" w:rsidRPr="00000000" w14:paraId="0000007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18"/>
          <w:szCs w:val="18"/>
          <w:rtl w:val="0"/>
        </w:rPr>
        <w:t xml:space="preserve"> La presente Resolución entrará en vigor al día siguiente de su publicación en el DOF.</w:t>
      </w:r>
    </w:p>
    <w:p w:rsidR="00000000" w:rsidDel="00000000" w:rsidP="00000000" w:rsidRDefault="00000000" w:rsidRPr="00000000" w14:paraId="000000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10 de febrero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73">
      <w:pPr>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