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78/2021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5 al 11 de junio de 2021.</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III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Marqués de Comillas y Benemérito de las Américas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Margaritas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Motozintla y Mazapa de Madero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 de junio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