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7B9" w:rsidRPr="004450A0" w:rsidRDefault="008A37B9" w:rsidP="008A37B9">
      <w:pPr>
        <w:jc w:val="center"/>
        <w:rPr>
          <w:rFonts w:ascii="Verdana" w:eastAsia="Verdana" w:hAnsi="Verdana" w:cs="Verdana"/>
          <w:b/>
          <w:bCs/>
          <w:color w:val="0000FF"/>
          <w:sz w:val="24"/>
          <w:szCs w:val="24"/>
        </w:rPr>
      </w:pPr>
      <w:r w:rsidRPr="008A37B9">
        <w:rPr>
          <w:rFonts w:ascii="Verdana" w:eastAsia="Verdana" w:hAnsi="Verdana" w:cs="Verdana"/>
          <w:b/>
          <w:bCs/>
          <w:color w:val="0000FF"/>
          <w:sz w:val="24"/>
          <w:szCs w:val="24"/>
        </w:rPr>
        <w:t>EXTRACTO del Acuerdo G/JGA/42/2024, denominado "Suplencia de Magistrado en la Primera Ponencia de la Segunda Sala Regional del Norte-Centro II, con sede en la ciudad de Torreón, Estado de Coahuila".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17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A37B9" w:rsidRDefault="008A37B9" w:rsidP="008A37B9">
      <w:pPr>
        <w:jc w:val="both"/>
        <w:rPr>
          <w:rFonts w:ascii="Arial" w:eastAsia="Times New Roman" w:hAnsi="Arial" w:cs="Arial"/>
          <w:b/>
          <w:bCs/>
          <w:color w:val="2F2F2F"/>
          <w:sz w:val="20"/>
          <w:szCs w:val="16"/>
          <w:lang w:eastAsia="es-MX"/>
        </w:rPr>
      </w:pPr>
      <w:r w:rsidRPr="00057EA8">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8A37B9" w:rsidRPr="008A37B9" w:rsidRDefault="008A37B9" w:rsidP="008A37B9">
      <w:pPr>
        <w:shd w:val="clear" w:color="auto" w:fill="FFFFFF"/>
        <w:spacing w:after="101" w:line="240" w:lineRule="auto"/>
        <w:ind w:firstLine="288"/>
        <w:jc w:val="both"/>
        <w:rPr>
          <w:rFonts w:ascii="Arial" w:eastAsia="Times New Roman" w:hAnsi="Arial" w:cs="Arial"/>
          <w:color w:val="2F2F2F"/>
          <w:sz w:val="18"/>
          <w:szCs w:val="18"/>
          <w:lang w:eastAsia="es-MX"/>
        </w:rPr>
      </w:pPr>
      <w:r w:rsidRPr="008A37B9">
        <w:rPr>
          <w:rFonts w:ascii="Arial" w:eastAsia="Times New Roman" w:hAnsi="Arial" w:cs="Arial"/>
          <w:color w:val="2F2F2F"/>
          <w:sz w:val="18"/>
          <w:szCs w:val="18"/>
          <w:lang w:eastAsia="es-MX"/>
        </w:rPr>
        <w:t>EXTRACTO DEL ACUERDO G/JGA/42/2024, DENOMINADO "SUPLENCIA DE MAGISTRADO EN LA PRIMERA PONENCIA DE LA SEGUNDA SALA REGIONAL DEL NORTE-CENTRO II, CON SEDE EN LA CIUDAD DE TORREÓN, ESTADO DE COAHUILA"</w:t>
      </w:r>
    </w:p>
    <w:p w:rsidR="008A37B9" w:rsidRPr="008A37B9" w:rsidRDefault="008A37B9" w:rsidP="008A37B9">
      <w:pPr>
        <w:shd w:val="clear" w:color="auto" w:fill="FFFFFF"/>
        <w:spacing w:after="101" w:line="240" w:lineRule="auto"/>
        <w:ind w:firstLine="288"/>
        <w:jc w:val="both"/>
        <w:rPr>
          <w:rFonts w:ascii="Arial" w:eastAsia="Times New Roman" w:hAnsi="Arial" w:cs="Arial"/>
          <w:color w:val="2F2F2F"/>
          <w:sz w:val="18"/>
          <w:szCs w:val="18"/>
          <w:lang w:eastAsia="es-MX"/>
        </w:rPr>
      </w:pPr>
      <w:r w:rsidRPr="008A37B9">
        <w:rPr>
          <w:rFonts w:ascii="Arial" w:eastAsia="Times New Roman" w:hAnsi="Arial" w:cs="Arial"/>
          <w:color w:val="2F2F2F"/>
          <w:sz w:val="18"/>
          <w:szCs w:val="18"/>
          <w:lang w:eastAsia="es-MX"/>
        </w:rPr>
        <w:t>Con fundamento en lo dispuesto por los artículos 17 y 73 fracción XXIX-H de la Constitución Política de los Estados </w:t>
      </w:r>
      <w:r w:rsidRPr="008A37B9">
        <w:rPr>
          <w:rFonts w:ascii="Arial" w:eastAsia="Times New Roman" w:hAnsi="Arial" w:cs="Arial"/>
          <w:color w:val="000000"/>
          <w:sz w:val="18"/>
          <w:szCs w:val="18"/>
          <w:lang w:eastAsia="es-MX"/>
        </w:rPr>
        <w:t>Unidos Mexicanos; 1 párrafos segundo y quinto, 21, 23, fracciones II, XXIII y XXXIX, de la Ley Orgánica del Tribunal Federal de Justicia Administrativa; así como los diversos 28 y 29 </w:t>
      </w:r>
      <w:r w:rsidRPr="008A37B9">
        <w:rPr>
          <w:rFonts w:ascii="Arial" w:eastAsia="Times New Roman" w:hAnsi="Arial" w:cs="Arial"/>
          <w:color w:val="2F2F2F"/>
          <w:sz w:val="18"/>
          <w:szCs w:val="18"/>
          <w:lang w:eastAsia="es-MX"/>
        </w:rPr>
        <w:t>del Reglamento Interior del Tribunal Federal de Justicia Administrativa; </w:t>
      </w:r>
      <w:r w:rsidRPr="008A37B9">
        <w:rPr>
          <w:rFonts w:ascii="Arial" w:eastAsia="Times New Roman" w:hAnsi="Arial" w:cs="Arial"/>
          <w:b/>
          <w:bCs/>
          <w:color w:val="2F2F2F"/>
          <w:sz w:val="18"/>
          <w:szCs w:val="18"/>
          <w:u w:val="single"/>
          <w:lang w:eastAsia="es-MX"/>
        </w:rPr>
        <w:t>la Junta de Gobierno y Administración, en sesión ordinaria celebrada el 02 de diciembre de 2024, por unanimidad de tres votos a favor, aprobó el Acuerdo G/JGA/42/2024, denominado</w:t>
      </w:r>
      <w:r w:rsidRPr="008A37B9">
        <w:rPr>
          <w:rFonts w:ascii="Arial" w:eastAsia="Times New Roman" w:hAnsi="Arial" w:cs="Arial"/>
          <w:b/>
          <w:bCs/>
          <w:color w:val="2F2F2F"/>
          <w:sz w:val="18"/>
          <w:szCs w:val="18"/>
          <w:lang w:eastAsia="es-MX"/>
        </w:rPr>
        <w:t> "SUPLENCIA DE MAGISTRADO EN LA PRIMERA PONENCIA DE LA SEGUNDA SALA REGIONAL DEL NORTE-CENTRO II, CON SEDE EN LA CIUDAD DE TORREÓN, ESTADO DE COAHUILA", </w:t>
      </w:r>
      <w:r w:rsidRPr="008A37B9">
        <w:rPr>
          <w:rFonts w:ascii="Arial" w:eastAsia="Times New Roman" w:hAnsi="Arial" w:cs="Arial"/>
          <w:color w:val="2F2F2F"/>
          <w:sz w:val="18"/>
          <w:szCs w:val="18"/>
          <w:lang w:eastAsia="es-MX"/>
        </w:rPr>
        <w:t>cuyos puntos más relevantes son:</w:t>
      </w:r>
    </w:p>
    <w:p w:rsidR="008A37B9" w:rsidRPr="008A37B9" w:rsidRDefault="008A37B9" w:rsidP="008A37B9">
      <w:pPr>
        <w:shd w:val="clear" w:color="auto" w:fill="FFFFFF"/>
        <w:spacing w:after="101" w:line="240" w:lineRule="auto"/>
        <w:jc w:val="both"/>
        <w:rPr>
          <w:rFonts w:ascii="Arial" w:eastAsia="Times New Roman" w:hAnsi="Arial" w:cs="Arial"/>
          <w:color w:val="2F2F2F"/>
          <w:sz w:val="18"/>
          <w:szCs w:val="18"/>
          <w:lang w:eastAsia="es-MX"/>
        </w:rPr>
      </w:pPr>
      <w:r w:rsidRPr="008A37B9">
        <w:rPr>
          <w:rFonts w:ascii="Arial" w:eastAsia="Times New Roman" w:hAnsi="Arial" w:cs="Arial"/>
          <w:i/>
          <w:iCs/>
          <w:color w:val="2F2F2F"/>
          <w:sz w:val="18"/>
          <w:szCs w:val="18"/>
          <w:lang w:eastAsia="es-MX"/>
        </w:rPr>
        <w:t>"[</w:t>
      </w:r>
      <w:r w:rsidRPr="008A37B9">
        <w:rPr>
          <w:rFonts w:ascii="Arial" w:eastAsia="Times New Roman" w:hAnsi="Arial" w:cs="Arial"/>
          <w:b/>
          <w:bCs/>
          <w:i/>
          <w:iCs/>
          <w:color w:val="2F2F2F"/>
          <w:sz w:val="18"/>
          <w:szCs w:val="18"/>
          <w:lang w:eastAsia="es-MX"/>
        </w:rPr>
        <w:t>...</w:t>
      </w:r>
      <w:r w:rsidRPr="008A37B9">
        <w:rPr>
          <w:rFonts w:ascii="Arial" w:eastAsia="Times New Roman" w:hAnsi="Arial" w:cs="Arial"/>
          <w:i/>
          <w:iCs/>
          <w:color w:val="2F2F2F"/>
          <w:sz w:val="18"/>
          <w:szCs w:val="18"/>
          <w:lang w:eastAsia="es-MX"/>
        </w:rPr>
        <w:t>]</w:t>
      </w:r>
    </w:p>
    <w:p w:rsidR="008A37B9" w:rsidRPr="008A37B9" w:rsidRDefault="008A37B9" w:rsidP="008A37B9">
      <w:pPr>
        <w:shd w:val="clear" w:color="auto" w:fill="FFFFFF"/>
        <w:spacing w:after="101" w:line="240" w:lineRule="auto"/>
        <w:jc w:val="both"/>
        <w:rPr>
          <w:rFonts w:ascii="Arial" w:eastAsia="Times New Roman" w:hAnsi="Arial" w:cs="Arial"/>
          <w:color w:val="2F2F2F"/>
          <w:sz w:val="18"/>
          <w:szCs w:val="18"/>
          <w:lang w:eastAsia="es-MX"/>
        </w:rPr>
      </w:pPr>
      <w:r w:rsidRPr="008A37B9">
        <w:rPr>
          <w:rFonts w:ascii="Arial" w:eastAsia="Times New Roman" w:hAnsi="Arial" w:cs="Arial"/>
          <w:b/>
          <w:bCs/>
          <w:color w:val="2F2F2F"/>
          <w:sz w:val="18"/>
          <w:szCs w:val="18"/>
          <w:lang w:eastAsia="es-MX"/>
        </w:rPr>
        <w:t>Primero. </w:t>
      </w:r>
      <w:r w:rsidRPr="008A37B9">
        <w:rPr>
          <w:rFonts w:ascii="Arial" w:eastAsia="Times New Roman" w:hAnsi="Arial" w:cs="Arial"/>
          <w:color w:val="2F2F2F"/>
          <w:sz w:val="18"/>
          <w:szCs w:val="18"/>
          <w:lang w:eastAsia="es-MX"/>
        </w:rPr>
        <w:t>De conformidad con lo señalado en el Considerando Séptimo del presente Acuerdo, se aprueba que el Licenciado Carlos Javier García González, Primer Secretario de Acuerdos de la Primera Ponencia de la Segunda Sala Regional del Norte-Centro II, con sede en la Ciudad de Torreón, Estado de Coahuila, supla la falta definitiva de Magistrado en la Ponencia de su adscripción, por lo que en su carácter de suplente de Magistrado Titular adquiere las facultades inherentes y las funciones jurisdiccionales de un Magistrado de Sala Regional, al actuar por Ministerio de Ley.</w:t>
      </w:r>
    </w:p>
    <w:p w:rsidR="008A37B9" w:rsidRPr="008A37B9" w:rsidRDefault="008A37B9" w:rsidP="008A37B9">
      <w:pPr>
        <w:shd w:val="clear" w:color="auto" w:fill="FFFFFF"/>
        <w:spacing w:after="101" w:line="240" w:lineRule="auto"/>
        <w:jc w:val="both"/>
        <w:rPr>
          <w:rFonts w:ascii="Arial" w:eastAsia="Times New Roman" w:hAnsi="Arial" w:cs="Arial"/>
          <w:color w:val="2F2F2F"/>
          <w:sz w:val="18"/>
          <w:szCs w:val="18"/>
          <w:lang w:eastAsia="es-MX"/>
        </w:rPr>
      </w:pPr>
      <w:r w:rsidRPr="008A37B9">
        <w:rPr>
          <w:rFonts w:ascii="Arial" w:eastAsia="Times New Roman" w:hAnsi="Arial" w:cs="Arial"/>
          <w:b/>
          <w:bCs/>
          <w:color w:val="2F2F2F"/>
          <w:sz w:val="18"/>
          <w:szCs w:val="18"/>
          <w:lang w:eastAsia="es-MX"/>
        </w:rPr>
        <w:t>Segundo. </w:t>
      </w:r>
      <w:r w:rsidRPr="008A37B9">
        <w:rPr>
          <w:rFonts w:ascii="Arial" w:eastAsia="Times New Roman" w:hAnsi="Arial" w:cs="Arial"/>
          <w:color w:val="2F2F2F"/>
          <w:sz w:val="18"/>
          <w:szCs w:val="18"/>
          <w:lang w:eastAsia="es-MX"/>
        </w:rPr>
        <w:t>La suplencia antes referida, surtirá efectos a partir del día </w:t>
      </w:r>
      <w:r w:rsidRPr="008A37B9">
        <w:rPr>
          <w:rFonts w:ascii="Arial" w:eastAsia="Times New Roman" w:hAnsi="Arial" w:cs="Arial"/>
          <w:b/>
          <w:bCs/>
          <w:color w:val="2F2F2F"/>
          <w:sz w:val="18"/>
          <w:szCs w:val="18"/>
          <w:lang w:eastAsia="es-MX"/>
        </w:rPr>
        <w:t>01 de enero de 2025</w:t>
      </w:r>
      <w:r w:rsidRPr="008A37B9">
        <w:rPr>
          <w:rFonts w:ascii="Arial" w:eastAsia="Times New Roman" w:hAnsi="Arial" w:cs="Arial"/>
          <w:color w:val="2F2F2F"/>
          <w:sz w:val="18"/>
          <w:szCs w:val="18"/>
          <w:lang w:eastAsia="es-MX"/>
        </w:rPr>
        <w:t> y hasta en tanto la Junta de Gobierno y Administración determine otra situación.</w:t>
      </w:r>
    </w:p>
    <w:p w:rsidR="008A37B9" w:rsidRPr="008A37B9" w:rsidRDefault="008A37B9" w:rsidP="008A37B9">
      <w:pPr>
        <w:shd w:val="clear" w:color="auto" w:fill="FFFFFF"/>
        <w:spacing w:after="101" w:line="240" w:lineRule="auto"/>
        <w:jc w:val="both"/>
        <w:rPr>
          <w:rFonts w:ascii="Arial" w:eastAsia="Times New Roman" w:hAnsi="Arial" w:cs="Arial"/>
          <w:color w:val="2F2F2F"/>
          <w:sz w:val="18"/>
          <w:szCs w:val="18"/>
          <w:lang w:eastAsia="es-MX"/>
        </w:rPr>
      </w:pPr>
      <w:r w:rsidRPr="008A37B9">
        <w:rPr>
          <w:rFonts w:ascii="Arial" w:eastAsia="Times New Roman" w:hAnsi="Arial" w:cs="Arial"/>
          <w:i/>
          <w:iCs/>
          <w:color w:val="2F2F2F"/>
          <w:sz w:val="18"/>
          <w:szCs w:val="18"/>
          <w:lang w:eastAsia="es-MX"/>
        </w:rPr>
        <w:t>[</w:t>
      </w:r>
      <w:r w:rsidRPr="008A37B9">
        <w:rPr>
          <w:rFonts w:ascii="Arial" w:eastAsia="Times New Roman" w:hAnsi="Arial" w:cs="Arial"/>
          <w:b/>
          <w:bCs/>
          <w:i/>
          <w:iCs/>
          <w:color w:val="2F2F2F"/>
          <w:sz w:val="18"/>
          <w:szCs w:val="18"/>
          <w:lang w:eastAsia="es-MX"/>
        </w:rPr>
        <w:t>...</w:t>
      </w:r>
      <w:r w:rsidRPr="008A37B9">
        <w:rPr>
          <w:rFonts w:ascii="Arial" w:eastAsia="Times New Roman" w:hAnsi="Arial" w:cs="Arial"/>
          <w:i/>
          <w:iCs/>
          <w:color w:val="2F2F2F"/>
          <w:sz w:val="18"/>
          <w:szCs w:val="18"/>
          <w:lang w:eastAsia="es-MX"/>
        </w:rPr>
        <w:t>]"</w:t>
      </w:r>
    </w:p>
    <w:p w:rsidR="008A37B9" w:rsidRPr="008A37B9" w:rsidRDefault="008A37B9" w:rsidP="008A37B9">
      <w:pPr>
        <w:shd w:val="clear" w:color="auto" w:fill="FFFFFF"/>
        <w:spacing w:after="101" w:line="240" w:lineRule="auto"/>
        <w:ind w:firstLine="288"/>
        <w:jc w:val="both"/>
        <w:rPr>
          <w:rFonts w:ascii="Arial" w:eastAsia="Times New Roman" w:hAnsi="Arial" w:cs="Arial"/>
          <w:color w:val="2F2F2F"/>
          <w:sz w:val="18"/>
          <w:szCs w:val="18"/>
          <w:lang w:eastAsia="es-MX"/>
        </w:rPr>
      </w:pPr>
      <w:r w:rsidRPr="008A37B9">
        <w:rPr>
          <w:rFonts w:ascii="Arial" w:eastAsia="Times New Roman" w:hAnsi="Arial" w:cs="Arial"/>
          <w:color w:val="000000"/>
          <w:sz w:val="18"/>
          <w:szCs w:val="18"/>
          <w:lang w:eastAsia="es-MX"/>
        </w:rPr>
        <w:t>La versión íntegra de dicho Acuerdo puede ser consultada en las siguientes ligas electrónicas:</w:t>
      </w:r>
    </w:p>
    <w:p w:rsidR="008A37B9" w:rsidRPr="008A37B9" w:rsidRDefault="008A37B9" w:rsidP="008A37B9">
      <w:pPr>
        <w:shd w:val="clear" w:color="auto" w:fill="FFFFFF"/>
        <w:spacing w:after="101" w:line="240" w:lineRule="auto"/>
        <w:ind w:firstLine="288"/>
        <w:jc w:val="both"/>
        <w:rPr>
          <w:rFonts w:ascii="Arial" w:eastAsia="Times New Roman" w:hAnsi="Arial" w:cs="Arial"/>
          <w:color w:val="2F2F2F"/>
          <w:sz w:val="18"/>
          <w:szCs w:val="18"/>
          <w:lang w:eastAsia="es-MX"/>
        </w:rPr>
      </w:pPr>
      <w:r w:rsidRPr="008A37B9">
        <w:rPr>
          <w:rFonts w:ascii="Arial" w:eastAsia="Times New Roman" w:hAnsi="Arial" w:cs="Arial"/>
          <w:color w:val="000000"/>
          <w:sz w:val="18"/>
          <w:szCs w:val="18"/>
          <w:lang w:eastAsia="es-MX"/>
        </w:rPr>
        <w:t>https://www.tfja.gob.mx/media/media/pdf/secretaria_general_de_acuerdos/acuerdos_junta_gobierno/2024/G_JGA_42_2024.pdf</w:t>
      </w:r>
    </w:p>
    <w:p w:rsidR="008A37B9" w:rsidRPr="008A37B9" w:rsidRDefault="008A37B9" w:rsidP="008A37B9">
      <w:pPr>
        <w:shd w:val="clear" w:color="auto" w:fill="FFFFFF"/>
        <w:spacing w:after="101" w:line="240" w:lineRule="auto"/>
        <w:ind w:firstLine="288"/>
        <w:jc w:val="both"/>
        <w:rPr>
          <w:rFonts w:ascii="Arial" w:eastAsia="Times New Roman" w:hAnsi="Arial" w:cs="Arial"/>
          <w:color w:val="2F2F2F"/>
          <w:sz w:val="18"/>
          <w:szCs w:val="18"/>
          <w:lang w:eastAsia="es-MX"/>
        </w:rPr>
      </w:pPr>
      <w:r w:rsidRPr="008A37B9">
        <w:rPr>
          <w:rFonts w:ascii="Arial" w:eastAsia="Times New Roman" w:hAnsi="Arial" w:cs="Arial"/>
          <w:color w:val="000000"/>
          <w:sz w:val="18"/>
          <w:szCs w:val="18"/>
          <w:lang w:eastAsia="es-MX"/>
        </w:rPr>
        <w:t>www.dof.gob.mx/2024/TFJA/G_JGA_42_2024.pdf</w:t>
      </w:r>
    </w:p>
    <w:p w:rsidR="008A37B9" w:rsidRPr="008A37B9" w:rsidRDefault="008A37B9" w:rsidP="008A37B9">
      <w:pPr>
        <w:shd w:val="clear" w:color="auto" w:fill="FFFFFF"/>
        <w:spacing w:after="101" w:line="240" w:lineRule="auto"/>
        <w:ind w:firstLine="288"/>
        <w:jc w:val="both"/>
        <w:rPr>
          <w:rFonts w:ascii="Arial" w:eastAsia="Times New Roman" w:hAnsi="Arial" w:cs="Arial"/>
          <w:color w:val="2F2F2F"/>
          <w:sz w:val="18"/>
          <w:szCs w:val="18"/>
          <w:lang w:eastAsia="es-MX"/>
        </w:rPr>
      </w:pPr>
      <w:r w:rsidRPr="008A37B9">
        <w:rPr>
          <w:rFonts w:ascii="Arial" w:eastAsia="Times New Roman" w:hAnsi="Arial" w:cs="Arial"/>
          <w:color w:val="2F2F2F"/>
          <w:sz w:val="18"/>
          <w:szCs w:val="18"/>
          <w:lang w:eastAsia="es-MX"/>
        </w:rPr>
        <w:t>Firman el Magistrado</w:t>
      </w:r>
      <w:r w:rsidRPr="008A37B9">
        <w:rPr>
          <w:rFonts w:ascii="Arial" w:eastAsia="Times New Roman" w:hAnsi="Arial" w:cs="Arial"/>
          <w:b/>
          <w:bCs/>
          <w:color w:val="2F2F2F"/>
          <w:sz w:val="18"/>
          <w:szCs w:val="18"/>
          <w:lang w:eastAsia="es-MX"/>
        </w:rPr>
        <w:t xml:space="preserve"> Guillermo Valls </w:t>
      </w:r>
      <w:proofErr w:type="spellStart"/>
      <w:r w:rsidRPr="008A37B9">
        <w:rPr>
          <w:rFonts w:ascii="Arial" w:eastAsia="Times New Roman" w:hAnsi="Arial" w:cs="Arial"/>
          <w:b/>
          <w:bCs/>
          <w:color w:val="2F2F2F"/>
          <w:sz w:val="18"/>
          <w:szCs w:val="18"/>
          <w:lang w:eastAsia="es-MX"/>
        </w:rPr>
        <w:t>Esponda</w:t>
      </w:r>
      <w:proofErr w:type="spellEnd"/>
      <w:r w:rsidRPr="008A37B9">
        <w:rPr>
          <w:rFonts w:ascii="Arial" w:eastAsia="Times New Roman" w:hAnsi="Arial" w:cs="Arial"/>
          <w:color w:val="2F2F2F"/>
          <w:sz w:val="18"/>
          <w:szCs w:val="18"/>
          <w:lang w:eastAsia="es-MX"/>
        </w:rPr>
        <w:t>, Presidente de la Junta de Gobierno y Administración del Tribunal Federal de Justicia Administrativa, y la Licenciada</w:t>
      </w:r>
      <w:r w:rsidRPr="008A37B9">
        <w:rPr>
          <w:rFonts w:ascii="Arial" w:eastAsia="Times New Roman" w:hAnsi="Arial" w:cs="Arial"/>
          <w:b/>
          <w:bCs/>
          <w:color w:val="2F2F2F"/>
          <w:sz w:val="18"/>
          <w:szCs w:val="18"/>
          <w:lang w:eastAsia="es-MX"/>
        </w:rPr>
        <w:t> Abigail Calderón Rojas</w:t>
      </w:r>
      <w:r w:rsidRPr="008A37B9">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el artículo 138, fracción XII del Reglamento Interior del Tribunal Federal de Justicia Administrativa.- Ciudad de México, a 02 de diciembre de 2024.- Rúbricas.</w:t>
      </w:r>
    </w:p>
    <w:p w:rsidR="00DA2D88" w:rsidRPr="008A37B9" w:rsidRDefault="00DA2D88" w:rsidP="008A37B9"/>
    <w:sectPr w:rsidR="00DA2D88" w:rsidRPr="008A37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B9"/>
    <w:rsid w:val="008A37B9"/>
    <w:rsid w:val="00DA2D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24441">
      <w:bodyDiv w:val="1"/>
      <w:marLeft w:val="0"/>
      <w:marRight w:val="0"/>
      <w:marTop w:val="0"/>
      <w:marBottom w:val="0"/>
      <w:divBdr>
        <w:top w:val="none" w:sz="0" w:space="0" w:color="auto"/>
        <w:left w:val="none" w:sz="0" w:space="0" w:color="auto"/>
        <w:bottom w:val="none" w:sz="0" w:space="0" w:color="auto"/>
        <w:right w:val="none" w:sz="0" w:space="0" w:color="auto"/>
      </w:divBdr>
      <w:divsChild>
        <w:div w:id="1230311156">
          <w:marLeft w:val="0"/>
          <w:marRight w:val="0"/>
          <w:marTop w:val="0"/>
          <w:marBottom w:val="101"/>
          <w:divBdr>
            <w:top w:val="none" w:sz="0" w:space="0" w:color="auto"/>
            <w:left w:val="none" w:sz="0" w:space="0" w:color="auto"/>
            <w:bottom w:val="none" w:sz="0" w:space="0" w:color="auto"/>
            <w:right w:val="none" w:sz="0" w:space="0" w:color="auto"/>
          </w:divBdr>
        </w:div>
        <w:div w:id="1038093467">
          <w:marLeft w:val="0"/>
          <w:marRight w:val="0"/>
          <w:marTop w:val="0"/>
          <w:marBottom w:val="101"/>
          <w:divBdr>
            <w:top w:val="none" w:sz="0" w:space="0" w:color="auto"/>
            <w:left w:val="none" w:sz="0" w:space="0" w:color="auto"/>
            <w:bottom w:val="none" w:sz="0" w:space="0" w:color="auto"/>
            <w:right w:val="none" w:sz="0" w:space="0" w:color="auto"/>
          </w:divBdr>
        </w:div>
        <w:div w:id="701132151">
          <w:marLeft w:val="720"/>
          <w:marRight w:val="0"/>
          <w:marTop w:val="0"/>
          <w:marBottom w:val="101"/>
          <w:divBdr>
            <w:top w:val="none" w:sz="0" w:space="0" w:color="auto"/>
            <w:left w:val="none" w:sz="0" w:space="0" w:color="auto"/>
            <w:bottom w:val="none" w:sz="0" w:space="0" w:color="auto"/>
            <w:right w:val="none" w:sz="0" w:space="0" w:color="auto"/>
          </w:divBdr>
        </w:div>
        <w:div w:id="101465111">
          <w:marLeft w:val="720"/>
          <w:marRight w:val="0"/>
          <w:marTop w:val="0"/>
          <w:marBottom w:val="101"/>
          <w:divBdr>
            <w:top w:val="none" w:sz="0" w:space="0" w:color="auto"/>
            <w:left w:val="none" w:sz="0" w:space="0" w:color="auto"/>
            <w:bottom w:val="none" w:sz="0" w:space="0" w:color="auto"/>
            <w:right w:val="none" w:sz="0" w:space="0" w:color="auto"/>
          </w:divBdr>
        </w:div>
        <w:div w:id="1417436046">
          <w:marLeft w:val="720"/>
          <w:marRight w:val="0"/>
          <w:marTop w:val="0"/>
          <w:marBottom w:val="101"/>
          <w:divBdr>
            <w:top w:val="none" w:sz="0" w:space="0" w:color="auto"/>
            <w:left w:val="none" w:sz="0" w:space="0" w:color="auto"/>
            <w:bottom w:val="none" w:sz="0" w:space="0" w:color="auto"/>
            <w:right w:val="none" w:sz="0" w:space="0" w:color="auto"/>
          </w:divBdr>
        </w:div>
        <w:div w:id="2045908370">
          <w:marLeft w:val="720"/>
          <w:marRight w:val="0"/>
          <w:marTop w:val="0"/>
          <w:marBottom w:val="101"/>
          <w:divBdr>
            <w:top w:val="none" w:sz="0" w:space="0" w:color="auto"/>
            <w:left w:val="none" w:sz="0" w:space="0" w:color="auto"/>
            <w:bottom w:val="none" w:sz="0" w:space="0" w:color="auto"/>
            <w:right w:val="none" w:sz="0" w:space="0" w:color="auto"/>
          </w:divBdr>
        </w:div>
        <w:div w:id="387799485">
          <w:marLeft w:val="0"/>
          <w:marRight w:val="0"/>
          <w:marTop w:val="0"/>
          <w:marBottom w:val="101"/>
          <w:divBdr>
            <w:top w:val="none" w:sz="0" w:space="0" w:color="auto"/>
            <w:left w:val="none" w:sz="0" w:space="0" w:color="auto"/>
            <w:bottom w:val="none" w:sz="0" w:space="0" w:color="auto"/>
            <w:right w:val="none" w:sz="0" w:space="0" w:color="auto"/>
          </w:divBdr>
        </w:div>
        <w:div w:id="1044521141">
          <w:marLeft w:val="0"/>
          <w:marRight w:val="0"/>
          <w:marTop w:val="0"/>
          <w:marBottom w:val="101"/>
          <w:divBdr>
            <w:top w:val="none" w:sz="0" w:space="0" w:color="auto"/>
            <w:left w:val="none" w:sz="0" w:space="0" w:color="auto"/>
            <w:bottom w:val="none" w:sz="0" w:space="0" w:color="auto"/>
            <w:right w:val="none" w:sz="0" w:space="0" w:color="auto"/>
          </w:divBdr>
        </w:div>
        <w:div w:id="1363939971">
          <w:marLeft w:val="0"/>
          <w:marRight w:val="0"/>
          <w:marTop w:val="0"/>
          <w:marBottom w:val="101"/>
          <w:divBdr>
            <w:top w:val="none" w:sz="0" w:space="0" w:color="auto"/>
            <w:left w:val="none" w:sz="0" w:space="0" w:color="auto"/>
            <w:bottom w:val="none" w:sz="0" w:space="0" w:color="auto"/>
            <w:right w:val="none" w:sz="0" w:space="0" w:color="auto"/>
          </w:divBdr>
        </w:div>
        <w:div w:id="8231615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2024-12-17T06:28:00Z</dcterms:created>
  <dcterms:modified xsi:type="dcterms:W3CDTF">2024-12-17T06:30:00Z</dcterms:modified>
</cp:coreProperties>
</file>