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informa de la publicación de diversas disposiciones normativas de la Comisión Nacional para la Protección y Defensa de los Usuarios de Servicios Financieros en el Sistema de Administración de Normas Internas de la Administración Pública Federal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junio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Comisión Nacional para la Protección y Defensa de los Usuarios de Servicios Financieros.</w:t>
      </w:r>
    </w:p>
    <w:p w:rsidR="00000000" w:rsidDel="00000000" w:rsidP="00000000" w:rsidRDefault="00000000" w:rsidRPr="00000000" w14:paraId="00000006">
      <w:pPr>
        <w:shd w:fill="ffffff" w:val="clear"/>
        <w:spacing w:after="80" w:lineRule="auto"/>
        <w:ind w:firstLine="280"/>
        <w:jc w:val="both"/>
        <w:rPr>
          <w:b w:val="1"/>
          <w:color w:val="2f2f2f"/>
          <w:sz w:val="16"/>
          <w:szCs w:val="16"/>
        </w:rPr>
      </w:pPr>
      <w:r w:rsidDel="00000000" w:rsidR="00000000" w:rsidRPr="00000000">
        <w:rPr>
          <w:b w:val="1"/>
          <w:color w:val="2f2f2f"/>
          <w:sz w:val="16"/>
          <w:szCs w:val="16"/>
          <w:rtl w:val="0"/>
        </w:rPr>
        <w:t xml:space="preserve">AVISO MEDIANTE EL CUAL SE INFORMA DE LA PUBLICACIÓN DE DIVERSAS DISPOSICIONES NORMATIVAS DE LA COMISIÓN NACIONAL PARA LA PROTECCIÓN Y DEFENSA DE LOS USUARIOS DE SERVICIOS FINANCIEROS EN EL SISTEMA DE ADMINISTRACIÓN DE NORMAS INTERNAS DE LA ADMINISTRACIÓN PÚBLICA FEDERAL.</w:t>
      </w:r>
    </w:p>
    <w:p w:rsidR="00000000" w:rsidDel="00000000" w:rsidP="00000000" w:rsidRDefault="00000000" w:rsidRPr="00000000" w14:paraId="00000007">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Denominación de la Norma: </w:t>
      </w:r>
      <w:r w:rsidDel="00000000" w:rsidR="00000000" w:rsidRPr="00000000">
        <w:rPr>
          <w:color w:val="2f2f2f"/>
          <w:sz w:val="18"/>
          <w:szCs w:val="18"/>
          <w:rtl w:val="0"/>
        </w:rPr>
        <w:t xml:space="preserve">Lineamientos para la Prestación del Servicio Social, Prácticas Profesionales y Prácticas para Titulación.</w:t>
      </w:r>
    </w:p>
    <w:p w:rsidR="00000000" w:rsidDel="00000000" w:rsidP="00000000" w:rsidRDefault="00000000" w:rsidRPr="00000000" w14:paraId="00000008">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Emisor: </w:t>
      </w:r>
      <w:r w:rsidDel="00000000" w:rsidR="00000000" w:rsidRPr="00000000">
        <w:rPr>
          <w:color w:val="2f2f2f"/>
          <w:sz w:val="18"/>
          <w:szCs w:val="18"/>
          <w:rtl w:val="0"/>
        </w:rPr>
        <w:t xml:space="preserve">Comisión Nacional para la Protección y Defensa de los Usuarios de Servicios Financieros</w:t>
      </w:r>
    </w:p>
    <w:p w:rsidR="00000000" w:rsidDel="00000000" w:rsidP="00000000" w:rsidRDefault="00000000" w:rsidRPr="00000000" w14:paraId="00000009">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Fecha de emisión:</w:t>
      </w:r>
      <w:r w:rsidDel="00000000" w:rsidR="00000000" w:rsidRPr="00000000">
        <w:rPr>
          <w:color w:val="2f2f2f"/>
          <w:sz w:val="18"/>
          <w:szCs w:val="18"/>
          <w:rtl w:val="0"/>
        </w:rPr>
        <w:t xml:space="preserve"> 10 de diciembre de 2020</w:t>
      </w:r>
    </w:p>
    <w:p w:rsidR="00000000" w:rsidDel="00000000" w:rsidP="00000000" w:rsidRDefault="00000000" w:rsidRPr="00000000" w14:paraId="0000000A">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Materia correspondiente:</w:t>
      </w:r>
      <w:r w:rsidDel="00000000" w:rsidR="00000000" w:rsidRPr="00000000">
        <w:rPr>
          <w:color w:val="2f2f2f"/>
          <w:sz w:val="18"/>
          <w:szCs w:val="18"/>
          <w:rtl w:val="0"/>
        </w:rPr>
        <w:t xml:space="preserve"> Recursos Humanos</w:t>
      </w:r>
    </w:p>
    <w:p w:rsidR="00000000" w:rsidDel="00000000" w:rsidP="00000000" w:rsidRDefault="00000000" w:rsidRPr="00000000" w14:paraId="0000000B">
      <w:pPr>
        <w:shd w:fill="ffffff" w:val="clear"/>
        <w:spacing w:after="80" w:lineRule="auto"/>
        <w:ind w:left="1160" w:hanging="440"/>
        <w:jc w:val="both"/>
        <w:rPr>
          <w:b w:val="1"/>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Denominación de la Norma: Manual del Procedimiento para la Asignación de Suficiencia y Control Presupuestal.</w:t>
      </w:r>
    </w:p>
    <w:p w:rsidR="00000000" w:rsidDel="00000000" w:rsidP="00000000" w:rsidRDefault="00000000" w:rsidRPr="00000000" w14:paraId="0000000C">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Emisor: </w:t>
      </w:r>
      <w:r w:rsidDel="00000000" w:rsidR="00000000" w:rsidRPr="00000000">
        <w:rPr>
          <w:color w:val="2f2f2f"/>
          <w:sz w:val="18"/>
          <w:szCs w:val="18"/>
          <w:rtl w:val="0"/>
        </w:rPr>
        <w:t xml:space="preserve">Comisión Nacional para la Protección y Defensa de los Usuarios de Servicios Financieros</w:t>
      </w:r>
    </w:p>
    <w:p w:rsidR="00000000" w:rsidDel="00000000" w:rsidP="00000000" w:rsidRDefault="00000000" w:rsidRPr="00000000" w14:paraId="0000000D">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Fecha de emisión:</w:t>
      </w:r>
      <w:r w:rsidDel="00000000" w:rsidR="00000000" w:rsidRPr="00000000">
        <w:rPr>
          <w:color w:val="2f2f2f"/>
          <w:sz w:val="18"/>
          <w:szCs w:val="18"/>
          <w:rtl w:val="0"/>
        </w:rPr>
        <w:t xml:space="preserve"> 12 de noviembre de 2020</w:t>
      </w:r>
    </w:p>
    <w:p w:rsidR="00000000" w:rsidDel="00000000" w:rsidP="00000000" w:rsidRDefault="00000000" w:rsidRPr="00000000" w14:paraId="0000000E">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Materia correspondiente:</w:t>
      </w:r>
      <w:r w:rsidDel="00000000" w:rsidR="00000000" w:rsidRPr="00000000">
        <w:rPr>
          <w:color w:val="2f2f2f"/>
          <w:sz w:val="18"/>
          <w:szCs w:val="18"/>
          <w:rtl w:val="0"/>
        </w:rPr>
        <w:t xml:space="preserve"> Recursos Financieros</w:t>
      </w:r>
    </w:p>
    <w:p w:rsidR="00000000" w:rsidDel="00000000" w:rsidP="00000000" w:rsidRDefault="00000000" w:rsidRPr="00000000" w14:paraId="0000000F">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Denominación de la Norma: Políticas, Bases y Lineamientos en materia de Adquisiciones, Arrendamientos y</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Servicios de la CONDUSEF</w:t>
      </w:r>
      <w:r w:rsidDel="00000000" w:rsidR="00000000" w:rsidRPr="00000000">
        <w:rPr>
          <w:color w:val="2f2f2f"/>
          <w:sz w:val="18"/>
          <w:szCs w:val="18"/>
          <w:rtl w:val="0"/>
        </w:rPr>
        <w:t xml:space="preserve">.</w:t>
      </w:r>
    </w:p>
    <w:p w:rsidR="00000000" w:rsidDel="00000000" w:rsidP="00000000" w:rsidRDefault="00000000" w:rsidRPr="00000000" w14:paraId="00000010">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Emisor: </w:t>
      </w:r>
      <w:r w:rsidDel="00000000" w:rsidR="00000000" w:rsidRPr="00000000">
        <w:rPr>
          <w:color w:val="2f2f2f"/>
          <w:sz w:val="18"/>
          <w:szCs w:val="18"/>
          <w:rtl w:val="0"/>
        </w:rPr>
        <w:t xml:space="preserve">Comisión Nacional para la Protección y Defensa de los Usuarios de Servicios Financieros</w:t>
      </w:r>
    </w:p>
    <w:p w:rsidR="00000000" w:rsidDel="00000000" w:rsidP="00000000" w:rsidRDefault="00000000" w:rsidRPr="00000000" w14:paraId="00000011">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Fecha de emisión:</w:t>
      </w:r>
      <w:r w:rsidDel="00000000" w:rsidR="00000000" w:rsidRPr="00000000">
        <w:rPr>
          <w:color w:val="2f2f2f"/>
          <w:sz w:val="18"/>
          <w:szCs w:val="18"/>
          <w:rtl w:val="0"/>
        </w:rPr>
        <w:t xml:space="preserve"> 30 de octubre de 2020</w:t>
      </w:r>
    </w:p>
    <w:p w:rsidR="00000000" w:rsidDel="00000000" w:rsidP="00000000" w:rsidRDefault="00000000" w:rsidRPr="00000000" w14:paraId="00000012">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Materia correspondiente:</w:t>
      </w:r>
      <w:r w:rsidDel="00000000" w:rsidR="00000000" w:rsidRPr="00000000">
        <w:rPr>
          <w:color w:val="2f2f2f"/>
          <w:sz w:val="18"/>
          <w:szCs w:val="18"/>
          <w:rtl w:val="0"/>
        </w:rPr>
        <w:t xml:space="preserve"> Adquisiciones, Arrendamientos y Servicios del Sector Público</w:t>
      </w:r>
    </w:p>
    <w:p w:rsidR="00000000" w:rsidDel="00000000" w:rsidP="00000000" w:rsidRDefault="00000000" w:rsidRPr="00000000" w14:paraId="00000013">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Denominación de la Norma: Lineamientos para la Integración y Funcionamiento del Comité Interno para el Uso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Eficiente de la Energía en la CONDUSEF</w:t>
      </w:r>
      <w:r w:rsidDel="00000000" w:rsidR="00000000" w:rsidRPr="00000000">
        <w:rPr>
          <w:color w:val="2f2f2f"/>
          <w:sz w:val="18"/>
          <w:szCs w:val="18"/>
          <w:rtl w:val="0"/>
        </w:rPr>
        <w:t xml:space="preserve">:</w:t>
      </w:r>
    </w:p>
    <w:p w:rsidR="00000000" w:rsidDel="00000000" w:rsidP="00000000" w:rsidRDefault="00000000" w:rsidRPr="00000000" w14:paraId="00000014">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Emisor: </w:t>
      </w:r>
      <w:r w:rsidDel="00000000" w:rsidR="00000000" w:rsidRPr="00000000">
        <w:rPr>
          <w:color w:val="2f2f2f"/>
          <w:sz w:val="18"/>
          <w:szCs w:val="18"/>
          <w:rtl w:val="0"/>
        </w:rPr>
        <w:t xml:space="preserve">Comisión Nacional para la Protección y Defensa de los Usuarios de Servicios Financieros</w:t>
      </w:r>
    </w:p>
    <w:p w:rsidR="00000000" w:rsidDel="00000000" w:rsidP="00000000" w:rsidRDefault="00000000" w:rsidRPr="00000000" w14:paraId="00000015">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Fecha de emisión:</w:t>
      </w:r>
      <w:r w:rsidDel="00000000" w:rsidR="00000000" w:rsidRPr="00000000">
        <w:rPr>
          <w:color w:val="2f2f2f"/>
          <w:sz w:val="18"/>
          <w:szCs w:val="18"/>
          <w:rtl w:val="0"/>
        </w:rPr>
        <w:t xml:space="preserve"> 10 de febrero de 2020</w:t>
      </w:r>
    </w:p>
    <w:p w:rsidR="00000000" w:rsidDel="00000000" w:rsidP="00000000" w:rsidRDefault="00000000" w:rsidRPr="00000000" w14:paraId="00000016">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Materia correspondiente:</w:t>
      </w:r>
      <w:r w:rsidDel="00000000" w:rsidR="00000000" w:rsidRPr="00000000">
        <w:rPr>
          <w:color w:val="2f2f2f"/>
          <w:sz w:val="18"/>
          <w:szCs w:val="18"/>
          <w:rtl w:val="0"/>
        </w:rPr>
        <w:t xml:space="preserve"> Adquisiciones, Arrendamientos y Servicios del Sector Público.</w:t>
      </w:r>
    </w:p>
    <w:p w:rsidR="00000000" w:rsidDel="00000000" w:rsidP="00000000" w:rsidRDefault="00000000" w:rsidRPr="00000000" w14:paraId="00000017">
      <w:pPr>
        <w:shd w:fill="ffffff" w:val="clear"/>
        <w:spacing w:after="80" w:lineRule="auto"/>
        <w:ind w:left="1160" w:hanging="440"/>
        <w:jc w:val="both"/>
        <w:rPr>
          <w:b w:val="1"/>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Denominación de la Norma: Políticas para el Desarrollo y Mantenimiento de los Sistemas Informáticos.</w:t>
      </w:r>
    </w:p>
    <w:p w:rsidR="00000000" w:rsidDel="00000000" w:rsidP="00000000" w:rsidRDefault="00000000" w:rsidRPr="00000000" w14:paraId="00000018">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Emisor: </w:t>
      </w:r>
      <w:r w:rsidDel="00000000" w:rsidR="00000000" w:rsidRPr="00000000">
        <w:rPr>
          <w:color w:val="2f2f2f"/>
          <w:sz w:val="18"/>
          <w:szCs w:val="18"/>
          <w:rtl w:val="0"/>
        </w:rPr>
        <w:t xml:space="preserve">Comisión Nacional para la Protección y Defensa de los Usuarios de Servicios Financieros</w:t>
      </w:r>
    </w:p>
    <w:p w:rsidR="00000000" w:rsidDel="00000000" w:rsidP="00000000" w:rsidRDefault="00000000" w:rsidRPr="00000000" w14:paraId="00000019">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Fecha de emisión:</w:t>
      </w:r>
      <w:r w:rsidDel="00000000" w:rsidR="00000000" w:rsidRPr="00000000">
        <w:rPr>
          <w:color w:val="2f2f2f"/>
          <w:sz w:val="18"/>
          <w:szCs w:val="18"/>
          <w:rtl w:val="0"/>
        </w:rPr>
        <w:t xml:space="preserve"> 05 de diciembre de 2019</w:t>
      </w:r>
    </w:p>
    <w:p w:rsidR="00000000" w:rsidDel="00000000" w:rsidP="00000000" w:rsidRDefault="00000000" w:rsidRPr="00000000" w14:paraId="0000001A">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Materia correspondiente:</w:t>
      </w:r>
      <w:r w:rsidDel="00000000" w:rsidR="00000000" w:rsidRPr="00000000">
        <w:rPr>
          <w:color w:val="2f2f2f"/>
          <w:sz w:val="18"/>
          <w:szCs w:val="18"/>
          <w:rtl w:val="0"/>
        </w:rPr>
        <w:t xml:space="preserve"> Tecnologías de la Información y Comunicaciones.</w:t>
      </w:r>
    </w:p>
    <w:p w:rsidR="00000000" w:rsidDel="00000000" w:rsidP="00000000" w:rsidRDefault="00000000" w:rsidRPr="00000000" w14:paraId="0000001B">
      <w:pPr>
        <w:shd w:fill="ffffff" w:val="clear"/>
        <w:spacing w:after="80" w:lineRule="auto"/>
        <w:ind w:left="1160" w:hanging="440"/>
        <w:jc w:val="both"/>
        <w:rPr>
          <w:b w:val="1"/>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Denominación de la Norma: Políticas de Seguridad de la Información.</w:t>
      </w:r>
    </w:p>
    <w:p w:rsidR="00000000" w:rsidDel="00000000" w:rsidP="00000000" w:rsidRDefault="00000000" w:rsidRPr="00000000" w14:paraId="0000001C">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Emisor: </w:t>
      </w:r>
      <w:r w:rsidDel="00000000" w:rsidR="00000000" w:rsidRPr="00000000">
        <w:rPr>
          <w:color w:val="2f2f2f"/>
          <w:sz w:val="18"/>
          <w:szCs w:val="18"/>
          <w:rtl w:val="0"/>
        </w:rPr>
        <w:t xml:space="preserve">Comisión Nacional para la Protección y Defensa de los Usuarios de Servicios Financieros</w:t>
      </w:r>
    </w:p>
    <w:p w:rsidR="00000000" w:rsidDel="00000000" w:rsidP="00000000" w:rsidRDefault="00000000" w:rsidRPr="00000000" w14:paraId="0000001D">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Fecha de emisión:</w:t>
      </w:r>
      <w:r w:rsidDel="00000000" w:rsidR="00000000" w:rsidRPr="00000000">
        <w:rPr>
          <w:color w:val="2f2f2f"/>
          <w:sz w:val="18"/>
          <w:szCs w:val="18"/>
          <w:rtl w:val="0"/>
        </w:rPr>
        <w:t xml:space="preserve"> 05 de diciembre de 2019</w:t>
      </w:r>
    </w:p>
    <w:p w:rsidR="00000000" w:rsidDel="00000000" w:rsidP="00000000" w:rsidRDefault="00000000" w:rsidRPr="00000000" w14:paraId="0000001E">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Materia correspondiente:</w:t>
      </w:r>
      <w:r w:rsidDel="00000000" w:rsidR="00000000" w:rsidRPr="00000000">
        <w:rPr>
          <w:color w:val="2f2f2f"/>
          <w:sz w:val="18"/>
          <w:szCs w:val="18"/>
          <w:rtl w:val="0"/>
        </w:rPr>
        <w:t xml:space="preserve"> Tecnologías de la Información y Comunicaciones.</w:t>
      </w:r>
    </w:p>
    <w:p w:rsidR="00000000" w:rsidDel="00000000" w:rsidP="00000000" w:rsidRDefault="00000000" w:rsidRPr="00000000" w14:paraId="0000001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Fundamento Jurídico para la publicación: "ACUERDO por el que se instruye a las dependencias y entidades de la Administración Pública Federal, así como a la Procuraduría General de la República a abstenerse de emitir regulación en las materias que se indican", mismo que fue publicado en el Diario Oficial de la Federación el 19 de agosto de 2010.</w:t>
      </w:r>
    </w:p>
    <w:p w:rsidR="00000000" w:rsidDel="00000000" w:rsidP="00000000" w:rsidRDefault="00000000" w:rsidRPr="00000000" w14:paraId="0000002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"ACUERDO que modifica al diverso por el que se instruye a las dependencias y entidades de la Administración Pública Federal, así como a la Procuraduría General de la República a abstenerse de emitir regulación en las materias que se indican, mismo que fue publicado en el Diario Oficial de la Federación el 19 de agosto de 2010", mismo que fue publicado en el Diario Oficial de la Federación el 21 de agosto de 2012.</w:t>
      </w:r>
    </w:p>
    <w:p w:rsidR="00000000" w:rsidDel="00000000" w:rsidP="00000000" w:rsidRDefault="00000000" w:rsidRPr="00000000" w14:paraId="0000002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a 19 de abril de 2021.- El Vicepresidente de Planeación y Administración, C.P. </w:t>
      </w:r>
      <w:r w:rsidDel="00000000" w:rsidR="00000000" w:rsidRPr="00000000">
        <w:rPr>
          <w:b w:val="1"/>
          <w:color w:val="2f2f2f"/>
          <w:sz w:val="18"/>
          <w:szCs w:val="18"/>
          <w:rtl w:val="0"/>
        </w:rPr>
        <w:t xml:space="preserve">Fernando Enrique Zambrano Suárez</w:t>
      </w:r>
      <w:r w:rsidDel="00000000" w:rsidR="00000000" w:rsidRPr="00000000">
        <w:rPr>
          <w:color w:val="2f2f2f"/>
          <w:sz w:val="18"/>
          <w:szCs w:val="18"/>
          <w:rtl w:val="0"/>
        </w:rPr>
        <w:t xml:space="preserve">.- Rúbrica.</w:t>
      </w:r>
    </w:p>
    <w:p w:rsidR="00000000" w:rsidDel="00000000" w:rsidP="00000000" w:rsidRDefault="00000000" w:rsidRPr="00000000" w14:paraId="0000002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