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466B0">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reforman y adicionan los artículos 13, 16, 21, 32, 55, 73, 76, 78, 82, 89, 123 y 129 de la Constitución Política de los Estados Unidos Mexicanos, en materia de Guardia Nacional.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30</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05E630E">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35BA13F9"/>
    <w:p w14:paraId="7191F88B">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a sus habitantes sabed:</w:t>
      </w:r>
    </w:p>
    <w:p w14:paraId="4F0BD1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14:paraId="7B022D3B">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56657E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w:t>
      </w:r>
      <w:r>
        <w:rPr>
          <w:rFonts w:hint="default" w:ascii="Arial" w:hAnsi="Arial" w:eastAsia="SimSun" w:cs="Arial"/>
          <w:i w:val="0"/>
          <w:iCs w:val="0"/>
          <w:caps w:val="0"/>
          <w:color w:val="2F2F2F"/>
          <w:spacing w:val="0"/>
          <w:kern w:val="0"/>
          <w:sz w:val="16"/>
          <w:szCs w:val="16"/>
          <w:shd w:val="clear" w:fill="FFFFFF"/>
          <w:lang w:val="en-US" w:eastAsia="zh-CN" w:bidi="ar"/>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REFORMADOS Y ADICIONADOS LOS ARTÍCULOS 13, 16, 21, 32, 55, 73, 76, 78, 82, 89, 123 Y 129 DE LA CONSTITUCIÓN POLÍTICA DE LOS ESTADOS UNIDOS MEXICANOS, EN MATERIA DE GUARDIA NACIONAL</w:t>
      </w:r>
    </w:p>
    <w:p w14:paraId="625C97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reforman</w:t>
      </w:r>
      <w:r>
        <w:rPr>
          <w:rFonts w:hint="default" w:ascii="Arial" w:hAnsi="Arial" w:eastAsia="SimSun" w:cs="Arial"/>
          <w:i w:val="0"/>
          <w:iCs w:val="0"/>
          <w:caps w:val="0"/>
          <w:color w:val="2F2F2F"/>
          <w:spacing w:val="0"/>
          <w:kern w:val="0"/>
          <w:sz w:val="18"/>
          <w:szCs w:val="18"/>
          <w:shd w:val="clear" w:fill="FFFFFF"/>
          <w:lang w:val="en-US" w:eastAsia="zh-CN" w:bidi="ar"/>
        </w:rPr>
        <w:t> 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Pr>
          <w:rFonts w:hint="default" w:ascii="Arial" w:hAnsi="Arial" w:eastAsia="SimSun" w:cs="Arial"/>
          <w:b/>
          <w:bCs/>
          <w:i w:val="0"/>
          <w:iCs w:val="0"/>
          <w:caps w:val="0"/>
          <w:color w:val="2F2F2F"/>
          <w:spacing w:val="0"/>
          <w:kern w:val="0"/>
          <w:sz w:val="18"/>
          <w:szCs w:val="18"/>
          <w:shd w:val="clear" w:fill="FFFFFF"/>
          <w:lang w:val="en-US" w:eastAsia="zh-CN" w:bidi="ar"/>
        </w:rPr>
        <w:t>adicionan</w:t>
      </w:r>
      <w:r>
        <w:rPr>
          <w:rFonts w:hint="default" w:ascii="Arial" w:hAnsi="Arial" w:eastAsia="SimSun" w:cs="Arial"/>
          <w:i w:val="0"/>
          <w:iCs w:val="0"/>
          <w:caps w:val="0"/>
          <w:color w:val="2F2F2F"/>
          <w:spacing w:val="0"/>
          <w:kern w:val="0"/>
          <w:sz w:val="18"/>
          <w:szCs w:val="18"/>
          <w:shd w:val="clear" w:fill="FFFFFF"/>
          <w:lang w:val="en-US" w:eastAsia="zh-CN" w:bidi="ar"/>
        </w:rPr>
        <w:t> un párrafo décimo, recorriéndose en su orden los siguientes, al artículo 21 y una fracción XXXI, recorriéndose en su orden la siguiente, al artículo 73 de la Constitución Política de los Estados Unidos Mexicanos, para quedar como sigue:</w:t>
      </w:r>
    </w:p>
    <w:p w14:paraId="71DE7E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13.</w:t>
      </w:r>
      <w:r>
        <w:rPr>
          <w:rFonts w:hint="default" w:ascii="Arial" w:hAnsi="Arial" w:eastAsia="SimSun" w:cs="Arial"/>
          <w:i w:val="0"/>
          <w:iCs w:val="0"/>
          <w:caps w:val="0"/>
          <w:color w:val="2F2F2F"/>
          <w:spacing w:val="0"/>
          <w:kern w:val="0"/>
          <w:sz w:val="18"/>
          <w:szCs w:val="18"/>
          <w:shd w:val="clear" w:fill="FFFFFF"/>
          <w:lang w:val="en-US" w:eastAsia="zh-CN" w:bidi="ar"/>
        </w:rPr>
        <w:t> 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Fuerza Aérea, Armada y Guardia Nacional. Cuando en un delito o falta del orden militar estuviese complicado un paisano, conocerá del caso la autoridad civil que corresponda.</w:t>
      </w:r>
    </w:p>
    <w:p w14:paraId="2DD2EA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16. ...</w:t>
      </w:r>
    </w:p>
    <w:p w14:paraId="27DB9B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639A3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975E1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32FDE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FD44C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8F55E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6B7ED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BF54E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AE7C9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8D6D3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38643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505FE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E4934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CBA7C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0BCE3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5C42A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9200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tiempo de paz ningún miembro de la Fuerza Armada permanente -el Ejército, la Fuerza Aérea, la Armada y la Guardia Nacional- podrá alojarse en casa particular contra la voluntad del dueño, ni imponer prestación alguna. En tiempo de guerra los militares podrán exigir alojamiento, bagajes, alimentos y otras prestaciones, en los términos que establezca la ley marcial correspondiente.</w:t>
      </w:r>
    </w:p>
    <w:p w14:paraId="3F6C09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21.</w:t>
      </w:r>
      <w:r>
        <w:rPr>
          <w:rFonts w:hint="default" w:ascii="Arial" w:hAnsi="Arial" w:eastAsia="SimSun" w:cs="Arial"/>
          <w:i w:val="0"/>
          <w:iCs w:val="0"/>
          <w:caps w:val="0"/>
          <w:color w:val="2F2F2F"/>
          <w:spacing w:val="0"/>
          <w:kern w:val="0"/>
          <w:sz w:val="18"/>
          <w:szCs w:val="18"/>
          <w:shd w:val="clear" w:fill="FFFFFF"/>
          <w:lang w:val="en-US" w:eastAsia="zh-CN" w:bidi="ar"/>
        </w:rPr>
        <w:t> La investigación de los delitos corresponde al Ministerio Público, a las policías y a la Guardia Nacional, en el ámbito de su competencia, las cuales actuarán bajo la conducción y mando de aquél en el ejercicio de esta función.</w:t>
      </w:r>
    </w:p>
    <w:p w14:paraId="310123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02A8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ADA1F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7CA19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07158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753FC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749B0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234C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9F4084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instituciones de seguridad pública serán disciplinadas, profesionales y de carácter civil.</w:t>
      </w:r>
    </w:p>
    <w:p w14:paraId="7E2E3E9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14:paraId="38D38B1D">
      <w:pPr>
        <w:keepNext w:val="0"/>
        <w:keepLines w:val="0"/>
        <w:widowControl/>
        <w:suppressLineNumbers w:val="0"/>
        <w:shd w:val="clear" w:fill="FFFFFF"/>
        <w:spacing w:after="101" w:afterAutospacing="0"/>
        <w:ind w:lef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576AD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 Los fines de la Guardia Nacional son los señalados en el párrafo noveno de este artículo, la coordinación y colaboración con las entidades federativas y Municipios, así como la salvaguarda de los bienes y recursos de la Nación. La ley determinará la estructura orgánica y de dirección de la Guardia Nacional.</w:t>
      </w:r>
    </w:p>
    <w:p w14:paraId="6E99DB1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del ramo de seguridad pública formulará la Estrategia Nacional de Seguridad Pública, y los programas, políticas y acciones respectivos.</w:t>
      </w:r>
    </w:p>
    <w:p w14:paraId="189F672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F206F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32. ...</w:t>
      </w:r>
    </w:p>
    <w:p w14:paraId="442CEA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EBF9F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tiempo de paz, ningún extranjero podrá servir en la Fuerza Armada permanente, ni en las fuerzas de policía o seguridad pública. Para pertenecer al activo del Ejército en tiempo de paz y al de la Armada o al de la Fuerza Aérea o al de la Guardia Nacional en todo momento, o desempeñar cualquier cargo o comisión en ellos, se requiere ser mexicano por nacimiento.</w:t>
      </w:r>
    </w:p>
    <w:p w14:paraId="31EF8B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8303E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DD109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55. </w:t>
      </w:r>
      <w:r>
        <w:rPr>
          <w:rFonts w:hint="default" w:ascii="Arial" w:hAnsi="Arial" w:eastAsia="SimSun" w:cs="Arial"/>
          <w:i w:val="0"/>
          <w:iCs w:val="0"/>
          <w:caps w:val="0"/>
          <w:color w:val="2F2F2F"/>
          <w:spacing w:val="0"/>
          <w:kern w:val="0"/>
          <w:sz w:val="18"/>
          <w:szCs w:val="18"/>
          <w:shd w:val="clear" w:fill="FFFFFF"/>
          <w:lang w:val="en-US" w:eastAsia="zh-CN" w:bidi="ar"/>
        </w:rPr>
        <w:t>Para ser diputado se requiere:</w:t>
      </w:r>
    </w:p>
    <w:p w14:paraId="2CFB1F05">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III. ...</w:t>
      </w:r>
    </w:p>
    <w:p w14:paraId="65793E1B">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estar en servicio activo en el Ejército, Fuerza Aérea, Armada o Guardia Nacional, ni tener mando en la policía o gendarmería rural en el Distrito donde se haga la elección, cuando menos noventa días antes de ella.</w:t>
      </w:r>
    </w:p>
    <w:p w14:paraId="53A34FAB">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VII. ...</w:t>
      </w:r>
    </w:p>
    <w:p w14:paraId="75FEE5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73.</w:t>
      </w:r>
      <w:r>
        <w:rPr>
          <w:rFonts w:hint="default" w:ascii="Arial" w:hAnsi="Arial" w:eastAsia="SimSun" w:cs="Arial"/>
          <w:i w:val="0"/>
          <w:iCs w:val="0"/>
          <w:caps w:val="0"/>
          <w:color w:val="2F2F2F"/>
          <w:spacing w:val="0"/>
          <w:kern w:val="0"/>
          <w:sz w:val="18"/>
          <w:szCs w:val="18"/>
          <w:shd w:val="clear" w:fill="FFFFFF"/>
          <w:lang w:val="en-US" w:eastAsia="zh-CN" w:bidi="ar"/>
        </w:rPr>
        <w:t> El Congreso tiene facultad:</w:t>
      </w:r>
    </w:p>
    <w:p w14:paraId="4CFD748A">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XXIX-Z. ...</w:t>
      </w:r>
    </w:p>
    <w:p w14:paraId="07F805C5">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expedir la legislación única en materia procesal civil y familiar, así como sobre extinción de dominio en los términos del artículo 22 de esta Constitución;</w:t>
      </w:r>
    </w:p>
    <w:p w14:paraId="5D8282C1">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expedir leyes que regulen y establezcan requisitos y límites para la participación del Ejército, Armada y Fuerza Aérea en materia de seguridad interior y en tareas de apoyo a la seguridad pública, y</w:t>
      </w:r>
    </w:p>
    <w:p w14:paraId="6668479D">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expedir todas las leyes que sean necesarias, a objeto de hacer efectivas las facultades anteriores, y todas las otras concedidas por esta Constitución a los Poderes de la Unión.</w:t>
      </w:r>
    </w:p>
    <w:p w14:paraId="3643A3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76.</w:t>
      </w:r>
      <w:r>
        <w:rPr>
          <w:rFonts w:hint="default" w:ascii="Arial" w:hAnsi="Arial" w:eastAsia="SimSun" w:cs="Arial"/>
          <w:i w:val="0"/>
          <w:iCs w:val="0"/>
          <w:caps w:val="0"/>
          <w:color w:val="2F2F2F"/>
          <w:spacing w:val="0"/>
          <w:kern w:val="0"/>
          <w:sz w:val="18"/>
          <w:szCs w:val="18"/>
          <w:shd w:val="clear" w:fill="FFFFFF"/>
          <w:lang w:val="en-US" w:eastAsia="zh-CN" w:bidi="ar"/>
        </w:rPr>
        <w:t> Son facultades exclusivas del Senado:</w:t>
      </w:r>
    </w:p>
    <w:p w14:paraId="624FF506">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3D43FE4">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de los embajadores y cónsules generales; de los empleados superiores del ramo de Relaciones; de los integrantes de los órganos colegiados encargados de la regulación en materia de telecomunicaciones, energía, competencia económica, y coroneles y demás jefes superiores del Ejército, Armada, Fuerza Aérea y Guardia Nacional, en los términos que la ley disponga;</w:t>
      </w:r>
    </w:p>
    <w:p w14:paraId="1CA4053D">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XIV. ...</w:t>
      </w:r>
    </w:p>
    <w:p w14:paraId="5135CA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78. ...</w:t>
      </w:r>
    </w:p>
    <w:p w14:paraId="7FC4E7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4F83ECD">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VI. ...</w:t>
      </w:r>
    </w:p>
    <w:p w14:paraId="6902F2B8">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Ratificar los nombramientos que el Presidente haga de embajadores, cónsules generales, empleados superiores de Hacienda, integrantes del órgano colegiado encargado de la regulación en materia de energía, coroneles y demás jefes superiores del Ejército, Armada, Fuerza Aérea y Guardia Nacional, en los términos que la ley disponga, y</w:t>
      </w:r>
    </w:p>
    <w:p w14:paraId="6F038EC3">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1D8D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82</w:t>
      </w:r>
      <w:r>
        <w:rPr>
          <w:rFonts w:hint="default" w:ascii="Arial" w:hAnsi="Arial" w:eastAsia="SimSun" w:cs="Arial"/>
          <w:i w:val="0"/>
          <w:iCs w:val="0"/>
          <w:caps w:val="0"/>
          <w:color w:val="2F2F2F"/>
          <w:spacing w:val="0"/>
          <w:kern w:val="0"/>
          <w:sz w:val="18"/>
          <w:szCs w:val="18"/>
          <w:shd w:val="clear" w:fill="FFFFFF"/>
          <w:lang w:val="en-US" w:eastAsia="zh-CN" w:bidi="ar"/>
        </w:rPr>
        <w:t>. Para ser Presidente se requiere:</w:t>
      </w:r>
    </w:p>
    <w:p w14:paraId="7C5CB289">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IV. ...</w:t>
      </w:r>
    </w:p>
    <w:p w14:paraId="4AB7E9B4">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estar en servicio activo, en caso de pertenecer al Ejército, Fuerza Aérea, Armada y Guardia Nacional, seis meses antes del día de la elección.</w:t>
      </w:r>
    </w:p>
    <w:p w14:paraId="576B885D">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b/>
          <w:bCs/>
          <w:i w:val="0"/>
          <w:iCs w:val="0"/>
          <w:caps w:val="0"/>
          <w:color w:val="2F2F2F"/>
          <w:spacing w:val="0"/>
          <w:kern w:val="0"/>
          <w:sz w:val="18"/>
          <w:szCs w:val="18"/>
          <w:shd w:val="clear" w:fill="FFFFFF"/>
          <w:lang w:val="en-US" w:eastAsia="zh-CN" w:bidi="ar"/>
        </w:rPr>
        <w:t> VII. ...</w:t>
      </w:r>
    </w:p>
    <w:p w14:paraId="3E5DCD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89.</w:t>
      </w:r>
      <w:r>
        <w:rPr>
          <w:rFonts w:hint="default" w:ascii="Arial" w:hAnsi="Arial" w:eastAsia="SimSun" w:cs="Arial"/>
          <w:i w:val="0"/>
          <w:iCs w:val="0"/>
          <w:caps w:val="0"/>
          <w:color w:val="2F2F2F"/>
          <w:spacing w:val="0"/>
          <w:kern w:val="0"/>
          <w:sz w:val="18"/>
          <w:szCs w:val="18"/>
          <w:shd w:val="clear" w:fill="FFFFFF"/>
          <w:lang w:val="en-US" w:eastAsia="zh-CN" w:bidi="ar"/>
        </w:rPr>
        <w:t> Las facultades y obligaciones del Presidente, son las siguientes:</w:t>
      </w:r>
    </w:p>
    <w:p w14:paraId="0028B1A7">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III. ...</w:t>
      </w:r>
    </w:p>
    <w:p w14:paraId="79F36A0A">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Nombrar, con aprobación del Senado, a los Coroneles y demás oficiales superiores del Ejército, Armada, Fuerza Aérea y Guardia Nacional;</w:t>
      </w:r>
    </w:p>
    <w:p w14:paraId="50F98560">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Nombrar a los demás oficiales del Ejército, Armada, Fuerza Aérea y Guardia Nacional, con arreglo a las leyes;</w:t>
      </w:r>
    </w:p>
    <w:p w14:paraId="7DEA8980">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Preservar la seguridad nacional, en los términos de la ley respectiva, y disponer de la totalidad de la Fuerza Armada permanente, o sea del Ejército, de la Armada, de la Fuerza Aérea y de la Guardia Nacional para la seguridad interior y defensa exterior de la Federación;</w:t>
      </w:r>
    </w:p>
    <w:p w14:paraId="7A6E0FA7">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del Ejército, de la Armada y de la Fuerza Aérea, en tareas de apoyo a la seguridad pública, en los términos que señale la ley;</w:t>
      </w:r>
    </w:p>
    <w:p w14:paraId="060499BB">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XX. ...</w:t>
      </w:r>
    </w:p>
    <w:p w14:paraId="067623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123. ...</w:t>
      </w:r>
    </w:p>
    <w:p w14:paraId="4F23EB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FE3EEF5">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w:t>
      </w:r>
    </w:p>
    <w:p w14:paraId="7CE85D67">
      <w:pPr>
        <w:keepNext w:val="0"/>
        <w:keepLines w:val="0"/>
        <w:widowControl/>
        <w:suppressLineNumbers w:val="0"/>
        <w:shd w:val="clear" w:fill="FFFFFF"/>
        <w:spacing w:after="101"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w:t>
      </w:r>
    </w:p>
    <w:p w14:paraId="3219F96F">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XII. ...</w:t>
      </w:r>
    </w:p>
    <w:p w14:paraId="521134DC">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militares, marinos, integrantes de la Guardia Nacional, personal del servicio exterior, agentes del Ministerio Público, peritos y los miembros de las instituciones policiales, se regirán por sus propias leyes.</w:t>
      </w:r>
    </w:p>
    <w:p w14:paraId="45066140">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55DAFA8">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BEB2F41">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proporcionará a los miembros en el activo del Ejército, Fuerza Aérea, Armada y Guardia Nacional, las prestaciones a que se refiere el inciso f) de la fracción XI de este apartado, en términos similares y a través del organismo encargado de la seguridad social de los componentes de dichas instituciones;</w:t>
      </w:r>
    </w:p>
    <w:p w14:paraId="4E46CA95">
      <w:pPr>
        <w:keepNext w:val="0"/>
        <w:keepLines w:val="0"/>
        <w:widowControl/>
        <w:suppressLineNumbers w:val="0"/>
        <w:shd w:val="clear" w:fill="FFFFFF"/>
        <w:spacing w:after="101" w:afterAutospacing="0"/>
        <w:ind w:left="1584"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bis.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b/>
          <w:bCs/>
          <w:i w:val="0"/>
          <w:iCs w:val="0"/>
          <w:caps w:val="0"/>
          <w:color w:val="2F2F2F"/>
          <w:spacing w:val="0"/>
          <w:kern w:val="0"/>
          <w:sz w:val="18"/>
          <w:szCs w:val="18"/>
          <w:shd w:val="clear" w:fill="FFFFFF"/>
          <w:lang w:val="en-US" w:eastAsia="zh-CN" w:bidi="ar"/>
        </w:rPr>
        <w:t> XIV. ...</w:t>
      </w:r>
    </w:p>
    <w:p w14:paraId="3A37C1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129.</w:t>
      </w:r>
      <w:r>
        <w:rPr>
          <w:rFonts w:hint="default" w:ascii="Arial" w:hAnsi="Arial" w:eastAsia="SimSun" w:cs="Arial"/>
          <w:i w:val="0"/>
          <w:iCs w:val="0"/>
          <w:caps w:val="0"/>
          <w:color w:val="2F2F2F"/>
          <w:spacing w:val="0"/>
          <w:kern w:val="0"/>
          <w:sz w:val="18"/>
          <w:szCs w:val="18"/>
          <w:shd w:val="clear" w:fill="FFFFFF"/>
          <w:lang w:val="en-US" w:eastAsia="zh-CN" w:bidi="ar"/>
        </w:rPr>
        <w:t> 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14:paraId="6EFC8399">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55F46C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entrará en vigor el día siguiente al de su publicación en el Diario Oficial de la Federación.</w:t>
      </w:r>
    </w:p>
    <w:p w14:paraId="508F32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Dentro del plazo de 180 días siguientes a la entrada en vigor de este Decreto, el 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14:paraId="5FD6235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personal militar y naval que integra la Guardia Nacional, será reclasificado de la Fuerza Armada a la que pertenezca a dicha Guardia Nacional; la nueva patente o nombramiento se expedirá con la antigüedad que posea el interesado en su grado, conforme a la escala jerárquica del Ejército y Fuerza Aérea, adicionando su nueva especialidad. Deben respetarse en todo momento los derechos que posea el interesado en la Fuerza Armada de su origen.</w:t>
      </w:r>
    </w:p>
    <w:p w14:paraId="42ADF0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w:t>
      </w:r>
    </w:p>
    <w:p w14:paraId="4950DA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tanto no exista personal con formación de Guardia Nacional con la mencionada jerarquía, dicha designación recaerá en un General de División del Ejército, capacitado en materia de seguridad pública.</w:t>
      </w:r>
    </w:p>
    <w:p w14:paraId="68A409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Los asuntos que se encuentren en trámite a la entrada en vigor del presente Decreto se resolverán conforme a las disposiciones legales vigentes al momento del inicio de su tramitación.</w:t>
      </w:r>
    </w:p>
    <w:p w14:paraId="06F16E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El Ejecutivo Federal dispondrá lo conducente para que:</w:t>
      </w:r>
    </w:p>
    <w:p w14:paraId="5F6788BB">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w:t>
      </w:r>
    </w:p>
    <w:p w14:paraId="74A3A066">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w:t>
      </w:r>
    </w:p>
    <w:p w14:paraId="6399C9BD">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se queden vacantes las plazas de los integrantes de la extinta Policía Federal, la Secretaría del ramo de Seguridad Pública, debe transferir los recursos presupuestales a la Secretaría de la Defensa Nacional.</w:t>
      </w:r>
    </w:p>
    <w:p w14:paraId="4C4A4312">
      <w:pPr>
        <w:keepNext w:val="0"/>
        <w:keepLines w:val="0"/>
        <w:widowControl/>
        <w:suppressLineNumbers w:val="0"/>
        <w:shd w:val="clear" w:fill="FFFFFF"/>
        <w:spacing w:after="101" w:afterAutospacing="0"/>
        <w:ind w:left="1152"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personal naval que actualmente forma parte de la Guardia Nacional permanecerá integrado a esta, conforme a la reclasificación señalada en el Transitorio Tercero del presente Decreto.</w:t>
      </w:r>
    </w:p>
    <w:p w14:paraId="73E205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Séptimo.-</w:t>
      </w:r>
      <w:r>
        <w:rPr>
          <w:rFonts w:hint="default" w:ascii="Arial" w:hAnsi="Arial" w:eastAsia="SimSun" w:cs="Arial"/>
          <w:i w:val="0"/>
          <w:iCs w:val="0"/>
          <w:caps w:val="0"/>
          <w:color w:val="2F2F2F"/>
          <w:spacing w:val="0"/>
          <w:kern w:val="0"/>
          <w:sz w:val="18"/>
          <w:szCs w:val="18"/>
          <w:shd w:val="clear" w:fill="FFFFFF"/>
          <w:lang w:val="en-US" w:eastAsia="zh-CN" w:bidi="ar"/>
        </w:rPr>
        <w:t> Las erogaciones que se generen con motivo de la entrada en vigor del presente Decreto se realizarán con cargo a los presupuestos aprobados a los ejecutores de gasto responsables para el presente ejercicio fiscal, por lo que no se autorizarán recursos adicionales para tales efectos.</w:t>
      </w:r>
    </w:p>
    <w:p w14:paraId="11886E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w:t>
      </w:r>
      <w:r>
        <w:rPr>
          <w:rFonts w:hint="default" w:ascii="Arial" w:hAnsi="Arial" w:eastAsia="SimSun" w:cs="Arial"/>
          <w:i w:val="0"/>
          <w:iCs w:val="0"/>
          <w:caps w:val="0"/>
          <w:color w:val="2F2F2F"/>
          <w:spacing w:val="0"/>
          <w:kern w:val="0"/>
          <w:sz w:val="18"/>
          <w:szCs w:val="18"/>
          <w:shd w:val="clear" w:fill="FFFFFF"/>
          <w:lang w:val="en-US" w:eastAsia="zh-CN" w:bidi="ar"/>
        </w:rPr>
        <w:t> A partir de la entrada en vigor de este Decreto, se derogan todas las disposiciones que se opongan a su contenido, establecidas en leyes secundarias, reglamentos, acuerdos y cualquier otra de carácter administrativo.</w:t>
      </w:r>
    </w:p>
    <w:p w14:paraId="1B8A9C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29 de septiembre de 2024.- Sen. </w:t>
      </w:r>
      <w:r>
        <w:rPr>
          <w:rFonts w:hint="default" w:ascii="Arial" w:hAnsi="Arial" w:eastAsia="SimSun" w:cs="Arial"/>
          <w:b/>
          <w:bCs/>
          <w:i w:val="0"/>
          <w:iCs w:val="0"/>
          <w:caps w:val="0"/>
          <w:color w:val="2F2F2F"/>
          <w:spacing w:val="0"/>
          <w:kern w:val="0"/>
          <w:sz w:val="18"/>
          <w:szCs w:val="18"/>
          <w:shd w:val="clear" w:fill="FFFFFF"/>
          <w:lang w:val="en-US" w:eastAsia="zh-CN" w:bidi="ar"/>
        </w:rPr>
        <w:t>Gerardo Fernández Noroña</w:t>
      </w:r>
      <w:r>
        <w:rPr>
          <w:rFonts w:hint="default" w:ascii="Arial" w:hAnsi="Arial" w:eastAsia="SimSun" w:cs="Arial"/>
          <w:i w:val="0"/>
          <w:iCs w:val="0"/>
          <w:caps w:val="0"/>
          <w:color w:val="2F2F2F"/>
          <w:spacing w:val="0"/>
          <w:kern w:val="0"/>
          <w:sz w:val="18"/>
          <w:szCs w:val="18"/>
          <w:shd w:val="clear" w:fill="FFFFFF"/>
          <w:lang w:val="en-US" w:eastAsia="zh-CN" w:bidi="ar"/>
        </w:rPr>
        <w:t>, Presidente.- Dip. </w:t>
      </w:r>
      <w:r>
        <w:rPr>
          <w:rFonts w:hint="default" w:ascii="Arial" w:hAnsi="Arial" w:eastAsia="SimSun" w:cs="Arial"/>
          <w:b/>
          <w:bCs/>
          <w:i w:val="0"/>
          <w:iCs w:val="0"/>
          <w:caps w:val="0"/>
          <w:color w:val="2F2F2F"/>
          <w:spacing w:val="0"/>
          <w:kern w:val="0"/>
          <w:sz w:val="18"/>
          <w:szCs w:val="18"/>
          <w:shd w:val="clear" w:fill="FFFFFF"/>
          <w:lang w:val="en-US" w:eastAsia="zh-CN" w:bidi="ar"/>
        </w:rPr>
        <w:t>Ifigenia Martha Martínez y Hernández</w:t>
      </w:r>
      <w:r>
        <w:rPr>
          <w:rFonts w:hint="default" w:ascii="Arial" w:hAnsi="Arial" w:eastAsia="SimSun" w:cs="Arial"/>
          <w:i w:val="0"/>
          <w:iCs w:val="0"/>
          <w:caps w:val="0"/>
          <w:color w:val="2F2F2F"/>
          <w:spacing w:val="0"/>
          <w:kern w:val="0"/>
          <w:sz w:val="18"/>
          <w:szCs w:val="18"/>
          <w:shd w:val="clear" w:fill="FFFFFF"/>
          <w:lang w:val="en-US" w:eastAsia="zh-CN" w:bidi="ar"/>
        </w:rPr>
        <w:t>, Presidenta.- Sen. </w:t>
      </w:r>
      <w:r>
        <w:rPr>
          <w:rFonts w:hint="default" w:ascii="Arial" w:hAnsi="Arial" w:eastAsia="SimSun" w:cs="Arial"/>
          <w:b/>
          <w:bCs/>
          <w:i w:val="0"/>
          <w:iCs w:val="0"/>
          <w:caps w:val="0"/>
          <w:color w:val="2F2F2F"/>
          <w:spacing w:val="0"/>
          <w:kern w:val="0"/>
          <w:sz w:val="18"/>
          <w:szCs w:val="18"/>
          <w:shd w:val="clear" w:fill="FFFFFF"/>
          <w:lang w:val="en-US" w:eastAsia="zh-CN" w:bidi="ar"/>
        </w:rPr>
        <w:t>Verónica Noemí Camino Farjat</w:t>
      </w:r>
      <w:r>
        <w:rPr>
          <w:rFonts w:hint="default" w:ascii="Arial" w:hAnsi="Arial" w:eastAsia="SimSun" w:cs="Arial"/>
          <w:i w:val="0"/>
          <w:iCs w:val="0"/>
          <w:caps w:val="0"/>
          <w:color w:val="2F2F2F"/>
          <w:spacing w:val="0"/>
          <w:kern w:val="0"/>
          <w:sz w:val="18"/>
          <w:szCs w:val="18"/>
          <w:shd w:val="clear" w:fill="FFFFFF"/>
          <w:lang w:val="en-US" w:eastAsia="zh-CN" w:bidi="ar"/>
        </w:rPr>
        <w:t>, Secretaria.- Dip. </w:t>
      </w:r>
      <w:r>
        <w:rPr>
          <w:rFonts w:hint="default" w:ascii="Arial" w:hAnsi="Arial" w:eastAsia="SimSun" w:cs="Arial"/>
          <w:b/>
          <w:bCs/>
          <w:i w:val="0"/>
          <w:iCs w:val="0"/>
          <w:caps w:val="0"/>
          <w:color w:val="2F2F2F"/>
          <w:spacing w:val="0"/>
          <w:kern w:val="0"/>
          <w:sz w:val="18"/>
          <w:szCs w:val="18"/>
          <w:shd w:val="clear" w:fill="FFFFFF"/>
          <w:lang w:val="en-US" w:eastAsia="zh-CN" w:bidi="ar"/>
        </w:rPr>
        <w:t>Pedro Vázquez González</w:t>
      </w:r>
      <w:r>
        <w:rPr>
          <w:rFonts w:hint="default" w:ascii="Arial" w:hAnsi="Arial" w:eastAsia="SimSun" w:cs="Arial"/>
          <w:i w:val="0"/>
          <w:iCs w:val="0"/>
          <w:caps w:val="0"/>
          <w:color w:val="2F2F2F"/>
          <w:spacing w:val="0"/>
          <w:kern w:val="0"/>
          <w:sz w:val="18"/>
          <w:szCs w:val="18"/>
          <w:shd w:val="clear" w:fill="FFFFFF"/>
          <w:lang w:val="en-US" w:eastAsia="zh-CN" w:bidi="ar"/>
        </w:rPr>
        <w:t>, Secretario.-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F8E77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30 de septiembre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Gobernación, </w:t>
      </w:r>
      <w:r>
        <w:rPr>
          <w:rFonts w:hint="default" w:ascii="Arial" w:hAnsi="Arial" w:eastAsia="SimSun" w:cs="Arial"/>
          <w:b/>
          <w:bCs/>
          <w:i w:val="0"/>
          <w:iCs w:val="0"/>
          <w:caps w:val="0"/>
          <w:color w:val="2F2F2F"/>
          <w:spacing w:val="0"/>
          <w:kern w:val="0"/>
          <w:sz w:val="18"/>
          <w:szCs w:val="18"/>
          <w:shd w:val="clear" w:fill="FFFFFF"/>
          <w:lang w:val="en-US" w:eastAsia="zh-CN" w:bidi="ar"/>
        </w:rPr>
        <w:t>Luisa María Alcalde Luján</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07C5FE13"/>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E497A"/>
    <w:rsid w:val="4EBE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2024-10-02T14:18:00Z</dcterms:created>
  <dc:creator>Nancy.escutia</dc:creator>
  <cp:lastModifiedBy>Nancy.escutia</cp:lastModifiedBy>
  <dcterms:modified xsi:type="dcterms:W3CDTF">2024-10-02T14:20:00Z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687AA011D6B74B0B9086D461543DB7C1_11</vt:lpwstr>
  </property>
</Properties>
</file>