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Oaxaca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5">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CONVENIO DE</w:t>
      </w:r>
      <w:r w:rsidDel="00000000" w:rsidR="00000000" w:rsidRPr="00000000">
        <w:rPr>
          <w:sz w:val="16"/>
          <w:szCs w:val="16"/>
          <w:rtl w:val="0"/>
        </w:rPr>
        <w:t xml:space="preserve"> COORDINACIÓN </w:t>
      </w:r>
      <w:r w:rsidDel="00000000" w:rsidR="00000000" w:rsidRPr="00000000">
        <w:rPr>
          <w:color w:val="2f2f2f"/>
          <w:sz w:val="16"/>
          <w:szCs w:val="16"/>
          <w:rtl w:val="0"/>
        </w:rPr>
        <w:t xml:space="preserve">PARA EL OTORGAMIENTO DEL SUBSIDIO PARA LA "</w:t>
      </w:r>
      <w:r w:rsidDel="00000000" w:rsidR="00000000" w:rsidRPr="00000000">
        <w:rPr>
          <w:i w:val="1"/>
          <w:color w:val="2f2f2f"/>
          <w:sz w:val="16"/>
          <w:szCs w:val="16"/>
          <w:rtl w:val="0"/>
        </w:rPr>
        <w:t xml:space="preserve">SEGUNDA ETAPA DE IMPLEMENTACIÓN DE LA REFORMA AL SISTEMA DE JUSTICIA LABORAL"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LIBRE Y SOBERANO DE OAXACA, EN ADELANTE "EL GOBIERNO DEL ESTADO", REPRESENTADO POR EL ING. FRANCISCO JAVIER GARCÍA LÓPEZ, SECRETARIO GENERAL DE GOBIERNO E INSTANCIA ESTATAL RESPONSABLE DEL PROYECTO, MAESTRO VICENTE MENDOZA TÉLLEZ GIRÓN SECRETARIO DE FINANZAS Y EL MAGISTRADO EDUARDO PINACHO SÁNCHEZ, PRESIDENTE DEL TRIBUNAL SUPERIOR DE JUSTICIA Y DEL CONSEJO DE LA JUDICATURA DEL ESTADO DE OAXACA; A QUIENES CUANDO ACTÚEN CONJUNTAMENTE SE LES DESIGNARÁ COMO "LAS PARTES", AL TENOR DE LOS SIGUIENTES ANTECEDENTES, DECLARACIONES Y CLAUSULAS:</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 fecha 1 de mayo de 2019, se publicó en el DOF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5 de julio de 2019, en la celebración de la Primera Sesión Ordinaria del Consejo de Coordinación</w:t>
      </w:r>
    </w:p>
    <w:p w:rsidR="00000000" w:rsidDel="00000000" w:rsidP="00000000" w:rsidRDefault="00000000" w:rsidRPr="00000000" w14:paraId="0000000F">
      <w:pPr>
        <w:shd w:fill="ffffff" w:val="clear"/>
        <w:spacing w:after="80" w:lineRule="auto"/>
        <w:jc w:val="both"/>
        <w:rPr>
          <w:color w:val="2f2f2f"/>
          <w:sz w:val="18"/>
          <w:szCs w:val="18"/>
        </w:rPr>
      </w:pPr>
      <w:r w:rsidDel="00000000" w:rsidR="00000000" w:rsidRPr="00000000">
        <w:rPr>
          <w:color w:val="2f2f2f"/>
          <w:sz w:val="18"/>
          <w:szCs w:val="18"/>
          <w:rtl w:val="0"/>
        </w:rPr>
        <w:t xml:space="preserve">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b w:val="1"/>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2">
      <w:pPr>
        <w:shd w:fill="ffffff" w:val="clear"/>
        <w:spacing w:after="80" w:lineRule="auto"/>
        <w:ind w:firstLine="280"/>
        <w:jc w:val="both"/>
        <w:rPr>
          <w:b w:val="1"/>
          <w:i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Derivado de la fracción anterior, el 29 de diciembre de 2020 se publicaron en el DOF los </w:t>
      </w:r>
      <w:r w:rsidDel="00000000" w:rsidR="00000000" w:rsidRPr="00000000">
        <w:rPr>
          <w:b w:val="1"/>
          <w:i w:val="1"/>
          <w:color w:val="2f2f2f"/>
          <w:sz w:val="18"/>
          <w:szCs w:val="18"/>
          <w:rtl w:val="0"/>
        </w:rPr>
        <w:t xml:space="preserve">Lineamientos por los que se establecen las bases y requisitos que deberán cumplir las Entidades Federativas para acceder al subsidio destinado a la segunda etapa de la implementación de la Reforma al Sistema de Justicia Laboral (Lineamientos).</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Que, del cumplimiento en tiempo y forma de los requisitos señalados en los Lineamientos, el Comité de Evaluación determinó aprobar los Proyectos presentados por el Estado de Oaxaca, por lo que autorizó la cantidad de $29,999,999.88 (Veintinueve millones novecientos noventa y nueve mil novecientos noventa y nueve pesos 88/100 M.N.) para la instalación de los Centros de Conciliación y Tribunales Laborales Locales.</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Dicha situación se notificó a la Entidad Federativa mediante resolución del Comité de Evaluación el 19 de abril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7">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1, 26 y 27 de la Constitución Política del Estado Libre y Soberano de Oaxaca, es un Estado libre y soberano en todo lo concerniente a su régimen interior y forma parte integrante de la Federación.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El Ing. Francisco Javier García López, Secretario General de Gobierno, cuenta con facultades para suscribir el instrumento jurídico con fundamento en los artículos 82 y 84 de la Constitución Política del Estado Libre y Soberano de Oaxaca; 27 fracción I y 34 fracciones XXXVII y XLV de la Ley Orgánica del Poder Ejecutivo del Estado de Oaxaca y 08,09 fracciones</w:t>
      </w:r>
      <w:r w:rsidDel="00000000" w:rsidR="00000000" w:rsidRPr="00000000">
        <w:rPr>
          <w:b w:val="1"/>
          <w:color w:val="ff0000"/>
          <w:sz w:val="18"/>
          <w:szCs w:val="18"/>
          <w:rtl w:val="0"/>
        </w:rPr>
        <w:t xml:space="preserve"> </w:t>
      </w:r>
      <w:r w:rsidDel="00000000" w:rsidR="00000000" w:rsidRPr="00000000">
        <w:rPr>
          <w:color w:val="2f2f2f"/>
          <w:sz w:val="18"/>
          <w:szCs w:val="18"/>
          <w:rtl w:val="0"/>
        </w:rPr>
        <w:t xml:space="preserve">XI, XXII, XXXVIII y XLIII del Reglamento Interno de la Secretaría General de Gobierno, quien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II.3. </w:t>
      </w:r>
      <w:r w:rsidDel="00000000" w:rsidR="00000000" w:rsidRPr="00000000">
        <w:rPr>
          <w:color w:val="2f2f2f"/>
          <w:sz w:val="18"/>
          <w:szCs w:val="18"/>
          <w:rtl w:val="0"/>
        </w:rPr>
        <w:t xml:space="preserve">El Mtro. Vicente Mendoza Téllez Girón, Secretario de Finanzas cuenta con facultades para suscribir el instrumento jurídico, con fundamento en los artículos</w:t>
      </w:r>
      <w:r w:rsidDel="00000000" w:rsidR="00000000" w:rsidRPr="00000000">
        <w:rPr>
          <w:strike w:val="1"/>
          <w:color w:val="2f2f2f"/>
          <w:sz w:val="18"/>
          <w:szCs w:val="18"/>
          <w:rtl w:val="0"/>
        </w:rPr>
        <w:t xml:space="preserve"> </w:t>
      </w:r>
      <w:r w:rsidDel="00000000" w:rsidR="00000000" w:rsidRPr="00000000">
        <w:rPr>
          <w:color w:val="2f2f2f"/>
          <w:sz w:val="18"/>
          <w:szCs w:val="18"/>
          <w:rtl w:val="0"/>
        </w:rPr>
        <w:t xml:space="preserve">82 y 84 de la Constitución Política del Estado Libre y Soberano de Oaxaca; 27 fracción XII, y 45 fracción LVI de la Ley Orgánica del Poder Ejecutivo del Estado de Oaxaca, 4 fracción I y 7 fracciones IX y XIV del Reglamento Interno de la Secretaría de Finanzas del Poder Ejecutivo del Estado.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 </w:t>
      </w:r>
      <w:r w:rsidDel="00000000" w:rsidR="00000000" w:rsidRPr="00000000">
        <w:rPr>
          <w:color w:val="2f2f2f"/>
          <w:sz w:val="18"/>
          <w:szCs w:val="18"/>
          <w:rtl w:val="0"/>
        </w:rPr>
        <w:t xml:space="preserve">El Magistrado Eduardo Pinacho Sánchez, Presidente del Tribunal Superior de Justicia y del Consejo de la Judicatura del Estado de Oaxaca cuenta con facultades para suscribir el instrumento jurídico en términos de lo dispuesto en los artículos 1, párrafo tercero, y 17 de la Ley Orgánica del Poder Judicial del Estado de Oaxaca.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II.5.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Para los efectos del presente instrumento, tiene como domicilio legal el ubicado en Ciudad Administrativa "Benemérito de las Américas" Edificio 08, Tercer Nivel, Carretera Oaxaca-Istmo, Km. 11.5, Tlalixtac de Cabrera, Oaxaca, C.P. 68270.</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2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presente Convenio de Coordinación tiene por objeto el otorgamiento de los recursos autorizados al Estado de Oaxaca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ASIGNACIÓN DE LOS RECURSOS. Para el cumplimiento del objeto señalado en la cláusula anterior, "LA SECRETARÍA" asignará la cantidad de $29,999,999.88 (Veintinueve millones novecientos noventa y nueve mil novecientos noventa y nueve pesos 88/100 M.N.) correspondiente al recurso autorizado por el Comité de Evaluación, de los cuales $$13,999,999.88 (Trece millones novecientos noventa y nueve mil novecientos noventa y nueve pesos 88/100 M.N.) serán destinados para la creación de los Centros de Conciliación Locales; y $16,000,000.00 (Dieciséis millones de pesos 00/100 M.N.) para la creación de los Tribunales Laborales Locales.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General de Gobierno y del Poder Judicial del Estado, según corresponda.</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5625"/>
        <w:tblGridChange w:id="0">
          <w:tblGrid>
            <w:gridCol w:w="3180"/>
            <w:gridCol w:w="56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640, OAXACA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sz w:val="18"/>
                <w:szCs w:val="18"/>
              </w:rPr>
            </w:pPr>
            <w:r w:rsidDel="00000000" w:rsidR="00000000" w:rsidRPr="00000000">
              <w:rPr>
                <w:sz w:val="18"/>
                <w:szCs w:val="18"/>
                <w:rtl w:val="0"/>
              </w:rPr>
              <w:t xml:space="preserve">BANCA MERCANTIL DEL NORTE, S.A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sz w:val="18"/>
                <w:szCs w:val="18"/>
              </w:rPr>
            </w:pPr>
            <w:r w:rsidDel="00000000" w:rsidR="00000000" w:rsidRPr="00000000">
              <w:rPr>
                <w:sz w:val="18"/>
                <w:szCs w:val="18"/>
                <w:rtl w:val="0"/>
              </w:rPr>
              <w:t xml:space="preserve">1145413922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sz w:val="18"/>
                <w:szCs w:val="18"/>
              </w:rPr>
            </w:pPr>
            <w:r w:rsidDel="00000000" w:rsidR="00000000" w:rsidRPr="00000000">
              <w:rPr>
                <w:sz w:val="18"/>
                <w:szCs w:val="18"/>
                <w:rtl w:val="0"/>
              </w:rPr>
              <w:t xml:space="preserve">072640011454139221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rtl w:val="0"/>
              </w:rPr>
              <w:t xml:space="preserve">GEO621201KIA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CARRETERA OAXACA-ISTMO KM 11.5 S/N, COL. TLALIXTAC DE CABRERA, C.P 68270, TLALIXTAC DE CABRERA, OAXACA.</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Proyecto para la Implementación de la segunda etapa de la Reforma al Sistema de Justicia Laboral en el Estado de Oaxaca"</w:t>
            </w:r>
          </w:p>
        </w:tc>
      </w:tr>
    </w:tbl>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o su homóloga se compromete a transferir al Poder Judicial del estado la cantidad requerida, en la cuenta que aperturó conforme a lo que establece el numeral Vigésimo segundo, inciso b, y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5625"/>
        <w:tblGridChange w:id="0">
          <w:tblGrid>
            <w:gridCol w:w="3180"/>
            <w:gridCol w:w="56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39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HSBC MÉXICO, S.A.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sz w:val="18"/>
                <w:szCs w:val="18"/>
              </w:rPr>
            </w:pPr>
            <w:r w:rsidDel="00000000" w:rsidR="00000000" w:rsidRPr="00000000">
              <w:rPr>
                <w:sz w:val="18"/>
                <w:szCs w:val="18"/>
                <w:rtl w:val="0"/>
              </w:rPr>
              <w:t xml:space="preserve">4066428855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021610040664288558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rtl w:val="0"/>
              </w:rPr>
              <w:t xml:space="preserve">PJE210316KQ2</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sz w:val="18"/>
                <w:szCs w:val="18"/>
                <w:rtl w:val="0"/>
              </w:rPr>
              <w:t xml:space="preserve">CARRETERA FEDERAL 131 A PUERTO ESCONDIDO KM18, REYES MANTECÓN, OAXACA, C.P 71256</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both"/>
              <w:rPr>
                <w:i w:val="1"/>
                <w:sz w:val="18"/>
                <w:szCs w:val="18"/>
              </w:rPr>
            </w:pPr>
            <w:r w:rsidDel="00000000" w:rsidR="00000000" w:rsidRPr="00000000">
              <w:rPr>
                <w:i w:val="1"/>
                <w:sz w:val="18"/>
                <w:szCs w:val="18"/>
                <w:rtl w:val="0"/>
              </w:rPr>
              <w:t xml:space="preserve">"Proyecto para la creación de Tribunales Laborales Locales en el Estado de Oaxaca"</w:t>
            </w:r>
          </w:p>
        </w:tc>
      </w:tr>
    </w:tbl>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Finanzas, a "LA SECRETARÍA" la solicitud de transferencia de recursos con los requisitos señalados en el numeral Vigésimo quinto, de los Lineamientos.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COMPROMISO DE "LAS PARTES". Además de lo previsto en los Lineamientos, para la realización del objeto del presente Convenio, "LAS PARTES" se comprometen a lo siguiente:</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COMPROMISOS DE "LA SECRETARÍA". "LA SECRETARÍA", a través de la UERSJL, se obliga a:</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COMPROMISOS DE "EL GOBIERNO DEL ESTADO". "EL GOBIERNO DEL ESTADO" se compromete a:</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General de Gobierno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 de octubre de 2021.</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6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7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000000" w:rsidDel="00000000" w:rsidP="00000000" w:rsidRDefault="00000000" w:rsidRPr="00000000" w14:paraId="0000007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7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7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periodo reportado.</w:t>
      </w:r>
    </w:p>
    <w:p w:rsidR="00000000" w:rsidDel="00000000" w:rsidP="00000000" w:rsidRDefault="00000000" w:rsidRPr="00000000" w14:paraId="0000007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5">
      <w:pPr>
        <w:shd w:fill="ffffff" w:val="clear"/>
        <w:spacing w:after="100" w:lineRule="auto"/>
        <w:ind w:left="1440" w:hanging="3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también deberán hacer mención del avance del Proyecto con su debido soporte documental</w:t>
      </w:r>
      <w:r w:rsidDel="00000000" w:rsidR="00000000" w:rsidRPr="00000000">
        <w:rPr>
          <w:b w:val="1"/>
          <w:color w:val="2f2f2f"/>
          <w:sz w:val="18"/>
          <w:szCs w:val="18"/>
          <w:rtl w:val="0"/>
        </w:rPr>
        <w:t xml:space="preserve">.</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o los servidores públicos que fungirán como enlaces entre "LAS PARTES" serán, por "EL GOBIERNO DEL ESTADO" el designado por el Secretario General de Gobierno y el designado por el Presidente del Tribunal Superior de Justicia y del Consejo de la Judicatura del Estado de Oaxaca, y por "LA SECRETARÍA" la persona designada por la UERSJL.</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REINTEGRO DE LOS RECURSOS. 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DECIMA PRIMERA. </w:t>
      </w:r>
      <w:r w:rsidDel="00000000" w:rsidR="00000000" w:rsidRPr="00000000">
        <w:rPr>
          <w:color w:val="2f2f2f"/>
          <w:sz w:val="18"/>
          <w:szCs w:val="18"/>
          <w:rtl w:val="0"/>
        </w:rPr>
        <w:t xml:space="preserve">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adición o eliminación de algún rubro en los Proyectos; y</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montos destinados a cada rubro de los diferentes Proyectos.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SEXTA. </w:t>
      </w:r>
      <w:r w:rsidDel="00000000" w:rsidR="00000000" w:rsidRPr="00000000">
        <w:rPr>
          <w:color w:val="2f2f2f"/>
          <w:sz w:val="18"/>
          <w:szCs w:val="18"/>
          <w:rtl w:val="0"/>
        </w:rPr>
        <w:t xml:space="preserve">TERMINACIÓN ANTICIPADA.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presente Convenio de Coordinación podrá darse por terminado anticipadamente, cuando se presente alguno de los siguientes supuestos:</w:t>
      </w:r>
    </w:p>
    <w:p w:rsidR="00000000" w:rsidDel="00000000" w:rsidP="00000000" w:rsidRDefault="00000000" w:rsidRPr="00000000" w14:paraId="0000009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OCTAVA. </w:t>
      </w:r>
      <w:r w:rsidDel="00000000" w:rsidR="00000000" w:rsidRPr="00000000">
        <w:rPr>
          <w:color w:val="2f2f2f"/>
          <w:sz w:val="18"/>
          <w:szCs w:val="18"/>
          <w:rtl w:val="0"/>
        </w:rPr>
        <w:t xml:space="preserve">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NOVENA. </w:t>
      </w:r>
      <w:r w:rsidDel="00000000" w:rsidR="00000000" w:rsidRPr="00000000">
        <w:rPr>
          <w:color w:val="2f2f2f"/>
          <w:sz w:val="18"/>
          <w:szCs w:val="18"/>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Oaxaca de Juárez, Oaxaca, a los veintitrés días del mes de abril de dos mil veintiuno.- Poder Ejecutivo, STPS: el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El Gobierno del Estado: el Titular de la Secretaría General de Gobierno, Ing. </w:t>
      </w:r>
      <w:r w:rsidDel="00000000" w:rsidR="00000000" w:rsidRPr="00000000">
        <w:rPr>
          <w:b w:val="1"/>
          <w:color w:val="2f2f2f"/>
          <w:sz w:val="18"/>
          <w:szCs w:val="18"/>
          <w:rtl w:val="0"/>
        </w:rPr>
        <w:t xml:space="preserve">Francisco Javier García López</w:t>
      </w:r>
      <w:r w:rsidDel="00000000" w:rsidR="00000000" w:rsidRPr="00000000">
        <w:rPr>
          <w:color w:val="2f2f2f"/>
          <w:sz w:val="18"/>
          <w:szCs w:val="18"/>
          <w:rtl w:val="0"/>
        </w:rPr>
        <w:t xml:space="preserve">.- Rúbrica.- El Titular de la Secretaría de Finanzas, Mtro. </w:t>
      </w:r>
      <w:r w:rsidDel="00000000" w:rsidR="00000000" w:rsidRPr="00000000">
        <w:rPr>
          <w:b w:val="1"/>
          <w:color w:val="2f2f2f"/>
          <w:sz w:val="18"/>
          <w:szCs w:val="18"/>
          <w:rtl w:val="0"/>
        </w:rPr>
        <w:t xml:space="preserve">Vicente Mendoza Téllez Girón</w:t>
      </w:r>
      <w:r w:rsidDel="00000000" w:rsidR="00000000" w:rsidRPr="00000000">
        <w:rPr>
          <w:color w:val="2f2f2f"/>
          <w:sz w:val="18"/>
          <w:szCs w:val="18"/>
          <w:rtl w:val="0"/>
        </w:rPr>
        <w:t xml:space="preserve">.- Rúbrica.- El Presidente del Tribunal Superior de Justicia y del Consejo de la Judicatura del Estado de Oaxaca, Magistrado </w:t>
      </w:r>
      <w:r w:rsidDel="00000000" w:rsidR="00000000" w:rsidRPr="00000000">
        <w:rPr>
          <w:b w:val="1"/>
          <w:color w:val="2f2f2f"/>
          <w:sz w:val="18"/>
          <w:szCs w:val="18"/>
          <w:rtl w:val="0"/>
        </w:rPr>
        <w:t xml:space="preserve">Eduardo Pinacho Sánchez</w:t>
      </w:r>
      <w:r w:rsidDel="00000000" w:rsidR="00000000" w:rsidRPr="00000000">
        <w:rPr>
          <w:color w:val="2f2f2f"/>
          <w:sz w:val="18"/>
          <w:szCs w:val="18"/>
          <w:rtl w:val="0"/>
        </w:rPr>
        <w:t xml:space="preserve">.- Rúbrica.</w:t>
      </w:r>
    </w:p>
    <w:p w:rsidR="00000000" w:rsidDel="00000000" w:rsidP="00000000" w:rsidRDefault="00000000" w:rsidRPr="00000000" w14:paraId="000000A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