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BA4" w:rsidRPr="00554BA4" w:rsidRDefault="00554BA4" w:rsidP="00554BA4">
      <w:pPr>
        <w:jc w:val="center"/>
        <w:rPr>
          <w:rFonts w:ascii="Verdana" w:hAnsi="Verdana"/>
          <w:b/>
          <w:bCs/>
          <w:color w:val="0070C0"/>
          <w:sz w:val="24"/>
          <w:szCs w:val="24"/>
        </w:rPr>
      </w:pPr>
      <w:bookmarkStart w:id="0" w:name="_GoBack"/>
      <w:r w:rsidRPr="00554BA4">
        <w:rPr>
          <w:rFonts w:ascii="Verdana" w:hAnsi="Verdana"/>
          <w:b/>
          <w:bCs/>
          <w:color w:val="0070C0"/>
          <w:sz w:val="24"/>
          <w:szCs w:val="24"/>
        </w:rPr>
        <w:t xml:space="preserve">Resolución que concluye el examen de vigencia de las cuotas compensatorias impuestas a las importaciones de éter </w:t>
      </w:r>
      <w:proofErr w:type="spellStart"/>
      <w:r w:rsidRPr="00554BA4">
        <w:rPr>
          <w:rFonts w:ascii="Verdana" w:hAnsi="Verdana"/>
          <w:b/>
          <w:bCs/>
          <w:color w:val="0070C0"/>
          <w:sz w:val="24"/>
          <w:szCs w:val="24"/>
        </w:rPr>
        <w:t>monobutílico</w:t>
      </w:r>
      <w:proofErr w:type="spellEnd"/>
      <w:r w:rsidRPr="00554BA4">
        <w:rPr>
          <w:rFonts w:ascii="Verdana" w:hAnsi="Verdana"/>
          <w:b/>
          <w:bCs/>
          <w:color w:val="0070C0"/>
          <w:sz w:val="24"/>
          <w:szCs w:val="24"/>
        </w:rPr>
        <w:t xml:space="preserve"> del etilenglicol originarias de los Estados Unidos de América, independien</w:t>
      </w:r>
      <w:r>
        <w:rPr>
          <w:rFonts w:ascii="Verdana" w:hAnsi="Verdana"/>
          <w:b/>
          <w:bCs/>
          <w:color w:val="0070C0"/>
          <w:sz w:val="24"/>
          <w:szCs w:val="24"/>
        </w:rPr>
        <w:t>temente del país de procedencia</w:t>
      </w:r>
    </w:p>
    <w:bookmarkEnd w:id="0"/>
    <w:p w:rsidR="00BF3AEB" w:rsidRDefault="00D41822" w:rsidP="00D41822">
      <w:pPr>
        <w:jc w:val="center"/>
        <w:rPr>
          <w:rFonts w:ascii="Verdana" w:hAnsi="Verdana"/>
          <w:b/>
          <w:bCs/>
          <w:color w:val="0070C0"/>
          <w:sz w:val="24"/>
          <w:szCs w:val="24"/>
        </w:rPr>
      </w:pPr>
      <w:r w:rsidRPr="00D41822">
        <w:rPr>
          <w:rFonts w:ascii="Verdana" w:hAnsi="Verdana"/>
          <w:b/>
          <w:bCs/>
          <w:color w:val="0070C0"/>
          <w:sz w:val="24"/>
          <w:szCs w:val="24"/>
        </w:rPr>
        <w:t xml:space="preserve"> </w:t>
      </w:r>
      <w:r w:rsidR="00046356">
        <w:rPr>
          <w:rFonts w:ascii="Verdana" w:hAnsi="Verdana"/>
          <w:b/>
          <w:bCs/>
          <w:color w:val="0070C0"/>
          <w:sz w:val="24"/>
          <w:szCs w:val="24"/>
        </w:rPr>
        <w:t>(DOF del 6 de marzo de 2018)</w:t>
      </w:r>
    </w:p>
    <w:p w:rsidR="00554BA4" w:rsidRPr="00554BA4" w:rsidRDefault="00554BA4" w:rsidP="00554BA4">
      <w:pPr>
        <w:jc w:val="both"/>
        <w:rPr>
          <w:rFonts w:ascii="Verdana" w:hAnsi="Verdana"/>
          <w:bCs/>
          <w:sz w:val="20"/>
          <w:szCs w:val="24"/>
        </w:rPr>
      </w:pPr>
      <w:r w:rsidRPr="00554BA4">
        <w:rPr>
          <w:rFonts w:ascii="Verdana" w:hAnsi="Verdana"/>
          <w:bCs/>
          <w:sz w:val="20"/>
          <w:szCs w:val="24"/>
        </w:rPr>
        <w:t>Al margen un sello con el Escudo Nacional, que dice: Estados Unidos Mexicanos.- Secretaría de Economía.</w:t>
      </w:r>
    </w:p>
    <w:p w:rsidR="00554BA4" w:rsidRPr="00554BA4" w:rsidRDefault="00554BA4" w:rsidP="00554BA4">
      <w:pPr>
        <w:jc w:val="both"/>
        <w:rPr>
          <w:rFonts w:ascii="Verdana" w:hAnsi="Verdana"/>
          <w:bCs/>
          <w:sz w:val="20"/>
          <w:szCs w:val="24"/>
        </w:rPr>
      </w:pPr>
      <w:r w:rsidRPr="00554BA4">
        <w:rPr>
          <w:rFonts w:ascii="Verdana" w:hAnsi="Verdana"/>
          <w:bCs/>
          <w:sz w:val="20"/>
          <w:szCs w:val="24"/>
          <w:lang w:val="es-ES"/>
        </w:rPr>
        <w:t>RESOLUCIÓN QUE CONCLUYE EL EXAMEN DE VIGENCIA DE LAS CUOTAS COMPENSATORIAS IMPUESTAS A LAS IMPORTACIONES DE ÉTER MONOBUTÍLICO DEL ETILENGLICOL ORIGINARIAS DE LOS ESTADOS UNIDOS DE AMÉRICA, INDEPENDIENTEMENTE DEL PAÍS DE PROCEDENCIA</w:t>
      </w:r>
    </w:p>
    <w:p w:rsidR="00554BA4" w:rsidRPr="00554BA4" w:rsidRDefault="00554BA4" w:rsidP="00554BA4">
      <w:pPr>
        <w:jc w:val="both"/>
        <w:rPr>
          <w:rFonts w:ascii="Verdana" w:hAnsi="Verdana"/>
          <w:bCs/>
          <w:sz w:val="20"/>
          <w:szCs w:val="24"/>
        </w:rPr>
      </w:pPr>
      <w:r w:rsidRPr="00554BA4">
        <w:rPr>
          <w:rFonts w:ascii="Verdana" w:hAnsi="Verdana"/>
          <w:bCs/>
          <w:sz w:val="20"/>
          <w:szCs w:val="24"/>
          <w:lang w:val="es-ES"/>
        </w:rPr>
        <w:t>Visto para resolver el expediente administrativo E.C. 12/17 radicado en la Unidad de Prácticas Comerciales Internacionales de la Secretaría de Economía (la “Secretaría”), se emite la presente Resolución de conformidad con los siguientes</w:t>
      </w:r>
    </w:p>
    <w:p w:rsidR="00554BA4" w:rsidRPr="00554BA4" w:rsidRDefault="00554BA4" w:rsidP="00554BA4">
      <w:pPr>
        <w:jc w:val="both"/>
        <w:rPr>
          <w:rFonts w:ascii="Verdana" w:hAnsi="Verdana"/>
          <w:b/>
          <w:bCs/>
          <w:sz w:val="20"/>
          <w:szCs w:val="24"/>
        </w:rPr>
      </w:pPr>
      <w:r w:rsidRPr="00554BA4">
        <w:rPr>
          <w:rFonts w:ascii="Verdana" w:hAnsi="Verdana"/>
          <w:b/>
          <w:bCs/>
          <w:sz w:val="20"/>
          <w:szCs w:val="24"/>
          <w:lang w:val="es-ES_tradnl"/>
        </w:rPr>
        <w:t>RESULTANDOS</w:t>
      </w:r>
    </w:p>
    <w:p w:rsidR="00554BA4" w:rsidRPr="00554BA4" w:rsidRDefault="00554BA4" w:rsidP="00554BA4">
      <w:pPr>
        <w:jc w:val="both"/>
        <w:rPr>
          <w:rFonts w:ascii="Verdana" w:hAnsi="Verdana"/>
          <w:bCs/>
          <w:sz w:val="20"/>
          <w:szCs w:val="24"/>
        </w:rPr>
      </w:pPr>
      <w:r w:rsidRPr="00554BA4">
        <w:rPr>
          <w:rFonts w:ascii="Verdana" w:hAnsi="Verdana"/>
          <w:b/>
          <w:bCs/>
          <w:sz w:val="20"/>
          <w:szCs w:val="24"/>
          <w:lang w:val="es-ES"/>
        </w:rPr>
        <w:t>A. Resolución final de la investigación antidumping</w:t>
      </w:r>
    </w:p>
    <w:p w:rsidR="00554BA4" w:rsidRPr="00554BA4" w:rsidRDefault="00554BA4" w:rsidP="00554BA4">
      <w:pPr>
        <w:jc w:val="both"/>
        <w:rPr>
          <w:rFonts w:ascii="Verdana" w:hAnsi="Verdana"/>
          <w:bCs/>
          <w:sz w:val="20"/>
          <w:szCs w:val="24"/>
        </w:rPr>
      </w:pPr>
      <w:bookmarkStart w:id="1" w:name="N_Ref412658561"/>
      <w:bookmarkStart w:id="2" w:name="N_Ref412809687"/>
      <w:bookmarkStart w:id="3" w:name="N_Ref412739212"/>
      <w:bookmarkStart w:id="4" w:name="N_Ref487036501"/>
      <w:bookmarkEnd w:id="1"/>
      <w:bookmarkEnd w:id="2"/>
      <w:bookmarkEnd w:id="3"/>
      <w:r w:rsidRPr="00554BA4">
        <w:rPr>
          <w:rFonts w:ascii="Verdana" w:hAnsi="Verdana"/>
          <w:b/>
          <w:bCs/>
          <w:sz w:val="20"/>
          <w:szCs w:val="24"/>
          <w:lang w:val="es-ES"/>
        </w:rPr>
        <w:t>1.</w:t>
      </w:r>
      <w:bookmarkEnd w:id="4"/>
      <w:r w:rsidRPr="00554BA4">
        <w:rPr>
          <w:rFonts w:ascii="Verdana" w:hAnsi="Verdana"/>
          <w:bCs/>
          <w:sz w:val="20"/>
          <w:szCs w:val="24"/>
          <w:lang w:val="es-ES"/>
        </w:rPr>
        <w:t xml:space="preserve"> El 11 de septiembre de 2012 se publicó en el Diario Oficial de la Federación (DOF) la Resolución final de la investigación antidumping sobre las importaciones de éter </w:t>
      </w:r>
      <w:proofErr w:type="spellStart"/>
      <w:r w:rsidRPr="00554BA4">
        <w:rPr>
          <w:rFonts w:ascii="Verdana" w:hAnsi="Verdana"/>
          <w:bCs/>
          <w:sz w:val="20"/>
          <w:szCs w:val="24"/>
          <w:lang w:val="es-ES"/>
        </w:rPr>
        <w:t>monobutílico</w:t>
      </w:r>
      <w:proofErr w:type="spellEnd"/>
      <w:r w:rsidRPr="00554BA4">
        <w:rPr>
          <w:rFonts w:ascii="Verdana" w:hAnsi="Verdana"/>
          <w:bCs/>
          <w:sz w:val="20"/>
          <w:szCs w:val="24"/>
          <w:lang w:val="es-ES"/>
        </w:rPr>
        <w:t xml:space="preserve"> del etilenglicol (“EB”), originarias de los Estados Unidos de América (los “Estados Unidos”), independientemente del país de procedencia (la “Resolución Final”). Mediante dicha Resolución, la Secretaría determinó las siguientes cuotas compensatorias definitivas:</w:t>
      </w:r>
    </w:p>
    <w:p w:rsidR="00554BA4" w:rsidRPr="00554BA4" w:rsidRDefault="00554BA4" w:rsidP="00554BA4">
      <w:pPr>
        <w:jc w:val="both"/>
        <w:rPr>
          <w:rFonts w:ascii="Verdana" w:hAnsi="Verdana"/>
          <w:bCs/>
          <w:sz w:val="20"/>
          <w:szCs w:val="24"/>
        </w:rPr>
      </w:pPr>
      <w:bookmarkStart w:id="5" w:name="N_Ref487125418"/>
      <w:r w:rsidRPr="00554BA4">
        <w:rPr>
          <w:rFonts w:ascii="Verdana" w:hAnsi="Verdana"/>
          <w:b/>
          <w:bCs/>
          <w:sz w:val="20"/>
          <w:szCs w:val="24"/>
          <w:lang w:val="es-ES"/>
        </w:rPr>
        <w:t>a.</w:t>
      </w:r>
      <w:r w:rsidRPr="00554BA4">
        <w:rPr>
          <w:rFonts w:ascii="Verdana" w:hAnsi="Verdana"/>
          <w:bCs/>
          <w:sz w:val="20"/>
          <w:szCs w:val="24"/>
          <w:lang w:val="es-ES"/>
        </w:rPr>
        <w:t xml:space="preserve">      para las importaciones provenientes de Eastman </w:t>
      </w:r>
      <w:proofErr w:type="spellStart"/>
      <w:r w:rsidRPr="00554BA4">
        <w:rPr>
          <w:rFonts w:ascii="Verdana" w:hAnsi="Verdana"/>
          <w:bCs/>
          <w:sz w:val="20"/>
          <w:szCs w:val="24"/>
          <w:lang w:val="es-ES"/>
        </w:rPr>
        <w:t>Chemical</w:t>
      </w:r>
      <w:proofErr w:type="spellEnd"/>
      <w:r w:rsidRPr="00554BA4">
        <w:rPr>
          <w:rFonts w:ascii="Verdana" w:hAnsi="Verdana"/>
          <w:bCs/>
          <w:sz w:val="20"/>
          <w:szCs w:val="24"/>
          <w:lang w:val="es-ES"/>
        </w:rPr>
        <w:t xml:space="preserve"> </w:t>
      </w:r>
      <w:proofErr w:type="spellStart"/>
      <w:r w:rsidRPr="00554BA4">
        <w:rPr>
          <w:rFonts w:ascii="Verdana" w:hAnsi="Verdana"/>
          <w:bCs/>
          <w:sz w:val="20"/>
          <w:szCs w:val="24"/>
          <w:lang w:val="es-ES"/>
        </w:rPr>
        <w:t>Company</w:t>
      </w:r>
      <w:proofErr w:type="spellEnd"/>
      <w:r w:rsidRPr="00554BA4">
        <w:rPr>
          <w:rFonts w:ascii="Verdana" w:hAnsi="Verdana"/>
          <w:bCs/>
          <w:sz w:val="20"/>
          <w:szCs w:val="24"/>
          <w:lang w:val="es-ES"/>
        </w:rPr>
        <w:t xml:space="preserve"> (“Eastman”) de 14.81%;</w:t>
      </w:r>
      <w:bookmarkEnd w:id="5"/>
    </w:p>
    <w:p w:rsidR="00554BA4" w:rsidRPr="00554BA4" w:rsidRDefault="00554BA4" w:rsidP="00554BA4">
      <w:pPr>
        <w:jc w:val="both"/>
        <w:rPr>
          <w:rFonts w:ascii="Verdana" w:hAnsi="Verdana"/>
          <w:bCs/>
          <w:sz w:val="20"/>
          <w:szCs w:val="24"/>
        </w:rPr>
      </w:pPr>
      <w:bookmarkStart w:id="6" w:name="N_Ref487099085"/>
      <w:r w:rsidRPr="00554BA4">
        <w:rPr>
          <w:rFonts w:ascii="Verdana" w:hAnsi="Verdana"/>
          <w:b/>
          <w:bCs/>
          <w:sz w:val="20"/>
          <w:szCs w:val="24"/>
          <w:lang w:val="es-ES"/>
        </w:rPr>
        <w:t>b.      </w:t>
      </w:r>
      <w:r w:rsidRPr="00554BA4">
        <w:rPr>
          <w:rFonts w:ascii="Verdana" w:hAnsi="Verdana"/>
          <w:bCs/>
          <w:sz w:val="20"/>
          <w:szCs w:val="24"/>
          <w:lang w:val="es-ES"/>
        </w:rPr>
        <w:t xml:space="preserve">para las importaciones provenientes de </w:t>
      </w:r>
      <w:proofErr w:type="spellStart"/>
      <w:r w:rsidRPr="00554BA4">
        <w:rPr>
          <w:rFonts w:ascii="Verdana" w:hAnsi="Verdana"/>
          <w:bCs/>
          <w:sz w:val="20"/>
          <w:szCs w:val="24"/>
          <w:lang w:val="es-ES"/>
        </w:rPr>
        <w:t>The</w:t>
      </w:r>
      <w:proofErr w:type="spellEnd"/>
      <w:r w:rsidRPr="00554BA4">
        <w:rPr>
          <w:rFonts w:ascii="Verdana" w:hAnsi="Verdana"/>
          <w:bCs/>
          <w:sz w:val="20"/>
          <w:szCs w:val="24"/>
          <w:lang w:val="es-ES"/>
        </w:rPr>
        <w:t xml:space="preserve"> Dow </w:t>
      </w:r>
      <w:proofErr w:type="spellStart"/>
      <w:r w:rsidRPr="00554BA4">
        <w:rPr>
          <w:rFonts w:ascii="Verdana" w:hAnsi="Verdana"/>
          <w:bCs/>
          <w:sz w:val="20"/>
          <w:szCs w:val="24"/>
          <w:lang w:val="es-ES"/>
        </w:rPr>
        <w:t>Chemical</w:t>
      </w:r>
      <w:proofErr w:type="spellEnd"/>
      <w:r w:rsidRPr="00554BA4">
        <w:rPr>
          <w:rFonts w:ascii="Verdana" w:hAnsi="Verdana"/>
          <w:bCs/>
          <w:sz w:val="20"/>
          <w:szCs w:val="24"/>
          <w:lang w:val="es-ES"/>
        </w:rPr>
        <w:t xml:space="preserve"> </w:t>
      </w:r>
      <w:proofErr w:type="spellStart"/>
      <w:r w:rsidRPr="00554BA4">
        <w:rPr>
          <w:rFonts w:ascii="Verdana" w:hAnsi="Verdana"/>
          <w:bCs/>
          <w:sz w:val="20"/>
          <w:szCs w:val="24"/>
          <w:lang w:val="es-ES"/>
        </w:rPr>
        <w:t>Company</w:t>
      </w:r>
      <w:proofErr w:type="spellEnd"/>
      <w:r w:rsidRPr="00554BA4">
        <w:rPr>
          <w:rFonts w:ascii="Verdana" w:hAnsi="Verdana"/>
          <w:bCs/>
          <w:sz w:val="20"/>
          <w:szCs w:val="24"/>
          <w:lang w:val="es-ES"/>
        </w:rPr>
        <w:t xml:space="preserve"> (“Dow </w:t>
      </w:r>
      <w:proofErr w:type="spellStart"/>
      <w:r w:rsidRPr="00554BA4">
        <w:rPr>
          <w:rFonts w:ascii="Verdana" w:hAnsi="Verdana"/>
          <w:bCs/>
          <w:sz w:val="20"/>
          <w:szCs w:val="24"/>
          <w:lang w:val="es-ES"/>
        </w:rPr>
        <w:t>Chemical</w:t>
      </w:r>
      <w:proofErr w:type="spellEnd"/>
      <w:r w:rsidRPr="00554BA4">
        <w:rPr>
          <w:rFonts w:ascii="Verdana" w:hAnsi="Verdana"/>
          <w:bCs/>
          <w:sz w:val="20"/>
          <w:szCs w:val="24"/>
          <w:lang w:val="es-ES"/>
        </w:rPr>
        <w:t xml:space="preserve">”) y </w:t>
      </w:r>
      <w:proofErr w:type="spellStart"/>
      <w:r w:rsidRPr="00554BA4">
        <w:rPr>
          <w:rFonts w:ascii="Verdana" w:hAnsi="Verdana"/>
          <w:bCs/>
          <w:sz w:val="20"/>
          <w:szCs w:val="24"/>
          <w:lang w:val="es-ES"/>
        </w:rPr>
        <w:t>Union</w:t>
      </w:r>
      <w:proofErr w:type="spellEnd"/>
      <w:r w:rsidRPr="00554BA4">
        <w:rPr>
          <w:rFonts w:ascii="Verdana" w:hAnsi="Verdana"/>
          <w:bCs/>
          <w:sz w:val="20"/>
          <w:szCs w:val="24"/>
          <w:lang w:val="es-ES"/>
        </w:rPr>
        <w:t xml:space="preserve"> </w:t>
      </w:r>
      <w:proofErr w:type="spellStart"/>
      <w:r w:rsidRPr="00554BA4">
        <w:rPr>
          <w:rFonts w:ascii="Verdana" w:hAnsi="Verdana"/>
          <w:bCs/>
          <w:sz w:val="20"/>
          <w:szCs w:val="24"/>
          <w:lang w:val="es-ES"/>
        </w:rPr>
        <w:t>Carbide</w:t>
      </w:r>
      <w:proofErr w:type="spellEnd"/>
      <w:r w:rsidRPr="00554BA4">
        <w:rPr>
          <w:rFonts w:ascii="Verdana" w:hAnsi="Verdana"/>
          <w:bCs/>
          <w:sz w:val="20"/>
          <w:szCs w:val="24"/>
          <w:lang w:val="es-ES"/>
        </w:rPr>
        <w:t xml:space="preserve"> </w:t>
      </w:r>
      <w:proofErr w:type="spellStart"/>
      <w:r w:rsidRPr="00554BA4">
        <w:rPr>
          <w:rFonts w:ascii="Verdana" w:hAnsi="Verdana"/>
          <w:bCs/>
          <w:sz w:val="20"/>
          <w:szCs w:val="24"/>
          <w:lang w:val="es-ES"/>
        </w:rPr>
        <w:t>Corporation</w:t>
      </w:r>
      <w:proofErr w:type="spellEnd"/>
      <w:r w:rsidRPr="00554BA4">
        <w:rPr>
          <w:rFonts w:ascii="Verdana" w:hAnsi="Verdana"/>
          <w:bCs/>
          <w:sz w:val="20"/>
          <w:szCs w:val="24"/>
          <w:lang w:val="es-ES"/>
        </w:rPr>
        <w:t xml:space="preserve"> (“</w:t>
      </w:r>
      <w:proofErr w:type="spellStart"/>
      <w:r w:rsidRPr="00554BA4">
        <w:rPr>
          <w:rFonts w:ascii="Verdana" w:hAnsi="Verdana"/>
          <w:bCs/>
          <w:sz w:val="20"/>
          <w:szCs w:val="24"/>
          <w:lang w:val="es-ES"/>
        </w:rPr>
        <w:t>Union</w:t>
      </w:r>
      <w:proofErr w:type="spellEnd"/>
      <w:r w:rsidRPr="00554BA4">
        <w:rPr>
          <w:rFonts w:ascii="Verdana" w:hAnsi="Verdana"/>
          <w:bCs/>
          <w:sz w:val="20"/>
          <w:szCs w:val="24"/>
          <w:lang w:val="es-ES"/>
        </w:rPr>
        <w:t xml:space="preserve"> </w:t>
      </w:r>
      <w:proofErr w:type="spellStart"/>
      <w:r w:rsidRPr="00554BA4">
        <w:rPr>
          <w:rFonts w:ascii="Verdana" w:hAnsi="Verdana"/>
          <w:bCs/>
          <w:sz w:val="20"/>
          <w:szCs w:val="24"/>
          <w:lang w:val="es-ES"/>
        </w:rPr>
        <w:t>Carbide</w:t>
      </w:r>
      <w:proofErr w:type="spellEnd"/>
      <w:r w:rsidRPr="00554BA4">
        <w:rPr>
          <w:rFonts w:ascii="Verdana" w:hAnsi="Verdana"/>
          <w:bCs/>
          <w:sz w:val="20"/>
          <w:szCs w:val="24"/>
          <w:lang w:val="es-ES"/>
        </w:rPr>
        <w:t>”) de 16.28%, y</w:t>
      </w:r>
      <w:bookmarkEnd w:id="6"/>
    </w:p>
    <w:p w:rsidR="00554BA4" w:rsidRPr="00554BA4" w:rsidRDefault="00554BA4" w:rsidP="00554BA4">
      <w:pPr>
        <w:jc w:val="both"/>
        <w:rPr>
          <w:rFonts w:ascii="Verdana" w:hAnsi="Verdana"/>
          <w:bCs/>
          <w:sz w:val="20"/>
          <w:szCs w:val="24"/>
        </w:rPr>
      </w:pPr>
      <w:r w:rsidRPr="00554BA4">
        <w:rPr>
          <w:rFonts w:ascii="Verdana" w:hAnsi="Verdana"/>
          <w:b/>
          <w:bCs/>
          <w:sz w:val="20"/>
          <w:szCs w:val="24"/>
          <w:lang w:val="es-ES"/>
        </w:rPr>
        <w:t>c.</w:t>
      </w:r>
      <w:r w:rsidRPr="00554BA4">
        <w:rPr>
          <w:rFonts w:ascii="Verdana" w:hAnsi="Verdana"/>
          <w:bCs/>
          <w:sz w:val="20"/>
          <w:szCs w:val="24"/>
          <w:lang w:val="es-ES"/>
        </w:rPr>
        <w:t>      para las importaciones provenientes del resto de los exportadores de 36.64%.</w:t>
      </w:r>
    </w:p>
    <w:p w:rsidR="00554BA4" w:rsidRPr="00554BA4" w:rsidRDefault="00554BA4" w:rsidP="00554BA4">
      <w:pPr>
        <w:jc w:val="both"/>
        <w:rPr>
          <w:rFonts w:ascii="Verdana" w:hAnsi="Verdana"/>
          <w:bCs/>
          <w:sz w:val="20"/>
          <w:szCs w:val="24"/>
        </w:rPr>
      </w:pPr>
      <w:r w:rsidRPr="00554BA4">
        <w:rPr>
          <w:rFonts w:ascii="Verdana" w:hAnsi="Verdana"/>
          <w:b/>
          <w:bCs/>
          <w:sz w:val="20"/>
          <w:szCs w:val="24"/>
          <w:lang w:val="es-ES"/>
        </w:rPr>
        <w:t>B. Revisión de la Resolución Final ante Panel Binacional</w:t>
      </w:r>
    </w:p>
    <w:p w:rsidR="00554BA4" w:rsidRPr="00554BA4" w:rsidRDefault="00554BA4" w:rsidP="00554BA4">
      <w:pPr>
        <w:jc w:val="both"/>
        <w:rPr>
          <w:rFonts w:ascii="Verdana" w:hAnsi="Verdana"/>
          <w:bCs/>
          <w:sz w:val="20"/>
          <w:szCs w:val="24"/>
        </w:rPr>
      </w:pPr>
      <w:r w:rsidRPr="00554BA4">
        <w:rPr>
          <w:rFonts w:ascii="Verdana" w:hAnsi="Verdana"/>
          <w:b/>
          <w:bCs/>
          <w:sz w:val="20"/>
          <w:szCs w:val="24"/>
          <w:lang w:val="es-ES"/>
        </w:rPr>
        <w:t>2.</w:t>
      </w:r>
      <w:r w:rsidRPr="00554BA4">
        <w:rPr>
          <w:rFonts w:ascii="Verdana" w:hAnsi="Verdana"/>
          <w:bCs/>
          <w:sz w:val="20"/>
          <w:szCs w:val="24"/>
          <w:lang w:val="es-ES"/>
        </w:rPr>
        <w:t> El 9 de octubre de 2012 la empresa exportadora Eastman solicitó la revisión de la Resolución Final ante un Panel Binacional establecido de conformidad con el Capítulo XIX del Tratado de Libre Comercio de América del Norte (TLCAN). A dicho procedimiento recayó el número de expediente: MEX-USA-2012-1904-02.</w:t>
      </w:r>
    </w:p>
    <w:p w:rsidR="00554BA4" w:rsidRPr="00554BA4" w:rsidRDefault="00554BA4" w:rsidP="00554BA4">
      <w:pPr>
        <w:jc w:val="both"/>
        <w:rPr>
          <w:rFonts w:ascii="Verdana" w:hAnsi="Verdana"/>
          <w:bCs/>
          <w:sz w:val="20"/>
          <w:szCs w:val="24"/>
        </w:rPr>
      </w:pPr>
      <w:r w:rsidRPr="00554BA4">
        <w:rPr>
          <w:rFonts w:ascii="Verdana" w:hAnsi="Verdana"/>
          <w:b/>
          <w:bCs/>
          <w:sz w:val="20"/>
          <w:szCs w:val="24"/>
          <w:lang w:val="es-ES"/>
        </w:rPr>
        <w:t>3.</w:t>
      </w:r>
      <w:r w:rsidRPr="00554BA4">
        <w:rPr>
          <w:rFonts w:ascii="Verdana" w:hAnsi="Verdana"/>
          <w:bCs/>
          <w:sz w:val="20"/>
          <w:szCs w:val="24"/>
          <w:lang w:val="es-ES"/>
        </w:rPr>
        <w:t xml:space="preserve"> El 17 de diciembre de 2015 se publicó en el DOF la decisión final del Panel Binacional, mediante la cual se determinó confirmar la Resolución Final, salvo en lo relativo a la reclamación de Eastman respecto a la exclusión de dos de sus canales de comercialización, por lo que, en lo que a ello se refiere, devolvió la Resolución Final a </w:t>
      </w:r>
      <w:r w:rsidRPr="00554BA4">
        <w:rPr>
          <w:rFonts w:ascii="Verdana" w:hAnsi="Verdana"/>
          <w:bCs/>
          <w:sz w:val="20"/>
          <w:szCs w:val="24"/>
          <w:lang w:val="es-ES"/>
        </w:rPr>
        <w:lastRenderedPageBreak/>
        <w:t>la Secretaría, a efecto de que adoptara medidas que no sean incompatibles con la decisión del Panel Binacional.</w:t>
      </w:r>
    </w:p>
    <w:p w:rsidR="00554BA4" w:rsidRPr="00554BA4" w:rsidRDefault="00554BA4" w:rsidP="00554BA4">
      <w:pPr>
        <w:jc w:val="both"/>
        <w:rPr>
          <w:rFonts w:ascii="Verdana" w:hAnsi="Verdana"/>
          <w:bCs/>
          <w:sz w:val="20"/>
          <w:szCs w:val="24"/>
        </w:rPr>
      </w:pPr>
      <w:r w:rsidRPr="00554BA4">
        <w:rPr>
          <w:rFonts w:ascii="Verdana" w:hAnsi="Verdana"/>
          <w:b/>
          <w:bCs/>
          <w:sz w:val="20"/>
          <w:szCs w:val="24"/>
          <w:lang w:val="es-ES"/>
        </w:rPr>
        <w:t>4. </w:t>
      </w:r>
      <w:r w:rsidRPr="00554BA4">
        <w:rPr>
          <w:rFonts w:ascii="Verdana" w:hAnsi="Verdana"/>
          <w:bCs/>
          <w:sz w:val="20"/>
          <w:szCs w:val="24"/>
          <w:lang w:val="es-ES"/>
        </w:rPr>
        <w:t>El 10 de mayo de 2017 se publicó en el DOF la Resolución por la que se da cumplimiento a la decisión final del Panel Binacional. Mediante dicha Resolución, se modificó la cuota compensatoria definitiva a que se refiere el punto 1 inciso a de la presente Resolución, de 14.81% a 9.30% para las importaciones provenientes de Eastman.</w:t>
      </w:r>
    </w:p>
    <w:p w:rsidR="00554BA4" w:rsidRPr="00554BA4" w:rsidRDefault="00554BA4" w:rsidP="00554BA4">
      <w:pPr>
        <w:jc w:val="both"/>
        <w:rPr>
          <w:rFonts w:ascii="Verdana" w:hAnsi="Verdana"/>
          <w:bCs/>
          <w:sz w:val="20"/>
          <w:szCs w:val="24"/>
        </w:rPr>
      </w:pPr>
      <w:r w:rsidRPr="00554BA4">
        <w:rPr>
          <w:rFonts w:ascii="Verdana" w:hAnsi="Verdana"/>
          <w:b/>
          <w:bCs/>
          <w:sz w:val="20"/>
          <w:szCs w:val="24"/>
          <w:lang w:val="es-ES"/>
        </w:rPr>
        <w:t>C. Revisión de cuotas compensatorias</w:t>
      </w:r>
    </w:p>
    <w:p w:rsidR="00554BA4" w:rsidRPr="00554BA4" w:rsidRDefault="00554BA4" w:rsidP="00554BA4">
      <w:pPr>
        <w:jc w:val="both"/>
        <w:rPr>
          <w:rFonts w:ascii="Verdana" w:hAnsi="Verdana"/>
          <w:bCs/>
          <w:sz w:val="20"/>
          <w:szCs w:val="24"/>
        </w:rPr>
      </w:pPr>
      <w:bookmarkStart w:id="7" w:name="N_Ref487105341"/>
      <w:r w:rsidRPr="00554BA4">
        <w:rPr>
          <w:rFonts w:ascii="Verdana" w:hAnsi="Verdana"/>
          <w:b/>
          <w:bCs/>
          <w:sz w:val="20"/>
          <w:szCs w:val="24"/>
          <w:lang w:val="es-ES"/>
        </w:rPr>
        <w:t>5.</w:t>
      </w:r>
      <w:bookmarkEnd w:id="7"/>
      <w:r w:rsidRPr="00554BA4">
        <w:rPr>
          <w:rFonts w:ascii="Verdana" w:hAnsi="Verdana"/>
          <w:bCs/>
          <w:sz w:val="20"/>
          <w:szCs w:val="24"/>
          <w:lang w:val="es-ES"/>
        </w:rPr>
        <w:t> El 25 de mayo de 2016 se publicó en el DOF la Resolución final de la revisión (la “Resolución Final de la Revisión”), mediante la cual se determinan las siguientes cuotas compensatorias:</w:t>
      </w:r>
    </w:p>
    <w:p w:rsidR="00554BA4" w:rsidRPr="00554BA4" w:rsidRDefault="00554BA4" w:rsidP="00554BA4">
      <w:pPr>
        <w:jc w:val="both"/>
        <w:rPr>
          <w:rFonts w:ascii="Verdana" w:hAnsi="Verdana"/>
          <w:bCs/>
          <w:sz w:val="20"/>
          <w:szCs w:val="24"/>
        </w:rPr>
      </w:pPr>
      <w:r w:rsidRPr="00554BA4">
        <w:rPr>
          <w:rFonts w:ascii="Verdana" w:hAnsi="Verdana"/>
          <w:b/>
          <w:bCs/>
          <w:sz w:val="20"/>
          <w:szCs w:val="24"/>
          <w:lang w:val="es-ES"/>
        </w:rPr>
        <w:t>a.</w:t>
      </w:r>
      <w:r w:rsidRPr="00554BA4">
        <w:rPr>
          <w:rFonts w:ascii="Verdana" w:hAnsi="Verdana"/>
          <w:bCs/>
          <w:sz w:val="20"/>
          <w:szCs w:val="24"/>
          <w:lang w:val="es-ES"/>
        </w:rPr>
        <w:t>      28.43% para las importaciones provenientes de Eastman;</w:t>
      </w:r>
    </w:p>
    <w:p w:rsidR="00554BA4" w:rsidRPr="00554BA4" w:rsidRDefault="00554BA4" w:rsidP="00554BA4">
      <w:pPr>
        <w:jc w:val="both"/>
        <w:rPr>
          <w:rFonts w:ascii="Verdana" w:hAnsi="Verdana"/>
          <w:bCs/>
          <w:sz w:val="20"/>
          <w:szCs w:val="24"/>
        </w:rPr>
      </w:pPr>
      <w:r w:rsidRPr="00554BA4">
        <w:rPr>
          <w:rFonts w:ascii="Verdana" w:hAnsi="Verdana"/>
          <w:b/>
          <w:bCs/>
          <w:sz w:val="20"/>
          <w:szCs w:val="24"/>
          <w:lang w:val="es-ES"/>
        </w:rPr>
        <w:t>b.      </w:t>
      </w:r>
      <w:r w:rsidRPr="00554BA4">
        <w:rPr>
          <w:rFonts w:ascii="Verdana" w:hAnsi="Verdana"/>
          <w:bCs/>
          <w:sz w:val="20"/>
          <w:szCs w:val="24"/>
          <w:lang w:val="es-ES"/>
        </w:rPr>
        <w:t xml:space="preserve">no se aplicará la cuota compensatoria a que se refiere el punto 1 inciso b de la presente Resolución, a las importaciones provenientes de Dow </w:t>
      </w:r>
      <w:proofErr w:type="spellStart"/>
      <w:r w:rsidRPr="00554BA4">
        <w:rPr>
          <w:rFonts w:ascii="Verdana" w:hAnsi="Verdana"/>
          <w:bCs/>
          <w:sz w:val="20"/>
          <w:szCs w:val="24"/>
          <w:lang w:val="es-ES"/>
        </w:rPr>
        <w:t>Chemical</w:t>
      </w:r>
      <w:proofErr w:type="spellEnd"/>
      <w:r w:rsidRPr="00554BA4">
        <w:rPr>
          <w:rFonts w:ascii="Verdana" w:hAnsi="Verdana"/>
          <w:bCs/>
          <w:sz w:val="20"/>
          <w:szCs w:val="24"/>
          <w:lang w:val="es-ES"/>
        </w:rPr>
        <w:t xml:space="preserve"> y </w:t>
      </w:r>
      <w:proofErr w:type="spellStart"/>
      <w:r w:rsidRPr="00554BA4">
        <w:rPr>
          <w:rFonts w:ascii="Verdana" w:hAnsi="Verdana"/>
          <w:bCs/>
          <w:sz w:val="20"/>
          <w:szCs w:val="24"/>
          <w:lang w:val="es-ES"/>
        </w:rPr>
        <w:t>Union</w:t>
      </w:r>
      <w:proofErr w:type="spellEnd"/>
      <w:r w:rsidRPr="00554BA4">
        <w:rPr>
          <w:rFonts w:ascii="Verdana" w:hAnsi="Verdana"/>
          <w:bCs/>
          <w:sz w:val="20"/>
          <w:szCs w:val="24"/>
          <w:lang w:val="es-ES"/>
        </w:rPr>
        <w:t xml:space="preserve"> </w:t>
      </w:r>
      <w:proofErr w:type="spellStart"/>
      <w:r w:rsidRPr="00554BA4">
        <w:rPr>
          <w:rFonts w:ascii="Verdana" w:hAnsi="Verdana"/>
          <w:bCs/>
          <w:sz w:val="20"/>
          <w:szCs w:val="24"/>
          <w:lang w:val="es-ES"/>
        </w:rPr>
        <w:t>Carbide</w:t>
      </w:r>
      <w:proofErr w:type="spellEnd"/>
      <w:r w:rsidRPr="00554BA4">
        <w:rPr>
          <w:rFonts w:ascii="Verdana" w:hAnsi="Verdana"/>
          <w:bCs/>
          <w:sz w:val="20"/>
          <w:szCs w:val="24"/>
          <w:lang w:val="es-ES"/>
        </w:rPr>
        <w:t>, y</w:t>
      </w:r>
    </w:p>
    <w:p w:rsidR="00554BA4" w:rsidRPr="00554BA4" w:rsidRDefault="00554BA4" w:rsidP="00554BA4">
      <w:pPr>
        <w:jc w:val="both"/>
        <w:rPr>
          <w:rFonts w:ascii="Verdana" w:hAnsi="Verdana"/>
          <w:bCs/>
          <w:sz w:val="20"/>
          <w:szCs w:val="24"/>
        </w:rPr>
      </w:pPr>
      <w:r w:rsidRPr="00554BA4">
        <w:rPr>
          <w:rFonts w:ascii="Verdana" w:hAnsi="Verdana"/>
          <w:b/>
          <w:bCs/>
          <w:sz w:val="20"/>
          <w:szCs w:val="24"/>
          <w:lang w:val="es-ES"/>
        </w:rPr>
        <w:t>c.</w:t>
      </w:r>
      <w:r w:rsidRPr="00554BA4">
        <w:rPr>
          <w:rFonts w:ascii="Verdana" w:hAnsi="Verdana"/>
          <w:bCs/>
          <w:sz w:val="20"/>
          <w:szCs w:val="24"/>
          <w:lang w:val="es-ES"/>
        </w:rPr>
        <w:t>      28.43% para las importaciones provenientes de los demás exportadores.</w:t>
      </w:r>
    </w:p>
    <w:p w:rsidR="00554BA4" w:rsidRPr="00554BA4" w:rsidRDefault="00554BA4" w:rsidP="00554BA4">
      <w:pPr>
        <w:jc w:val="both"/>
        <w:rPr>
          <w:rFonts w:ascii="Verdana" w:hAnsi="Verdana"/>
          <w:bCs/>
          <w:sz w:val="20"/>
          <w:szCs w:val="24"/>
        </w:rPr>
      </w:pPr>
      <w:r w:rsidRPr="00554BA4">
        <w:rPr>
          <w:rFonts w:ascii="Verdana" w:hAnsi="Verdana"/>
          <w:b/>
          <w:bCs/>
          <w:sz w:val="20"/>
          <w:szCs w:val="24"/>
          <w:lang w:val="es-ES"/>
        </w:rPr>
        <w:t>D. Revisión de la Resolución Final de la Revisión ante Panel Binacional</w:t>
      </w:r>
    </w:p>
    <w:p w:rsidR="00554BA4" w:rsidRPr="00554BA4" w:rsidRDefault="00554BA4" w:rsidP="00554BA4">
      <w:pPr>
        <w:jc w:val="both"/>
        <w:rPr>
          <w:rFonts w:ascii="Verdana" w:hAnsi="Verdana"/>
          <w:bCs/>
          <w:sz w:val="20"/>
          <w:szCs w:val="24"/>
        </w:rPr>
      </w:pPr>
      <w:r w:rsidRPr="00554BA4">
        <w:rPr>
          <w:rFonts w:ascii="Verdana" w:hAnsi="Verdana"/>
          <w:b/>
          <w:bCs/>
          <w:sz w:val="20"/>
          <w:szCs w:val="24"/>
          <w:lang w:val="es-ES"/>
        </w:rPr>
        <w:t>6. </w:t>
      </w:r>
      <w:r w:rsidRPr="00554BA4">
        <w:rPr>
          <w:rFonts w:ascii="Verdana" w:hAnsi="Verdana"/>
          <w:bCs/>
          <w:sz w:val="20"/>
          <w:szCs w:val="24"/>
          <w:lang w:val="es-ES"/>
        </w:rPr>
        <w:t>El 24 de junio de 2016 la empresa exportadora Eastman solicitó la revisión de la Resolución Final de la Revisión ante un Panel Binacional establecido de conformidad con el Capítulo XIX del TLCAN. A dicho procedimiento recayó el número de expediente: MEX-USA-2016-1904-01.</w:t>
      </w:r>
    </w:p>
    <w:p w:rsidR="00554BA4" w:rsidRPr="00554BA4" w:rsidRDefault="00554BA4" w:rsidP="00554BA4">
      <w:pPr>
        <w:jc w:val="both"/>
        <w:rPr>
          <w:rFonts w:ascii="Verdana" w:hAnsi="Verdana"/>
          <w:bCs/>
          <w:sz w:val="20"/>
          <w:szCs w:val="24"/>
        </w:rPr>
      </w:pPr>
      <w:r w:rsidRPr="00554BA4">
        <w:rPr>
          <w:rFonts w:ascii="Verdana" w:hAnsi="Verdana"/>
          <w:b/>
          <w:bCs/>
          <w:sz w:val="20"/>
          <w:szCs w:val="24"/>
          <w:lang w:val="es-ES"/>
        </w:rPr>
        <w:t>7. </w:t>
      </w:r>
      <w:r w:rsidRPr="00554BA4">
        <w:rPr>
          <w:rFonts w:ascii="Verdana" w:hAnsi="Verdana"/>
          <w:bCs/>
          <w:sz w:val="20"/>
          <w:szCs w:val="24"/>
          <w:lang w:val="es-ES"/>
        </w:rPr>
        <w:t>El procedimiento de revisión ante el Panel Binacional se encuentra en trámite.</w:t>
      </w:r>
    </w:p>
    <w:p w:rsidR="00554BA4" w:rsidRPr="00554BA4" w:rsidRDefault="00554BA4" w:rsidP="00554BA4">
      <w:pPr>
        <w:jc w:val="both"/>
        <w:rPr>
          <w:rFonts w:ascii="Verdana" w:hAnsi="Verdana"/>
          <w:bCs/>
          <w:sz w:val="20"/>
          <w:szCs w:val="24"/>
        </w:rPr>
      </w:pPr>
      <w:r w:rsidRPr="00554BA4">
        <w:rPr>
          <w:rFonts w:ascii="Verdana" w:hAnsi="Verdana"/>
          <w:b/>
          <w:bCs/>
          <w:sz w:val="20"/>
          <w:szCs w:val="24"/>
          <w:lang w:val="es-ES"/>
        </w:rPr>
        <w:t>E. Aviso sobre la vigencia de cuotas compensatorias</w:t>
      </w:r>
    </w:p>
    <w:p w:rsidR="00554BA4" w:rsidRPr="00554BA4" w:rsidRDefault="00554BA4" w:rsidP="00554BA4">
      <w:pPr>
        <w:jc w:val="both"/>
        <w:rPr>
          <w:rFonts w:ascii="Verdana" w:hAnsi="Verdana"/>
          <w:bCs/>
          <w:sz w:val="20"/>
          <w:szCs w:val="24"/>
        </w:rPr>
      </w:pPr>
      <w:r w:rsidRPr="00554BA4">
        <w:rPr>
          <w:rFonts w:ascii="Verdana" w:hAnsi="Verdana"/>
          <w:b/>
          <w:bCs/>
          <w:sz w:val="20"/>
          <w:szCs w:val="24"/>
          <w:lang w:val="es-ES"/>
        </w:rPr>
        <w:t>8.</w:t>
      </w:r>
      <w:r w:rsidRPr="00554BA4">
        <w:rPr>
          <w:rFonts w:ascii="Verdana" w:hAnsi="Verdana"/>
          <w:bCs/>
          <w:sz w:val="20"/>
          <w:szCs w:val="24"/>
          <w:lang w:val="es-ES"/>
        </w:rPr>
        <w:t> El 25 de noviembre de 2016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el EB originario de los Estados Unidos, objeto de este examen.</w:t>
      </w:r>
    </w:p>
    <w:p w:rsidR="00554BA4" w:rsidRPr="00554BA4" w:rsidRDefault="00554BA4" w:rsidP="00554BA4">
      <w:pPr>
        <w:jc w:val="both"/>
        <w:rPr>
          <w:rFonts w:ascii="Verdana" w:hAnsi="Verdana"/>
          <w:bCs/>
          <w:sz w:val="20"/>
          <w:szCs w:val="24"/>
        </w:rPr>
      </w:pPr>
      <w:r w:rsidRPr="00554BA4">
        <w:rPr>
          <w:rFonts w:ascii="Verdana" w:hAnsi="Verdana"/>
          <w:b/>
          <w:bCs/>
          <w:sz w:val="20"/>
          <w:szCs w:val="24"/>
          <w:lang w:val="es-ES"/>
        </w:rPr>
        <w:t>F. Manifestación de interés</w:t>
      </w:r>
    </w:p>
    <w:p w:rsidR="00554BA4" w:rsidRPr="00554BA4" w:rsidRDefault="00554BA4" w:rsidP="00554BA4">
      <w:pPr>
        <w:jc w:val="both"/>
        <w:rPr>
          <w:rFonts w:ascii="Verdana" w:hAnsi="Verdana"/>
          <w:bCs/>
          <w:sz w:val="20"/>
          <w:szCs w:val="24"/>
        </w:rPr>
      </w:pPr>
      <w:bookmarkStart w:id="8" w:name="N_Ref503282944"/>
      <w:r w:rsidRPr="00554BA4">
        <w:rPr>
          <w:rFonts w:ascii="Verdana" w:hAnsi="Verdana"/>
          <w:b/>
          <w:bCs/>
          <w:sz w:val="20"/>
          <w:szCs w:val="24"/>
          <w:lang w:val="es-ES"/>
        </w:rPr>
        <w:t>9. </w:t>
      </w:r>
      <w:bookmarkEnd w:id="8"/>
      <w:r w:rsidRPr="00554BA4">
        <w:rPr>
          <w:rFonts w:ascii="Verdana" w:hAnsi="Verdana"/>
          <w:bCs/>
          <w:sz w:val="20"/>
          <w:szCs w:val="24"/>
          <w:lang w:val="es-ES"/>
        </w:rPr>
        <w:t xml:space="preserve">El 3 de agosto de 2017 </w:t>
      </w:r>
      <w:proofErr w:type="spellStart"/>
      <w:r w:rsidRPr="00554BA4">
        <w:rPr>
          <w:rFonts w:ascii="Verdana" w:hAnsi="Verdana"/>
          <w:bCs/>
          <w:sz w:val="20"/>
          <w:szCs w:val="24"/>
          <w:lang w:val="es-ES"/>
        </w:rPr>
        <w:t>Polioles</w:t>
      </w:r>
      <w:proofErr w:type="spellEnd"/>
      <w:r w:rsidRPr="00554BA4">
        <w:rPr>
          <w:rFonts w:ascii="Verdana" w:hAnsi="Verdana"/>
          <w:bCs/>
          <w:sz w:val="20"/>
          <w:szCs w:val="24"/>
          <w:lang w:val="es-ES"/>
        </w:rPr>
        <w:t>, S.A. de C.V. (“</w:t>
      </w:r>
      <w:proofErr w:type="spellStart"/>
      <w:r w:rsidRPr="00554BA4">
        <w:rPr>
          <w:rFonts w:ascii="Verdana" w:hAnsi="Verdana"/>
          <w:bCs/>
          <w:sz w:val="20"/>
          <w:szCs w:val="24"/>
          <w:lang w:val="es-ES"/>
        </w:rPr>
        <w:t>Polioles</w:t>
      </w:r>
      <w:proofErr w:type="spellEnd"/>
      <w:r w:rsidRPr="00554BA4">
        <w:rPr>
          <w:rFonts w:ascii="Verdana" w:hAnsi="Verdana"/>
          <w:bCs/>
          <w:sz w:val="20"/>
          <w:szCs w:val="24"/>
          <w:lang w:val="es-ES"/>
        </w:rPr>
        <w:t>”), manifestó su interés en que la Secretaría inicie el examen de vigencia de las cuotas compensatorias definitivas impuestas a las importaciones de EB originarias de los Estados Unidos.</w:t>
      </w:r>
    </w:p>
    <w:p w:rsidR="00554BA4" w:rsidRPr="00554BA4" w:rsidRDefault="00554BA4" w:rsidP="00554BA4">
      <w:pPr>
        <w:jc w:val="both"/>
        <w:rPr>
          <w:rFonts w:ascii="Verdana" w:hAnsi="Verdana"/>
          <w:bCs/>
          <w:sz w:val="20"/>
          <w:szCs w:val="24"/>
        </w:rPr>
      </w:pPr>
      <w:r w:rsidRPr="00554BA4">
        <w:rPr>
          <w:rFonts w:ascii="Verdana" w:hAnsi="Verdana"/>
          <w:b/>
          <w:bCs/>
          <w:sz w:val="20"/>
          <w:szCs w:val="24"/>
          <w:lang w:val="es-ES"/>
        </w:rPr>
        <w:t>G. Resolución de inicio del examen de vigencia de la cuota compensatoria</w:t>
      </w:r>
    </w:p>
    <w:p w:rsidR="00554BA4" w:rsidRPr="00554BA4" w:rsidRDefault="00554BA4" w:rsidP="00554BA4">
      <w:pPr>
        <w:jc w:val="both"/>
        <w:rPr>
          <w:rFonts w:ascii="Verdana" w:hAnsi="Verdana"/>
          <w:bCs/>
          <w:sz w:val="20"/>
          <w:szCs w:val="24"/>
        </w:rPr>
      </w:pPr>
      <w:r w:rsidRPr="00554BA4">
        <w:rPr>
          <w:rFonts w:ascii="Verdana" w:hAnsi="Verdana"/>
          <w:b/>
          <w:bCs/>
          <w:sz w:val="20"/>
          <w:szCs w:val="24"/>
          <w:lang w:val="es-ES"/>
        </w:rPr>
        <w:lastRenderedPageBreak/>
        <w:t>10.</w:t>
      </w:r>
      <w:r w:rsidRPr="00554BA4">
        <w:rPr>
          <w:rFonts w:ascii="Verdana" w:hAnsi="Verdana"/>
          <w:bCs/>
          <w:sz w:val="20"/>
          <w:szCs w:val="24"/>
          <w:lang w:val="es-ES"/>
        </w:rPr>
        <w:t> El 5 de septiembre de 2017 la Secretaría publicó en el DOF la Resolución que declaró el inicio del examen de vigencia de las cuotas compensatorias impuestas a las importaciones de EB originarias de los Estados Unidos (la “Resolución de Inicio”).</w:t>
      </w:r>
    </w:p>
    <w:p w:rsidR="00554BA4" w:rsidRPr="00554BA4" w:rsidRDefault="00554BA4" w:rsidP="00554BA4">
      <w:pPr>
        <w:jc w:val="both"/>
        <w:rPr>
          <w:rFonts w:ascii="Verdana" w:hAnsi="Verdana"/>
          <w:bCs/>
          <w:sz w:val="20"/>
          <w:szCs w:val="24"/>
        </w:rPr>
      </w:pPr>
      <w:r w:rsidRPr="00554BA4">
        <w:rPr>
          <w:rFonts w:ascii="Verdana" w:hAnsi="Verdana"/>
          <w:b/>
          <w:bCs/>
          <w:sz w:val="20"/>
          <w:szCs w:val="24"/>
          <w:lang w:val="es-ES"/>
        </w:rPr>
        <w:t>H. Convocatoria y notificaciones</w:t>
      </w:r>
    </w:p>
    <w:p w:rsidR="00554BA4" w:rsidRPr="00554BA4" w:rsidRDefault="00554BA4" w:rsidP="00554BA4">
      <w:pPr>
        <w:jc w:val="both"/>
        <w:rPr>
          <w:rFonts w:ascii="Verdana" w:hAnsi="Verdana"/>
          <w:bCs/>
          <w:sz w:val="20"/>
          <w:szCs w:val="24"/>
        </w:rPr>
      </w:pPr>
      <w:bookmarkStart w:id="9" w:name="N_Ref503168116"/>
      <w:r w:rsidRPr="00554BA4">
        <w:rPr>
          <w:rFonts w:ascii="Verdana" w:hAnsi="Verdana"/>
          <w:b/>
          <w:bCs/>
          <w:sz w:val="20"/>
          <w:szCs w:val="24"/>
          <w:lang w:val="es-ES"/>
        </w:rPr>
        <w:t>11.</w:t>
      </w:r>
      <w:bookmarkEnd w:id="9"/>
      <w:r w:rsidRPr="00554BA4">
        <w:rPr>
          <w:rFonts w:ascii="Verdana" w:hAnsi="Verdana"/>
          <w:bCs/>
          <w:sz w:val="20"/>
          <w:szCs w:val="24"/>
          <w:lang w:val="es-ES"/>
        </w:rPr>
        <w:t> Mediante la publicación de la Resolución de Inicio, la Secretaría convocó a los productores nacionales, importadores, exportadores y a cualquier persona que considerara tener interés jurídico en el resultado de este examen, para que comparecieran a presentar los argumentos y las pruebas que estimaran pertinentes.</w:t>
      </w:r>
    </w:p>
    <w:p w:rsidR="00554BA4" w:rsidRPr="00554BA4" w:rsidRDefault="00554BA4" w:rsidP="00554BA4">
      <w:pPr>
        <w:jc w:val="both"/>
        <w:rPr>
          <w:rFonts w:ascii="Verdana" w:hAnsi="Verdana"/>
          <w:bCs/>
          <w:sz w:val="20"/>
          <w:szCs w:val="24"/>
        </w:rPr>
      </w:pPr>
      <w:bookmarkStart w:id="10" w:name="N_Ref503168117"/>
      <w:r w:rsidRPr="00554BA4">
        <w:rPr>
          <w:rFonts w:ascii="Verdana" w:hAnsi="Verdana"/>
          <w:b/>
          <w:bCs/>
          <w:sz w:val="20"/>
          <w:szCs w:val="24"/>
          <w:lang w:val="es-ES"/>
        </w:rPr>
        <w:t>12.</w:t>
      </w:r>
      <w:bookmarkEnd w:id="10"/>
      <w:r w:rsidRPr="00554BA4">
        <w:rPr>
          <w:rFonts w:ascii="Verdana" w:hAnsi="Verdana"/>
          <w:bCs/>
          <w:sz w:val="20"/>
          <w:szCs w:val="24"/>
          <w:lang w:val="es-ES"/>
        </w:rPr>
        <w:t> La Secretaría notificó el inicio del presente procedimiento a las partes interesadas de que tuvo conocimiento y al gobierno de los Estados Unidos.</w:t>
      </w:r>
    </w:p>
    <w:p w:rsidR="00554BA4" w:rsidRPr="00554BA4" w:rsidRDefault="00554BA4" w:rsidP="00554BA4">
      <w:pPr>
        <w:jc w:val="both"/>
        <w:rPr>
          <w:rFonts w:ascii="Verdana" w:hAnsi="Verdana"/>
          <w:bCs/>
          <w:sz w:val="20"/>
          <w:szCs w:val="24"/>
        </w:rPr>
      </w:pPr>
      <w:r w:rsidRPr="00554BA4">
        <w:rPr>
          <w:rFonts w:ascii="Verdana" w:hAnsi="Verdana"/>
          <w:b/>
          <w:bCs/>
          <w:sz w:val="20"/>
          <w:szCs w:val="24"/>
          <w:lang w:val="es-ES"/>
        </w:rPr>
        <w:t>I. Partes interesadas</w:t>
      </w:r>
    </w:p>
    <w:p w:rsidR="00554BA4" w:rsidRPr="00554BA4" w:rsidRDefault="00554BA4" w:rsidP="00554BA4">
      <w:pPr>
        <w:jc w:val="both"/>
        <w:rPr>
          <w:rFonts w:ascii="Verdana" w:hAnsi="Verdana"/>
          <w:bCs/>
          <w:sz w:val="20"/>
          <w:szCs w:val="24"/>
        </w:rPr>
      </w:pPr>
      <w:r w:rsidRPr="00554BA4">
        <w:rPr>
          <w:rFonts w:ascii="Verdana" w:hAnsi="Verdana"/>
          <w:b/>
          <w:bCs/>
          <w:sz w:val="20"/>
          <w:szCs w:val="24"/>
          <w:lang w:val="es-ES"/>
        </w:rPr>
        <w:t>13. </w:t>
      </w:r>
      <w:r w:rsidRPr="00554BA4">
        <w:rPr>
          <w:rFonts w:ascii="Verdana" w:hAnsi="Verdana"/>
          <w:bCs/>
          <w:sz w:val="20"/>
          <w:szCs w:val="24"/>
          <w:lang w:val="es-ES"/>
        </w:rPr>
        <w:t>Las partes interesadas que comparecieron en tiempo y forma al presente procedimiento son las siguientes:</w:t>
      </w:r>
    </w:p>
    <w:p w:rsidR="00554BA4" w:rsidRPr="00554BA4" w:rsidRDefault="00554BA4" w:rsidP="00554BA4">
      <w:pPr>
        <w:jc w:val="both"/>
        <w:rPr>
          <w:rFonts w:ascii="Verdana" w:hAnsi="Verdana"/>
          <w:bCs/>
          <w:sz w:val="20"/>
          <w:szCs w:val="24"/>
        </w:rPr>
      </w:pPr>
      <w:r w:rsidRPr="00554BA4">
        <w:rPr>
          <w:rFonts w:ascii="Verdana" w:hAnsi="Verdana"/>
          <w:b/>
          <w:bCs/>
          <w:sz w:val="20"/>
          <w:szCs w:val="24"/>
          <w:lang w:val="es-ES"/>
        </w:rPr>
        <w:t>1. Productor nacional</w:t>
      </w:r>
    </w:p>
    <w:p w:rsidR="00554BA4" w:rsidRPr="00554BA4" w:rsidRDefault="00554BA4" w:rsidP="00554BA4">
      <w:pPr>
        <w:jc w:val="both"/>
        <w:rPr>
          <w:rFonts w:ascii="Verdana" w:hAnsi="Verdana"/>
          <w:bCs/>
          <w:sz w:val="20"/>
          <w:szCs w:val="24"/>
        </w:rPr>
      </w:pPr>
      <w:proofErr w:type="spellStart"/>
      <w:r w:rsidRPr="00554BA4">
        <w:rPr>
          <w:rFonts w:ascii="Verdana" w:hAnsi="Verdana"/>
          <w:bCs/>
          <w:sz w:val="20"/>
          <w:szCs w:val="24"/>
        </w:rPr>
        <w:t>Polioles</w:t>
      </w:r>
      <w:proofErr w:type="spellEnd"/>
      <w:r w:rsidRPr="00554BA4">
        <w:rPr>
          <w:rFonts w:ascii="Verdana" w:hAnsi="Verdana"/>
          <w:bCs/>
          <w:sz w:val="20"/>
          <w:szCs w:val="24"/>
        </w:rPr>
        <w:t>, S.A. de C.V.</w:t>
      </w:r>
    </w:p>
    <w:p w:rsidR="00554BA4" w:rsidRPr="00554BA4" w:rsidRDefault="00554BA4" w:rsidP="00554BA4">
      <w:pPr>
        <w:jc w:val="both"/>
        <w:rPr>
          <w:rFonts w:ascii="Verdana" w:hAnsi="Verdana"/>
          <w:bCs/>
          <w:sz w:val="20"/>
          <w:szCs w:val="24"/>
        </w:rPr>
      </w:pPr>
      <w:r w:rsidRPr="00554BA4">
        <w:rPr>
          <w:rFonts w:ascii="Verdana" w:hAnsi="Verdana"/>
          <w:bCs/>
          <w:sz w:val="20"/>
          <w:szCs w:val="24"/>
        </w:rPr>
        <w:t>Paseo de la Reforma No. 222, Torre 1, Piso 17</w:t>
      </w:r>
    </w:p>
    <w:p w:rsidR="00554BA4" w:rsidRPr="00554BA4" w:rsidRDefault="00554BA4" w:rsidP="00554BA4">
      <w:pPr>
        <w:jc w:val="both"/>
        <w:rPr>
          <w:rFonts w:ascii="Verdana" w:hAnsi="Verdana"/>
          <w:bCs/>
          <w:sz w:val="20"/>
          <w:szCs w:val="24"/>
        </w:rPr>
      </w:pPr>
      <w:r w:rsidRPr="00554BA4">
        <w:rPr>
          <w:rFonts w:ascii="Verdana" w:hAnsi="Verdana"/>
          <w:bCs/>
          <w:sz w:val="20"/>
          <w:szCs w:val="24"/>
        </w:rPr>
        <w:t>Col. Juárez</w:t>
      </w:r>
    </w:p>
    <w:p w:rsidR="00554BA4" w:rsidRPr="00554BA4" w:rsidRDefault="00554BA4" w:rsidP="00554BA4">
      <w:pPr>
        <w:jc w:val="both"/>
        <w:rPr>
          <w:rFonts w:ascii="Verdana" w:hAnsi="Verdana"/>
          <w:bCs/>
          <w:sz w:val="20"/>
          <w:szCs w:val="24"/>
        </w:rPr>
      </w:pPr>
      <w:r w:rsidRPr="00554BA4">
        <w:rPr>
          <w:rFonts w:ascii="Verdana" w:hAnsi="Verdana"/>
          <w:bCs/>
          <w:sz w:val="20"/>
          <w:szCs w:val="24"/>
        </w:rPr>
        <w:t>C.P. 06600, Ciudad de México</w:t>
      </w:r>
    </w:p>
    <w:p w:rsidR="00554BA4" w:rsidRPr="00554BA4" w:rsidRDefault="00554BA4" w:rsidP="00554BA4">
      <w:pPr>
        <w:jc w:val="both"/>
        <w:rPr>
          <w:rFonts w:ascii="Verdana" w:hAnsi="Verdana"/>
          <w:bCs/>
          <w:sz w:val="20"/>
          <w:szCs w:val="24"/>
        </w:rPr>
      </w:pPr>
      <w:r w:rsidRPr="00554BA4">
        <w:rPr>
          <w:rFonts w:ascii="Verdana" w:hAnsi="Verdana"/>
          <w:b/>
          <w:bCs/>
          <w:sz w:val="20"/>
          <w:szCs w:val="24"/>
          <w:lang w:val="es-ES"/>
        </w:rPr>
        <w:t>2. Importador</w:t>
      </w:r>
    </w:p>
    <w:p w:rsidR="00554BA4" w:rsidRPr="00554BA4" w:rsidRDefault="00554BA4" w:rsidP="00554BA4">
      <w:pPr>
        <w:jc w:val="both"/>
        <w:rPr>
          <w:rFonts w:ascii="Verdana" w:hAnsi="Verdana"/>
          <w:bCs/>
          <w:sz w:val="20"/>
          <w:szCs w:val="24"/>
        </w:rPr>
      </w:pPr>
      <w:r w:rsidRPr="00554BA4">
        <w:rPr>
          <w:rFonts w:ascii="Verdana" w:hAnsi="Verdana"/>
          <w:bCs/>
          <w:sz w:val="20"/>
          <w:szCs w:val="24"/>
        </w:rPr>
        <w:t>Dow Química Mexicana, S.A. de C.V.</w:t>
      </w:r>
    </w:p>
    <w:p w:rsidR="00554BA4" w:rsidRPr="00554BA4" w:rsidRDefault="00554BA4" w:rsidP="00554BA4">
      <w:pPr>
        <w:jc w:val="both"/>
        <w:rPr>
          <w:rFonts w:ascii="Verdana" w:hAnsi="Verdana"/>
          <w:bCs/>
          <w:sz w:val="20"/>
          <w:szCs w:val="24"/>
        </w:rPr>
      </w:pPr>
      <w:r w:rsidRPr="00554BA4">
        <w:rPr>
          <w:rFonts w:ascii="Verdana" w:hAnsi="Verdana"/>
          <w:bCs/>
          <w:sz w:val="20"/>
          <w:szCs w:val="24"/>
        </w:rPr>
        <w:t xml:space="preserve">Martín </w:t>
      </w:r>
      <w:proofErr w:type="spellStart"/>
      <w:r w:rsidRPr="00554BA4">
        <w:rPr>
          <w:rFonts w:ascii="Verdana" w:hAnsi="Verdana"/>
          <w:bCs/>
          <w:sz w:val="20"/>
          <w:szCs w:val="24"/>
        </w:rPr>
        <w:t>Mendalde</w:t>
      </w:r>
      <w:proofErr w:type="spellEnd"/>
      <w:r w:rsidRPr="00554BA4">
        <w:rPr>
          <w:rFonts w:ascii="Verdana" w:hAnsi="Verdana"/>
          <w:bCs/>
          <w:sz w:val="20"/>
          <w:szCs w:val="24"/>
        </w:rPr>
        <w:t xml:space="preserve"> No. 1755-P.B.</w:t>
      </w:r>
    </w:p>
    <w:p w:rsidR="00554BA4" w:rsidRPr="00554BA4" w:rsidRDefault="00554BA4" w:rsidP="00554BA4">
      <w:pPr>
        <w:jc w:val="both"/>
        <w:rPr>
          <w:rFonts w:ascii="Verdana" w:hAnsi="Verdana"/>
          <w:bCs/>
          <w:sz w:val="20"/>
          <w:szCs w:val="24"/>
        </w:rPr>
      </w:pPr>
      <w:r w:rsidRPr="00554BA4">
        <w:rPr>
          <w:rFonts w:ascii="Verdana" w:hAnsi="Verdana"/>
          <w:bCs/>
          <w:sz w:val="20"/>
          <w:szCs w:val="24"/>
        </w:rPr>
        <w:t>Col. Del Valle</w:t>
      </w:r>
    </w:p>
    <w:p w:rsidR="00554BA4" w:rsidRPr="00554BA4" w:rsidRDefault="00554BA4" w:rsidP="00554BA4">
      <w:pPr>
        <w:jc w:val="both"/>
        <w:rPr>
          <w:rFonts w:ascii="Verdana" w:hAnsi="Verdana"/>
          <w:bCs/>
          <w:sz w:val="20"/>
          <w:szCs w:val="24"/>
        </w:rPr>
      </w:pPr>
      <w:r w:rsidRPr="00554BA4">
        <w:rPr>
          <w:rFonts w:ascii="Verdana" w:hAnsi="Verdana"/>
          <w:bCs/>
          <w:sz w:val="20"/>
          <w:szCs w:val="24"/>
        </w:rPr>
        <w:t>C.P. 03100, Ciudad de México</w:t>
      </w:r>
    </w:p>
    <w:p w:rsidR="00554BA4" w:rsidRPr="00554BA4" w:rsidRDefault="00554BA4" w:rsidP="00554BA4">
      <w:pPr>
        <w:jc w:val="both"/>
        <w:rPr>
          <w:rFonts w:ascii="Verdana" w:hAnsi="Verdana"/>
          <w:bCs/>
          <w:sz w:val="20"/>
          <w:szCs w:val="24"/>
        </w:rPr>
      </w:pPr>
      <w:r w:rsidRPr="00554BA4">
        <w:rPr>
          <w:rFonts w:ascii="Verdana" w:hAnsi="Verdana"/>
          <w:b/>
          <w:bCs/>
          <w:sz w:val="20"/>
          <w:szCs w:val="24"/>
          <w:lang w:val="en-US"/>
        </w:rPr>
        <w:t xml:space="preserve">3. </w:t>
      </w:r>
      <w:proofErr w:type="spellStart"/>
      <w:r w:rsidRPr="00554BA4">
        <w:rPr>
          <w:rFonts w:ascii="Verdana" w:hAnsi="Verdana"/>
          <w:b/>
          <w:bCs/>
          <w:sz w:val="20"/>
          <w:szCs w:val="24"/>
          <w:lang w:val="en-US"/>
        </w:rPr>
        <w:t>Exportadores</w:t>
      </w:r>
      <w:proofErr w:type="spellEnd"/>
    </w:p>
    <w:p w:rsidR="00554BA4" w:rsidRPr="00554BA4" w:rsidRDefault="00554BA4" w:rsidP="00554BA4">
      <w:pPr>
        <w:jc w:val="both"/>
        <w:rPr>
          <w:rFonts w:ascii="Verdana" w:hAnsi="Verdana"/>
          <w:bCs/>
          <w:sz w:val="20"/>
          <w:szCs w:val="24"/>
        </w:rPr>
      </w:pPr>
      <w:r w:rsidRPr="00554BA4">
        <w:rPr>
          <w:rFonts w:ascii="Verdana" w:hAnsi="Verdana"/>
          <w:bCs/>
          <w:sz w:val="20"/>
          <w:szCs w:val="24"/>
          <w:lang w:val="en-US"/>
        </w:rPr>
        <w:t>The Dow Chemical Company</w:t>
      </w:r>
    </w:p>
    <w:p w:rsidR="00554BA4" w:rsidRPr="00554BA4" w:rsidRDefault="00554BA4" w:rsidP="00554BA4">
      <w:pPr>
        <w:jc w:val="both"/>
        <w:rPr>
          <w:rFonts w:ascii="Verdana" w:hAnsi="Verdana"/>
          <w:bCs/>
          <w:sz w:val="20"/>
          <w:szCs w:val="24"/>
        </w:rPr>
      </w:pPr>
      <w:proofErr w:type="spellStart"/>
      <w:r w:rsidRPr="00554BA4">
        <w:rPr>
          <w:rFonts w:ascii="Verdana" w:hAnsi="Verdana"/>
          <w:bCs/>
          <w:sz w:val="20"/>
          <w:szCs w:val="24"/>
        </w:rPr>
        <w:t>Union</w:t>
      </w:r>
      <w:proofErr w:type="spellEnd"/>
      <w:r w:rsidRPr="00554BA4">
        <w:rPr>
          <w:rFonts w:ascii="Verdana" w:hAnsi="Verdana"/>
          <w:bCs/>
          <w:sz w:val="20"/>
          <w:szCs w:val="24"/>
        </w:rPr>
        <w:t xml:space="preserve"> </w:t>
      </w:r>
      <w:proofErr w:type="spellStart"/>
      <w:r w:rsidRPr="00554BA4">
        <w:rPr>
          <w:rFonts w:ascii="Verdana" w:hAnsi="Verdana"/>
          <w:bCs/>
          <w:sz w:val="20"/>
          <w:szCs w:val="24"/>
        </w:rPr>
        <w:t>Carbide</w:t>
      </w:r>
      <w:proofErr w:type="spellEnd"/>
      <w:r w:rsidRPr="00554BA4">
        <w:rPr>
          <w:rFonts w:ascii="Verdana" w:hAnsi="Verdana"/>
          <w:bCs/>
          <w:sz w:val="20"/>
          <w:szCs w:val="24"/>
        </w:rPr>
        <w:t xml:space="preserve"> </w:t>
      </w:r>
      <w:proofErr w:type="spellStart"/>
      <w:r w:rsidRPr="00554BA4">
        <w:rPr>
          <w:rFonts w:ascii="Verdana" w:hAnsi="Verdana"/>
          <w:bCs/>
          <w:sz w:val="20"/>
          <w:szCs w:val="24"/>
        </w:rPr>
        <w:t>Corporation</w:t>
      </w:r>
      <w:proofErr w:type="spellEnd"/>
    </w:p>
    <w:p w:rsidR="00554BA4" w:rsidRPr="00554BA4" w:rsidRDefault="00554BA4" w:rsidP="00554BA4">
      <w:pPr>
        <w:jc w:val="both"/>
        <w:rPr>
          <w:rFonts w:ascii="Verdana" w:hAnsi="Verdana"/>
          <w:bCs/>
          <w:sz w:val="20"/>
          <w:szCs w:val="24"/>
        </w:rPr>
      </w:pPr>
      <w:r w:rsidRPr="00554BA4">
        <w:rPr>
          <w:rFonts w:ascii="Verdana" w:hAnsi="Verdana"/>
          <w:bCs/>
          <w:sz w:val="20"/>
          <w:szCs w:val="24"/>
        </w:rPr>
        <w:t xml:space="preserve">Martín </w:t>
      </w:r>
      <w:proofErr w:type="spellStart"/>
      <w:r w:rsidRPr="00554BA4">
        <w:rPr>
          <w:rFonts w:ascii="Verdana" w:hAnsi="Verdana"/>
          <w:bCs/>
          <w:sz w:val="20"/>
          <w:szCs w:val="24"/>
        </w:rPr>
        <w:t>Mendalde</w:t>
      </w:r>
      <w:proofErr w:type="spellEnd"/>
      <w:r w:rsidRPr="00554BA4">
        <w:rPr>
          <w:rFonts w:ascii="Verdana" w:hAnsi="Verdana"/>
          <w:bCs/>
          <w:sz w:val="20"/>
          <w:szCs w:val="24"/>
        </w:rPr>
        <w:t xml:space="preserve"> No. 1755-P.B.</w:t>
      </w:r>
    </w:p>
    <w:p w:rsidR="00554BA4" w:rsidRPr="00554BA4" w:rsidRDefault="00554BA4" w:rsidP="00554BA4">
      <w:pPr>
        <w:jc w:val="both"/>
        <w:rPr>
          <w:rFonts w:ascii="Verdana" w:hAnsi="Verdana"/>
          <w:bCs/>
          <w:sz w:val="20"/>
          <w:szCs w:val="24"/>
        </w:rPr>
      </w:pPr>
      <w:r w:rsidRPr="00554BA4">
        <w:rPr>
          <w:rFonts w:ascii="Verdana" w:hAnsi="Verdana"/>
          <w:bCs/>
          <w:sz w:val="20"/>
          <w:szCs w:val="24"/>
        </w:rPr>
        <w:t>Col. Del Valle</w:t>
      </w:r>
    </w:p>
    <w:p w:rsidR="00554BA4" w:rsidRPr="00554BA4" w:rsidRDefault="00554BA4" w:rsidP="00554BA4">
      <w:pPr>
        <w:jc w:val="both"/>
        <w:rPr>
          <w:rFonts w:ascii="Verdana" w:hAnsi="Verdana"/>
          <w:bCs/>
          <w:sz w:val="20"/>
          <w:szCs w:val="24"/>
        </w:rPr>
      </w:pPr>
      <w:r w:rsidRPr="00554BA4">
        <w:rPr>
          <w:rFonts w:ascii="Verdana" w:hAnsi="Verdana"/>
          <w:bCs/>
          <w:sz w:val="20"/>
          <w:szCs w:val="24"/>
        </w:rPr>
        <w:t>C.P. 03100, Ciudad de México</w:t>
      </w:r>
    </w:p>
    <w:p w:rsidR="00554BA4" w:rsidRPr="00554BA4" w:rsidRDefault="00554BA4" w:rsidP="00554BA4">
      <w:pPr>
        <w:jc w:val="both"/>
        <w:rPr>
          <w:rFonts w:ascii="Verdana" w:hAnsi="Verdana"/>
          <w:bCs/>
          <w:sz w:val="20"/>
          <w:szCs w:val="24"/>
        </w:rPr>
      </w:pPr>
      <w:r w:rsidRPr="00554BA4">
        <w:rPr>
          <w:rFonts w:ascii="Verdana" w:hAnsi="Verdana"/>
          <w:b/>
          <w:bCs/>
          <w:sz w:val="20"/>
          <w:szCs w:val="24"/>
          <w:lang w:val="es-ES"/>
        </w:rPr>
        <w:t>J. Desistimiento</w:t>
      </w:r>
    </w:p>
    <w:p w:rsidR="00554BA4" w:rsidRPr="00554BA4" w:rsidRDefault="00554BA4" w:rsidP="00554BA4">
      <w:pPr>
        <w:jc w:val="both"/>
        <w:rPr>
          <w:rFonts w:ascii="Verdana" w:hAnsi="Verdana"/>
          <w:bCs/>
          <w:sz w:val="20"/>
          <w:szCs w:val="24"/>
        </w:rPr>
      </w:pPr>
      <w:r w:rsidRPr="00554BA4">
        <w:rPr>
          <w:rFonts w:ascii="Verdana" w:hAnsi="Verdana"/>
          <w:b/>
          <w:bCs/>
          <w:sz w:val="20"/>
          <w:szCs w:val="24"/>
          <w:lang w:val="es-ES"/>
        </w:rPr>
        <w:lastRenderedPageBreak/>
        <w:t>14. </w:t>
      </w:r>
      <w:r w:rsidRPr="00554BA4">
        <w:rPr>
          <w:rFonts w:ascii="Verdana" w:hAnsi="Verdana"/>
          <w:bCs/>
          <w:sz w:val="20"/>
          <w:szCs w:val="24"/>
          <w:lang w:val="es-ES"/>
        </w:rPr>
        <w:t xml:space="preserve">El 19 de diciembre de 2017 </w:t>
      </w:r>
      <w:proofErr w:type="spellStart"/>
      <w:r w:rsidRPr="00554BA4">
        <w:rPr>
          <w:rFonts w:ascii="Verdana" w:hAnsi="Verdana"/>
          <w:bCs/>
          <w:sz w:val="20"/>
          <w:szCs w:val="24"/>
          <w:lang w:val="es-ES"/>
        </w:rPr>
        <w:t>Polioles</w:t>
      </w:r>
      <w:proofErr w:type="spellEnd"/>
      <w:r w:rsidRPr="00554BA4">
        <w:rPr>
          <w:rFonts w:ascii="Verdana" w:hAnsi="Verdana"/>
          <w:bCs/>
          <w:sz w:val="20"/>
          <w:szCs w:val="24"/>
          <w:lang w:val="es-ES"/>
        </w:rPr>
        <w:t xml:space="preserve"> compareció para desistirse de la manifestación de interés que presentó el 3 de agosto de 2017, así como de los argumentos y pruebas presentados durante el presente procedimiento, solicitando que, en consecuencia, quede sin materia el presente procedimiento y se tenga como concluido.</w:t>
      </w:r>
    </w:p>
    <w:p w:rsidR="00554BA4" w:rsidRPr="00554BA4" w:rsidRDefault="00554BA4" w:rsidP="00554BA4">
      <w:pPr>
        <w:jc w:val="both"/>
        <w:rPr>
          <w:rFonts w:ascii="Verdana" w:hAnsi="Verdana"/>
          <w:bCs/>
          <w:sz w:val="20"/>
          <w:szCs w:val="24"/>
        </w:rPr>
      </w:pPr>
      <w:r w:rsidRPr="00554BA4">
        <w:rPr>
          <w:rFonts w:ascii="Verdana" w:hAnsi="Verdana"/>
          <w:b/>
          <w:bCs/>
          <w:sz w:val="20"/>
          <w:szCs w:val="24"/>
          <w:lang w:val="es-ES"/>
        </w:rPr>
        <w:t>K. Opinión de la Comisión de Comercio Exterior</w:t>
      </w:r>
    </w:p>
    <w:p w:rsidR="00554BA4" w:rsidRPr="00554BA4" w:rsidRDefault="00554BA4" w:rsidP="00554BA4">
      <w:pPr>
        <w:jc w:val="both"/>
        <w:rPr>
          <w:rFonts w:ascii="Verdana" w:hAnsi="Verdana"/>
          <w:bCs/>
          <w:sz w:val="20"/>
          <w:szCs w:val="24"/>
        </w:rPr>
      </w:pPr>
      <w:r w:rsidRPr="00554BA4">
        <w:rPr>
          <w:rFonts w:ascii="Verdana" w:hAnsi="Verdana"/>
          <w:b/>
          <w:bCs/>
          <w:sz w:val="20"/>
          <w:szCs w:val="24"/>
          <w:lang w:val="es-ES"/>
        </w:rPr>
        <w:t>15.</w:t>
      </w:r>
      <w:r w:rsidRPr="00554BA4">
        <w:rPr>
          <w:rFonts w:ascii="Verdana" w:hAnsi="Verdana"/>
          <w:bCs/>
          <w:sz w:val="20"/>
          <w:szCs w:val="24"/>
          <w:lang w:val="es-ES"/>
        </w:rPr>
        <w:t xml:space="preserve"> Con fundamento en los artículos 89 F fracción III de la Ley de Comercio Exterior (LCE) y 15 </w:t>
      </w:r>
      <w:proofErr w:type="gramStart"/>
      <w:r w:rsidRPr="00554BA4">
        <w:rPr>
          <w:rFonts w:ascii="Verdana" w:hAnsi="Verdana"/>
          <w:bCs/>
          <w:sz w:val="20"/>
          <w:szCs w:val="24"/>
          <w:lang w:val="es-ES"/>
        </w:rPr>
        <w:t>fracción</w:t>
      </w:r>
      <w:proofErr w:type="gramEnd"/>
      <w:r w:rsidRPr="00554BA4">
        <w:rPr>
          <w:rFonts w:ascii="Verdana" w:hAnsi="Verdana"/>
          <w:bCs/>
          <w:sz w:val="20"/>
          <w:szCs w:val="24"/>
          <w:lang w:val="es-ES"/>
        </w:rPr>
        <w:t xml:space="preserve"> XI del Reglamento Interior de la Secretaría de Economía (RISE), se sometió el proyecto de la presente Resolución a la opinión de la Comisión de Comercio Exterior, que lo consideró en su sesión del 30 de enero de 2018. El proyecto fue opinado favorablemente por unanimidad.</w:t>
      </w:r>
    </w:p>
    <w:p w:rsidR="00554BA4" w:rsidRPr="00554BA4" w:rsidRDefault="00554BA4" w:rsidP="00554BA4">
      <w:pPr>
        <w:jc w:val="both"/>
        <w:rPr>
          <w:rFonts w:ascii="Verdana" w:hAnsi="Verdana"/>
          <w:b/>
          <w:bCs/>
          <w:sz w:val="20"/>
          <w:szCs w:val="24"/>
        </w:rPr>
      </w:pPr>
      <w:r w:rsidRPr="00554BA4">
        <w:rPr>
          <w:rFonts w:ascii="Verdana" w:hAnsi="Verdana"/>
          <w:b/>
          <w:bCs/>
          <w:sz w:val="20"/>
          <w:szCs w:val="24"/>
          <w:lang w:val="es-ES_tradnl"/>
        </w:rPr>
        <w:t>CONSIDERANDOS</w:t>
      </w:r>
    </w:p>
    <w:p w:rsidR="00554BA4" w:rsidRPr="00554BA4" w:rsidRDefault="00554BA4" w:rsidP="00554BA4">
      <w:pPr>
        <w:jc w:val="both"/>
        <w:rPr>
          <w:rFonts w:ascii="Verdana" w:hAnsi="Verdana"/>
          <w:bCs/>
          <w:sz w:val="20"/>
          <w:szCs w:val="24"/>
        </w:rPr>
      </w:pPr>
      <w:r w:rsidRPr="00554BA4">
        <w:rPr>
          <w:rFonts w:ascii="Verdana" w:hAnsi="Verdana"/>
          <w:b/>
          <w:bCs/>
          <w:sz w:val="20"/>
          <w:szCs w:val="24"/>
          <w:lang w:val="es-ES"/>
        </w:rPr>
        <w:t>A. Competencia</w:t>
      </w:r>
    </w:p>
    <w:p w:rsidR="00554BA4" w:rsidRPr="00554BA4" w:rsidRDefault="00554BA4" w:rsidP="00554BA4">
      <w:pPr>
        <w:jc w:val="both"/>
        <w:rPr>
          <w:rFonts w:ascii="Verdana" w:hAnsi="Verdana"/>
          <w:bCs/>
          <w:sz w:val="20"/>
          <w:szCs w:val="24"/>
        </w:rPr>
      </w:pPr>
      <w:r w:rsidRPr="00554BA4">
        <w:rPr>
          <w:rFonts w:ascii="Verdana" w:hAnsi="Verdana"/>
          <w:b/>
          <w:bCs/>
          <w:sz w:val="20"/>
          <w:szCs w:val="24"/>
          <w:lang w:val="es-ES"/>
        </w:rPr>
        <w:t>16. </w:t>
      </w:r>
      <w:r w:rsidRPr="00554BA4">
        <w:rPr>
          <w:rFonts w:ascii="Verdana" w:hAnsi="Verdana"/>
          <w:bCs/>
          <w:sz w:val="20"/>
          <w:szCs w:val="24"/>
          <w:lang w:val="es-ES"/>
        </w:rPr>
        <w:t>La Secretaría es competente para emitir la presente Resolución, conforme a lo dispuesto en los artículos 16 y 34 fracciones V y XXXIII de la Ley Orgánica de la Administración Pública Federal; 1, 2 apartado B fracción III y 15 fracción I del RISE; 11.1, 11.3, 11.4, 12.2 y 12.3 del Acuerdo relativo a la Aplicación del Artículo VI del Acuerdo General sobre Aranceles Aduaneros y Comercio de 1994 (el “Acuerdo Antidumping”); 5 fracción VII, 67, 70 y 89 F de la LCE.</w:t>
      </w:r>
    </w:p>
    <w:p w:rsidR="00554BA4" w:rsidRPr="00554BA4" w:rsidRDefault="00554BA4" w:rsidP="00554BA4">
      <w:pPr>
        <w:jc w:val="both"/>
        <w:rPr>
          <w:rFonts w:ascii="Verdana" w:hAnsi="Verdana"/>
          <w:bCs/>
          <w:sz w:val="20"/>
          <w:szCs w:val="24"/>
        </w:rPr>
      </w:pPr>
      <w:r w:rsidRPr="00554BA4">
        <w:rPr>
          <w:rFonts w:ascii="Verdana" w:hAnsi="Verdana"/>
          <w:b/>
          <w:bCs/>
          <w:sz w:val="20"/>
          <w:szCs w:val="24"/>
          <w:lang w:val="es-ES"/>
        </w:rPr>
        <w:t>B. Legislación aplicable</w:t>
      </w:r>
    </w:p>
    <w:p w:rsidR="00554BA4" w:rsidRPr="00554BA4" w:rsidRDefault="00554BA4" w:rsidP="00554BA4">
      <w:pPr>
        <w:jc w:val="both"/>
        <w:rPr>
          <w:rFonts w:ascii="Verdana" w:hAnsi="Verdana"/>
          <w:bCs/>
          <w:sz w:val="20"/>
          <w:szCs w:val="24"/>
        </w:rPr>
      </w:pPr>
      <w:r w:rsidRPr="00554BA4">
        <w:rPr>
          <w:rFonts w:ascii="Verdana" w:hAnsi="Verdana"/>
          <w:b/>
          <w:bCs/>
          <w:sz w:val="20"/>
          <w:szCs w:val="24"/>
          <w:lang w:val="es-ES"/>
        </w:rPr>
        <w:t>17. </w:t>
      </w:r>
      <w:r w:rsidRPr="00554BA4">
        <w:rPr>
          <w:rFonts w:ascii="Verdana" w:hAnsi="Verdana"/>
          <w:bCs/>
          <w:sz w:val="20"/>
          <w:szCs w:val="24"/>
          <w:lang w:val="es-ES"/>
        </w:rPr>
        <w:t>Para efectos de este procedimiento son aplicables el Acuerdo Antidumping, la LCE, el Reglamento de la Ley de Comercio Exterior, el Código Fiscal de la Federación, la Ley Federal de Procedimiento Contencioso Administrativo y el Código Federal de Procedimientos Civiles, estos tres últimos de aplicación supletoria.</w:t>
      </w:r>
    </w:p>
    <w:p w:rsidR="00554BA4" w:rsidRPr="00554BA4" w:rsidRDefault="00554BA4" w:rsidP="00554BA4">
      <w:pPr>
        <w:jc w:val="both"/>
        <w:rPr>
          <w:rFonts w:ascii="Verdana" w:hAnsi="Verdana"/>
          <w:bCs/>
          <w:sz w:val="20"/>
          <w:szCs w:val="24"/>
        </w:rPr>
      </w:pPr>
      <w:r w:rsidRPr="00554BA4">
        <w:rPr>
          <w:rFonts w:ascii="Verdana" w:hAnsi="Verdana"/>
          <w:b/>
          <w:bCs/>
          <w:sz w:val="20"/>
          <w:szCs w:val="24"/>
          <w:lang w:val="es-ES"/>
        </w:rPr>
        <w:t>C. Conclusión del examen de vigencia</w:t>
      </w:r>
    </w:p>
    <w:p w:rsidR="00554BA4" w:rsidRPr="00554BA4" w:rsidRDefault="00554BA4" w:rsidP="00554BA4">
      <w:pPr>
        <w:jc w:val="both"/>
        <w:rPr>
          <w:rFonts w:ascii="Verdana" w:hAnsi="Verdana"/>
          <w:bCs/>
          <w:sz w:val="20"/>
          <w:szCs w:val="24"/>
        </w:rPr>
      </w:pPr>
      <w:r w:rsidRPr="00554BA4">
        <w:rPr>
          <w:rFonts w:ascii="Verdana" w:hAnsi="Verdana"/>
          <w:b/>
          <w:bCs/>
          <w:sz w:val="20"/>
          <w:szCs w:val="24"/>
          <w:lang w:val="es-ES"/>
        </w:rPr>
        <w:t>18. </w:t>
      </w:r>
      <w:r w:rsidRPr="00554BA4">
        <w:rPr>
          <w:rFonts w:ascii="Verdana" w:hAnsi="Verdana"/>
          <w:bCs/>
          <w:sz w:val="20"/>
          <w:szCs w:val="24"/>
          <w:lang w:val="es-ES"/>
        </w:rPr>
        <w:t>De conformidad con lo previsto en los artículos 11.3 del Acuerdo Antidumping, 70 fracción II y 70 B de la LCE, las cuotas compensatorias se eliminarán en un plazo de cinco años, a menos que la Secretaría haya iniciado, antes de concluir dicho plazo, entre otros, un examen de vigencia de las cuotas compensatorias, derivado de la manifestación de interés de uno o más productores nacionales.</w:t>
      </w:r>
    </w:p>
    <w:p w:rsidR="00554BA4" w:rsidRPr="00554BA4" w:rsidRDefault="00554BA4" w:rsidP="00554BA4">
      <w:pPr>
        <w:jc w:val="both"/>
        <w:rPr>
          <w:rFonts w:ascii="Verdana" w:hAnsi="Verdana"/>
          <w:bCs/>
          <w:sz w:val="20"/>
          <w:szCs w:val="24"/>
        </w:rPr>
      </w:pPr>
      <w:r w:rsidRPr="00554BA4">
        <w:rPr>
          <w:rFonts w:ascii="Verdana" w:hAnsi="Verdana"/>
          <w:b/>
          <w:bCs/>
          <w:sz w:val="20"/>
          <w:szCs w:val="24"/>
          <w:lang w:val="es-ES"/>
        </w:rPr>
        <w:t>19.</w:t>
      </w:r>
      <w:r w:rsidRPr="00554BA4">
        <w:rPr>
          <w:rFonts w:ascii="Verdana" w:hAnsi="Verdana"/>
          <w:bCs/>
          <w:sz w:val="20"/>
          <w:szCs w:val="24"/>
          <w:lang w:val="es-ES"/>
        </w:rPr>
        <w:t xml:space="preserve"> En el presente caso, </w:t>
      </w:r>
      <w:proofErr w:type="spellStart"/>
      <w:r w:rsidRPr="00554BA4">
        <w:rPr>
          <w:rFonts w:ascii="Verdana" w:hAnsi="Verdana"/>
          <w:bCs/>
          <w:sz w:val="20"/>
          <w:szCs w:val="24"/>
          <w:lang w:val="es-ES"/>
        </w:rPr>
        <w:t>Polioles</w:t>
      </w:r>
      <w:proofErr w:type="spellEnd"/>
      <w:r w:rsidRPr="00554BA4">
        <w:rPr>
          <w:rFonts w:ascii="Verdana" w:hAnsi="Verdana"/>
          <w:bCs/>
          <w:sz w:val="20"/>
          <w:szCs w:val="24"/>
          <w:lang w:val="es-ES"/>
        </w:rPr>
        <w:t xml:space="preserve">, en su calidad de productora nacional del producto objeto de examen, manifestó en tiempo y forma su interés en que se iniciara el examen de vigencia de la cuota compensatoria, por lo que la Secretaría publicó en el DOF del 5 de septiembre de 2017, el inicio del presente procedimiento; sin embargo, </w:t>
      </w:r>
      <w:proofErr w:type="spellStart"/>
      <w:r w:rsidRPr="00554BA4">
        <w:rPr>
          <w:rFonts w:ascii="Verdana" w:hAnsi="Verdana"/>
          <w:bCs/>
          <w:sz w:val="20"/>
          <w:szCs w:val="24"/>
          <w:lang w:val="es-ES"/>
        </w:rPr>
        <w:t>Polioles</w:t>
      </w:r>
      <w:proofErr w:type="spellEnd"/>
      <w:r w:rsidRPr="00554BA4">
        <w:rPr>
          <w:rFonts w:ascii="Verdana" w:hAnsi="Verdana"/>
          <w:bCs/>
          <w:sz w:val="20"/>
          <w:szCs w:val="24"/>
          <w:lang w:val="es-ES"/>
        </w:rPr>
        <w:t xml:space="preserve">, único productor nacional del producto objeto de examen, pese a que fue quien manifestó su interés en que se iniciara el examen, presentó su desistimiento de la manifestación de interés a que se refiere el punto 9 de la presente Resolución, así como de los argumentos y pruebas presentados durante el presente procedimiento, por lo que la Secretaría considera procedente concluir el procedimiento de examen y eliminar la cuota compensatoria impuesta a las importaciones de EB originarias de los </w:t>
      </w:r>
      <w:r w:rsidRPr="00554BA4">
        <w:rPr>
          <w:rFonts w:ascii="Verdana" w:hAnsi="Verdana"/>
          <w:bCs/>
          <w:sz w:val="20"/>
          <w:szCs w:val="24"/>
          <w:lang w:val="es-ES"/>
        </w:rPr>
        <w:lastRenderedPageBreak/>
        <w:t>Estados Unidos, de conformidad con lo dispuesto en los artículos 11.1 y 11.3 del Acuerdo Antidumping y 67 y 70 de la LCE.</w:t>
      </w:r>
    </w:p>
    <w:p w:rsidR="00554BA4" w:rsidRPr="00554BA4" w:rsidRDefault="00554BA4" w:rsidP="00554BA4">
      <w:pPr>
        <w:jc w:val="both"/>
        <w:rPr>
          <w:rFonts w:ascii="Verdana" w:hAnsi="Verdana"/>
          <w:bCs/>
          <w:sz w:val="20"/>
          <w:szCs w:val="24"/>
        </w:rPr>
      </w:pPr>
      <w:r w:rsidRPr="00554BA4">
        <w:rPr>
          <w:rFonts w:ascii="Verdana" w:hAnsi="Verdana"/>
          <w:b/>
          <w:bCs/>
          <w:sz w:val="20"/>
          <w:szCs w:val="24"/>
          <w:lang w:val="es-ES"/>
        </w:rPr>
        <w:t>20.</w:t>
      </w:r>
      <w:r w:rsidRPr="00554BA4">
        <w:rPr>
          <w:rFonts w:ascii="Verdana" w:hAnsi="Verdana"/>
          <w:bCs/>
          <w:sz w:val="20"/>
          <w:szCs w:val="24"/>
          <w:lang w:val="es-ES"/>
        </w:rPr>
        <w:t> Por lo anteriormente expuesto, con fundamento en los artículos 11.1 y 11.3 del Acuerdo Antidumping; 67, 70 y 89 F de la LCE, se emite la siguiente</w:t>
      </w:r>
    </w:p>
    <w:p w:rsidR="00554BA4" w:rsidRPr="00554BA4" w:rsidRDefault="00554BA4" w:rsidP="00554BA4">
      <w:pPr>
        <w:jc w:val="both"/>
        <w:rPr>
          <w:rFonts w:ascii="Verdana" w:hAnsi="Verdana"/>
          <w:b/>
          <w:bCs/>
          <w:sz w:val="20"/>
          <w:szCs w:val="24"/>
        </w:rPr>
      </w:pPr>
      <w:r w:rsidRPr="00554BA4">
        <w:rPr>
          <w:rFonts w:ascii="Verdana" w:hAnsi="Verdana"/>
          <w:b/>
          <w:bCs/>
          <w:sz w:val="20"/>
          <w:szCs w:val="24"/>
          <w:lang w:val="es-ES_tradnl"/>
        </w:rPr>
        <w:t>RESOLUCIÓN</w:t>
      </w:r>
    </w:p>
    <w:p w:rsidR="00554BA4" w:rsidRPr="00554BA4" w:rsidRDefault="00554BA4" w:rsidP="00554BA4">
      <w:pPr>
        <w:jc w:val="both"/>
        <w:rPr>
          <w:rFonts w:ascii="Verdana" w:hAnsi="Verdana"/>
          <w:bCs/>
          <w:sz w:val="20"/>
          <w:szCs w:val="24"/>
        </w:rPr>
      </w:pPr>
      <w:r w:rsidRPr="00554BA4">
        <w:rPr>
          <w:rFonts w:ascii="Verdana" w:hAnsi="Verdana"/>
          <w:b/>
          <w:bCs/>
          <w:sz w:val="20"/>
          <w:szCs w:val="24"/>
          <w:lang w:val="es-ES"/>
        </w:rPr>
        <w:t>21.</w:t>
      </w:r>
      <w:r w:rsidRPr="00554BA4">
        <w:rPr>
          <w:rFonts w:ascii="Verdana" w:hAnsi="Verdana"/>
          <w:bCs/>
          <w:sz w:val="20"/>
          <w:szCs w:val="24"/>
          <w:lang w:val="es-ES"/>
        </w:rPr>
        <w:t> Se declara concluido el presente procedimiento de examen de vigencia de las cuotas compensatorias impuestas a las importaciones de EB originarias de los Estados Unidos, independientemente del país de procedencia.</w:t>
      </w:r>
    </w:p>
    <w:p w:rsidR="00554BA4" w:rsidRPr="00554BA4" w:rsidRDefault="00554BA4" w:rsidP="00554BA4">
      <w:pPr>
        <w:jc w:val="both"/>
        <w:rPr>
          <w:rFonts w:ascii="Verdana" w:hAnsi="Verdana"/>
          <w:bCs/>
          <w:sz w:val="20"/>
          <w:szCs w:val="24"/>
        </w:rPr>
      </w:pPr>
      <w:r w:rsidRPr="00554BA4">
        <w:rPr>
          <w:rFonts w:ascii="Verdana" w:hAnsi="Verdana"/>
          <w:b/>
          <w:bCs/>
          <w:sz w:val="20"/>
          <w:szCs w:val="24"/>
          <w:lang w:val="es-ES"/>
        </w:rPr>
        <w:t>22. </w:t>
      </w:r>
      <w:r w:rsidRPr="00554BA4">
        <w:rPr>
          <w:rFonts w:ascii="Verdana" w:hAnsi="Verdana"/>
          <w:bCs/>
          <w:sz w:val="20"/>
          <w:szCs w:val="24"/>
          <w:lang w:val="es-ES"/>
        </w:rPr>
        <w:t>Se eliminan las cuotas compensatorias impuestas a las importaciones de EB originarias de los Estados Unidos.</w:t>
      </w:r>
    </w:p>
    <w:p w:rsidR="00554BA4" w:rsidRPr="00554BA4" w:rsidRDefault="00554BA4" w:rsidP="00554BA4">
      <w:pPr>
        <w:jc w:val="both"/>
        <w:rPr>
          <w:rFonts w:ascii="Verdana" w:hAnsi="Verdana"/>
          <w:bCs/>
          <w:sz w:val="20"/>
          <w:szCs w:val="24"/>
        </w:rPr>
      </w:pPr>
      <w:r w:rsidRPr="00554BA4">
        <w:rPr>
          <w:rFonts w:ascii="Verdana" w:hAnsi="Verdana"/>
          <w:b/>
          <w:bCs/>
          <w:sz w:val="20"/>
          <w:szCs w:val="24"/>
          <w:lang w:val="es-ES"/>
        </w:rPr>
        <w:t>23. </w:t>
      </w:r>
      <w:r w:rsidRPr="00554BA4">
        <w:rPr>
          <w:rFonts w:ascii="Verdana" w:hAnsi="Verdana"/>
          <w:bCs/>
          <w:sz w:val="20"/>
          <w:szCs w:val="24"/>
          <w:lang w:val="es-ES"/>
        </w:rPr>
        <w:t>Notifíquese la presente Resolución a las partes interesadas de que se tiene conocimiento.</w:t>
      </w:r>
    </w:p>
    <w:p w:rsidR="00554BA4" w:rsidRPr="00554BA4" w:rsidRDefault="00554BA4" w:rsidP="00554BA4">
      <w:pPr>
        <w:jc w:val="both"/>
        <w:rPr>
          <w:rFonts w:ascii="Verdana" w:hAnsi="Verdana"/>
          <w:bCs/>
          <w:sz w:val="20"/>
          <w:szCs w:val="24"/>
        </w:rPr>
      </w:pPr>
      <w:r w:rsidRPr="00554BA4">
        <w:rPr>
          <w:rFonts w:ascii="Verdana" w:hAnsi="Verdana"/>
          <w:b/>
          <w:bCs/>
          <w:sz w:val="20"/>
          <w:szCs w:val="24"/>
          <w:lang w:val="es-ES"/>
        </w:rPr>
        <w:t>24. </w:t>
      </w:r>
      <w:r w:rsidRPr="00554BA4">
        <w:rPr>
          <w:rFonts w:ascii="Verdana" w:hAnsi="Verdana"/>
          <w:bCs/>
          <w:sz w:val="20"/>
          <w:szCs w:val="24"/>
          <w:lang w:val="es-ES"/>
        </w:rPr>
        <w:t>Comuníquese esta Resolución al Servicio de Administración Tributaria, para los efectos legales correspondientes.</w:t>
      </w:r>
    </w:p>
    <w:p w:rsidR="00554BA4" w:rsidRPr="00554BA4" w:rsidRDefault="00554BA4" w:rsidP="00554BA4">
      <w:pPr>
        <w:jc w:val="both"/>
        <w:rPr>
          <w:rFonts w:ascii="Verdana" w:hAnsi="Verdana"/>
          <w:bCs/>
          <w:sz w:val="20"/>
          <w:szCs w:val="24"/>
        </w:rPr>
      </w:pPr>
      <w:r w:rsidRPr="00554BA4">
        <w:rPr>
          <w:rFonts w:ascii="Verdana" w:hAnsi="Verdana"/>
          <w:b/>
          <w:bCs/>
          <w:sz w:val="20"/>
          <w:szCs w:val="24"/>
          <w:lang w:val="es-ES"/>
        </w:rPr>
        <w:t>25.</w:t>
      </w:r>
      <w:r w:rsidRPr="00554BA4">
        <w:rPr>
          <w:rFonts w:ascii="Verdana" w:hAnsi="Verdana"/>
          <w:bCs/>
          <w:sz w:val="20"/>
          <w:szCs w:val="24"/>
          <w:lang w:val="es-ES"/>
        </w:rPr>
        <w:t> La presente Resolución entrará en vigor al día siguiente de su publicación en el DOF.</w:t>
      </w:r>
    </w:p>
    <w:p w:rsidR="00554BA4" w:rsidRPr="00554BA4" w:rsidRDefault="00554BA4" w:rsidP="00554BA4">
      <w:pPr>
        <w:jc w:val="both"/>
        <w:rPr>
          <w:rFonts w:ascii="Verdana" w:hAnsi="Verdana"/>
          <w:bCs/>
          <w:sz w:val="20"/>
          <w:szCs w:val="24"/>
        </w:rPr>
      </w:pPr>
      <w:r w:rsidRPr="00554BA4">
        <w:rPr>
          <w:rFonts w:ascii="Verdana" w:hAnsi="Verdana"/>
          <w:b/>
          <w:bCs/>
          <w:sz w:val="20"/>
          <w:szCs w:val="24"/>
          <w:lang w:val="es-ES"/>
        </w:rPr>
        <w:t>26. </w:t>
      </w:r>
      <w:r w:rsidRPr="00554BA4">
        <w:rPr>
          <w:rFonts w:ascii="Verdana" w:hAnsi="Verdana"/>
          <w:bCs/>
          <w:sz w:val="20"/>
          <w:szCs w:val="24"/>
          <w:lang w:val="es-ES"/>
        </w:rPr>
        <w:t>Archívese como caso total y definitivamente concluido.</w:t>
      </w:r>
    </w:p>
    <w:p w:rsidR="00554BA4" w:rsidRPr="00554BA4" w:rsidRDefault="00554BA4" w:rsidP="00554BA4">
      <w:pPr>
        <w:jc w:val="both"/>
        <w:rPr>
          <w:rFonts w:ascii="Verdana" w:hAnsi="Verdana"/>
          <w:bCs/>
          <w:sz w:val="20"/>
          <w:szCs w:val="24"/>
        </w:rPr>
      </w:pPr>
      <w:r w:rsidRPr="00554BA4">
        <w:rPr>
          <w:rFonts w:ascii="Verdana" w:hAnsi="Verdana"/>
          <w:bCs/>
          <w:sz w:val="20"/>
          <w:szCs w:val="24"/>
        </w:rPr>
        <w:t>Ciudad de México, a 22 de febrero de 2018.- El Secretario de Economía, Ildefonso Guajardo Villarreal.- Rúbrica.</w:t>
      </w:r>
    </w:p>
    <w:p w:rsidR="00554BA4" w:rsidRPr="00554BA4" w:rsidRDefault="00554BA4" w:rsidP="00554BA4">
      <w:pPr>
        <w:jc w:val="both"/>
        <w:rPr>
          <w:rFonts w:ascii="Verdana" w:hAnsi="Verdana"/>
          <w:bCs/>
          <w:sz w:val="20"/>
          <w:szCs w:val="24"/>
        </w:rPr>
      </w:pPr>
      <w:r w:rsidRPr="00554BA4">
        <w:rPr>
          <w:rFonts w:ascii="Verdana" w:hAnsi="Verdana"/>
          <w:bCs/>
          <w:sz w:val="20"/>
          <w:szCs w:val="24"/>
        </w:rPr>
        <w:t> </w:t>
      </w:r>
    </w:p>
    <w:p w:rsidR="00554BA4" w:rsidRPr="00554BA4" w:rsidRDefault="00554BA4" w:rsidP="00554BA4">
      <w:pPr>
        <w:jc w:val="both"/>
        <w:rPr>
          <w:rFonts w:ascii="Verdana" w:hAnsi="Verdana"/>
          <w:bCs/>
          <w:sz w:val="20"/>
          <w:szCs w:val="24"/>
        </w:rPr>
      </w:pPr>
      <w:r w:rsidRPr="00554BA4">
        <w:rPr>
          <w:rFonts w:ascii="Verdana" w:hAnsi="Verdana"/>
          <w:bCs/>
          <w:sz w:val="20"/>
          <w:szCs w:val="24"/>
        </w:rPr>
        <w:t> </w:t>
      </w:r>
    </w:p>
    <w:p w:rsidR="00046356" w:rsidRPr="00046356" w:rsidRDefault="00046356" w:rsidP="00046356">
      <w:pPr>
        <w:jc w:val="both"/>
        <w:rPr>
          <w:rFonts w:ascii="Verdana" w:hAnsi="Verdana"/>
          <w:bCs/>
          <w:sz w:val="20"/>
          <w:szCs w:val="24"/>
        </w:rPr>
      </w:pPr>
    </w:p>
    <w:p w:rsidR="00046356" w:rsidRPr="00046356" w:rsidRDefault="00046356" w:rsidP="00046356">
      <w:pPr>
        <w:jc w:val="both"/>
        <w:rPr>
          <w:sz w:val="20"/>
        </w:rPr>
      </w:pPr>
    </w:p>
    <w:sectPr w:rsidR="00046356" w:rsidRPr="0004635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356"/>
    <w:rsid w:val="00046356"/>
    <w:rsid w:val="002228FA"/>
    <w:rsid w:val="00554BA4"/>
    <w:rsid w:val="00C06CE1"/>
    <w:rsid w:val="00CD621B"/>
    <w:rsid w:val="00D418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832788">
      <w:bodyDiv w:val="1"/>
      <w:marLeft w:val="0"/>
      <w:marRight w:val="0"/>
      <w:marTop w:val="0"/>
      <w:marBottom w:val="0"/>
      <w:divBdr>
        <w:top w:val="none" w:sz="0" w:space="0" w:color="auto"/>
        <w:left w:val="none" w:sz="0" w:space="0" w:color="auto"/>
        <w:bottom w:val="none" w:sz="0" w:space="0" w:color="auto"/>
        <w:right w:val="none" w:sz="0" w:space="0" w:color="auto"/>
      </w:divBdr>
      <w:divsChild>
        <w:div w:id="98374241">
          <w:marLeft w:val="0"/>
          <w:marRight w:val="0"/>
          <w:marTop w:val="0"/>
          <w:marBottom w:val="0"/>
          <w:divBdr>
            <w:top w:val="double" w:sz="6" w:space="1" w:color="auto"/>
            <w:left w:val="none" w:sz="0" w:space="0" w:color="auto"/>
            <w:bottom w:val="none" w:sz="0" w:space="0" w:color="auto"/>
            <w:right w:val="none" w:sz="0" w:space="0" w:color="auto"/>
          </w:divBdr>
        </w:div>
      </w:divsChild>
    </w:div>
    <w:div w:id="838472649">
      <w:bodyDiv w:val="1"/>
      <w:marLeft w:val="0"/>
      <w:marRight w:val="0"/>
      <w:marTop w:val="0"/>
      <w:marBottom w:val="0"/>
      <w:divBdr>
        <w:top w:val="none" w:sz="0" w:space="0" w:color="auto"/>
        <w:left w:val="none" w:sz="0" w:space="0" w:color="auto"/>
        <w:bottom w:val="none" w:sz="0" w:space="0" w:color="auto"/>
        <w:right w:val="none" w:sz="0" w:space="0" w:color="auto"/>
      </w:divBdr>
      <w:divsChild>
        <w:div w:id="1497840242">
          <w:marLeft w:val="0"/>
          <w:marRight w:val="0"/>
          <w:marTop w:val="0"/>
          <w:marBottom w:val="0"/>
          <w:divBdr>
            <w:top w:val="none" w:sz="0" w:space="0" w:color="auto"/>
            <w:left w:val="none" w:sz="0" w:space="0" w:color="auto"/>
            <w:bottom w:val="single" w:sz="12" w:space="1" w:color="auto"/>
            <w:right w:val="none" w:sz="0" w:space="0" w:color="auto"/>
          </w:divBdr>
        </w:div>
      </w:divsChild>
    </w:div>
    <w:div w:id="953901943">
      <w:bodyDiv w:val="1"/>
      <w:marLeft w:val="0"/>
      <w:marRight w:val="0"/>
      <w:marTop w:val="0"/>
      <w:marBottom w:val="0"/>
      <w:divBdr>
        <w:top w:val="none" w:sz="0" w:space="0" w:color="auto"/>
        <w:left w:val="none" w:sz="0" w:space="0" w:color="auto"/>
        <w:bottom w:val="none" w:sz="0" w:space="0" w:color="auto"/>
        <w:right w:val="none" w:sz="0" w:space="0" w:color="auto"/>
      </w:divBdr>
      <w:divsChild>
        <w:div w:id="333336186">
          <w:marLeft w:val="0"/>
          <w:marRight w:val="0"/>
          <w:marTop w:val="0"/>
          <w:marBottom w:val="0"/>
          <w:divBdr>
            <w:top w:val="double" w:sz="6" w:space="1" w:color="auto"/>
            <w:left w:val="none" w:sz="0" w:space="0" w:color="auto"/>
            <w:bottom w:val="none" w:sz="0" w:space="0" w:color="auto"/>
            <w:right w:val="none" w:sz="0" w:space="0" w:color="auto"/>
          </w:divBdr>
        </w:div>
      </w:divsChild>
    </w:div>
    <w:div w:id="1077509380">
      <w:bodyDiv w:val="1"/>
      <w:marLeft w:val="0"/>
      <w:marRight w:val="0"/>
      <w:marTop w:val="0"/>
      <w:marBottom w:val="0"/>
      <w:divBdr>
        <w:top w:val="none" w:sz="0" w:space="0" w:color="auto"/>
        <w:left w:val="none" w:sz="0" w:space="0" w:color="auto"/>
        <w:bottom w:val="none" w:sz="0" w:space="0" w:color="auto"/>
        <w:right w:val="none" w:sz="0" w:space="0" w:color="auto"/>
      </w:divBdr>
      <w:divsChild>
        <w:div w:id="1490898159">
          <w:marLeft w:val="0"/>
          <w:marRight w:val="0"/>
          <w:marTop w:val="0"/>
          <w:marBottom w:val="0"/>
          <w:divBdr>
            <w:top w:val="none" w:sz="0" w:space="0" w:color="auto"/>
            <w:left w:val="none" w:sz="0" w:space="0" w:color="auto"/>
            <w:bottom w:val="single" w:sz="12" w:space="1" w:color="auto"/>
            <w:right w:val="none" w:sz="0" w:space="0" w:color="auto"/>
          </w:divBdr>
        </w:div>
      </w:divsChild>
    </w:div>
    <w:div w:id="1167015635">
      <w:bodyDiv w:val="1"/>
      <w:marLeft w:val="0"/>
      <w:marRight w:val="0"/>
      <w:marTop w:val="0"/>
      <w:marBottom w:val="0"/>
      <w:divBdr>
        <w:top w:val="none" w:sz="0" w:space="0" w:color="auto"/>
        <w:left w:val="none" w:sz="0" w:space="0" w:color="auto"/>
        <w:bottom w:val="none" w:sz="0" w:space="0" w:color="auto"/>
        <w:right w:val="none" w:sz="0" w:space="0" w:color="auto"/>
      </w:divBdr>
      <w:divsChild>
        <w:div w:id="1554582774">
          <w:marLeft w:val="0"/>
          <w:marRight w:val="0"/>
          <w:marTop w:val="0"/>
          <w:marBottom w:val="0"/>
          <w:divBdr>
            <w:top w:val="double" w:sz="6" w:space="1" w:color="auto"/>
            <w:left w:val="none" w:sz="0" w:space="0" w:color="auto"/>
            <w:bottom w:val="none" w:sz="0" w:space="0" w:color="auto"/>
            <w:right w:val="none" w:sz="0" w:space="0" w:color="auto"/>
          </w:divBdr>
        </w:div>
      </w:divsChild>
    </w:div>
    <w:div w:id="1188446766">
      <w:bodyDiv w:val="1"/>
      <w:marLeft w:val="0"/>
      <w:marRight w:val="0"/>
      <w:marTop w:val="0"/>
      <w:marBottom w:val="0"/>
      <w:divBdr>
        <w:top w:val="none" w:sz="0" w:space="0" w:color="auto"/>
        <w:left w:val="none" w:sz="0" w:space="0" w:color="auto"/>
        <w:bottom w:val="none" w:sz="0" w:space="0" w:color="auto"/>
        <w:right w:val="none" w:sz="0" w:space="0" w:color="auto"/>
      </w:divBdr>
      <w:divsChild>
        <w:div w:id="1167212533">
          <w:marLeft w:val="0"/>
          <w:marRight w:val="0"/>
          <w:marTop w:val="0"/>
          <w:marBottom w:val="0"/>
          <w:divBdr>
            <w:top w:val="double" w:sz="6" w:space="1" w:color="auto"/>
            <w:left w:val="none" w:sz="0" w:space="0" w:color="auto"/>
            <w:bottom w:val="none" w:sz="0" w:space="0" w:color="auto"/>
            <w:right w:val="none" w:sz="0" w:space="0" w:color="auto"/>
          </w:divBdr>
        </w:div>
      </w:divsChild>
    </w:div>
    <w:div w:id="1325359213">
      <w:bodyDiv w:val="1"/>
      <w:marLeft w:val="0"/>
      <w:marRight w:val="0"/>
      <w:marTop w:val="0"/>
      <w:marBottom w:val="0"/>
      <w:divBdr>
        <w:top w:val="none" w:sz="0" w:space="0" w:color="auto"/>
        <w:left w:val="none" w:sz="0" w:space="0" w:color="auto"/>
        <w:bottom w:val="none" w:sz="0" w:space="0" w:color="auto"/>
        <w:right w:val="none" w:sz="0" w:space="0" w:color="auto"/>
      </w:divBdr>
      <w:divsChild>
        <w:div w:id="178398896">
          <w:marLeft w:val="0"/>
          <w:marRight w:val="0"/>
          <w:marTop w:val="0"/>
          <w:marBottom w:val="0"/>
          <w:divBdr>
            <w:top w:val="double" w:sz="6" w:space="1" w:color="auto"/>
            <w:left w:val="none" w:sz="0" w:space="0" w:color="auto"/>
            <w:bottom w:val="none" w:sz="0" w:space="0" w:color="auto"/>
            <w:right w:val="none" w:sz="0" w:space="0" w:color="auto"/>
          </w:divBdr>
        </w:div>
      </w:divsChild>
    </w:div>
    <w:div w:id="1331640787">
      <w:bodyDiv w:val="1"/>
      <w:marLeft w:val="0"/>
      <w:marRight w:val="0"/>
      <w:marTop w:val="0"/>
      <w:marBottom w:val="0"/>
      <w:divBdr>
        <w:top w:val="none" w:sz="0" w:space="0" w:color="auto"/>
        <w:left w:val="none" w:sz="0" w:space="0" w:color="auto"/>
        <w:bottom w:val="none" w:sz="0" w:space="0" w:color="auto"/>
        <w:right w:val="none" w:sz="0" w:space="0" w:color="auto"/>
      </w:divBdr>
      <w:divsChild>
        <w:div w:id="1309480598">
          <w:marLeft w:val="0"/>
          <w:marRight w:val="0"/>
          <w:marTop w:val="0"/>
          <w:marBottom w:val="0"/>
          <w:divBdr>
            <w:top w:val="none" w:sz="0" w:space="0" w:color="auto"/>
            <w:left w:val="none" w:sz="0" w:space="0" w:color="auto"/>
            <w:bottom w:val="single" w:sz="12" w:space="1" w:color="auto"/>
            <w:right w:val="none" w:sz="0" w:space="0" w:color="auto"/>
          </w:divBdr>
        </w:div>
      </w:divsChild>
    </w:div>
    <w:div w:id="1385518990">
      <w:bodyDiv w:val="1"/>
      <w:marLeft w:val="0"/>
      <w:marRight w:val="0"/>
      <w:marTop w:val="0"/>
      <w:marBottom w:val="0"/>
      <w:divBdr>
        <w:top w:val="none" w:sz="0" w:space="0" w:color="auto"/>
        <w:left w:val="none" w:sz="0" w:space="0" w:color="auto"/>
        <w:bottom w:val="none" w:sz="0" w:space="0" w:color="auto"/>
        <w:right w:val="none" w:sz="0" w:space="0" w:color="auto"/>
      </w:divBdr>
      <w:divsChild>
        <w:div w:id="2104912065">
          <w:marLeft w:val="0"/>
          <w:marRight w:val="0"/>
          <w:marTop w:val="0"/>
          <w:marBottom w:val="0"/>
          <w:divBdr>
            <w:top w:val="double" w:sz="6" w:space="1" w:color="auto"/>
            <w:left w:val="none" w:sz="0" w:space="0" w:color="auto"/>
            <w:bottom w:val="none" w:sz="0" w:space="0" w:color="auto"/>
            <w:right w:val="none" w:sz="0" w:space="0" w:color="auto"/>
          </w:divBdr>
        </w:div>
      </w:divsChild>
    </w:div>
    <w:div w:id="1397128039">
      <w:bodyDiv w:val="1"/>
      <w:marLeft w:val="0"/>
      <w:marRight w:val="0"/>
      <w:marTop w:val="0"/>
      <w:marBottom w:val="0"/>
      <w:divBdr>
        <w:top w:val="none" w:sz="0" w:space="0" w:color="auto"/>
        <w:left w:val="none" w:sz="0" w:space="0" w:color="auto"/>
        <w:bottom w:val="none" w:sz="0" w:space="0" w:color="auto"/>
        <w:right w:val="none" w:sz="0" w:space="0" w:color="auto"/>
      </w:divBdr>
      <w:divsChild>
        <w:div w:id="1048988478">
          <w:marLeft w:val="0"/>
          <w:marRight w:val="0"/>
          <w:marTop w:val="0"/>
          <w:marBottom w:val="0"/>
          <w:divBdr>
            <w:top w:val="none" w:sz="0" w:space="0" w:color="auto"/>
            <w:left w:val="none" w:sz="0" w:space="0" w:color="auto"/>
            <w:bottom w:val="single" w:sz="12" w:space="1" w:color="auto"/>
            <w:right w:val="none" w:sz="0" w:space="0" w:color="auto"/>
          </w:divBdr>
        </w:div>
      </w:divsChild>
    </w:div>
    <w:div w:id="1919825611">
      <w:bodyDiv w:val="1"/>
      <w:marLeft w:val="0"/>
      <w:marRight w:val="0"/>
      <w:marTop w:val="0"/>
      <w:marBottom w:val="0"/>
      <w:divBdr>
        <w:top w:val="none" w:sz="0" w:space="0" w:color="auto"/>
        <w:left w:val="none" w:sz="0" w:space="0" w:color="auto"/>
        <w:bottom w:val="none" w:sz="0" w:space="0" w:color="auto"/>
        <w:right w:val="none" w:sz="0" w:space="0" w:color="auto"/>
      </w:divBdr>
      <w:divsChild>
        <w:div w:id="1629780256">
          <w:marLeft w:val="0"/>
          <w:marRight w:val="0"/>
          <w:marTop w:val="0"/>
          <w:marBottom w:val="0"/>
          <w:divBdr>
            <w:top w:val="double" w:sz="6" w:space="1" w:color="auto"/>
            <w:left w:val="none" w:sz="0" w:space="0" w:color="auto"/>
            <w:bottom w:val="none" w:sz="0" w:space="0" w:color="auto"/>
            <w:right w:val="none" w:sz="0" w:space="0" w:color="auto"/>
          </w:divBdr>
        </w:div>
      </w:divsChild>
    </w:div>
    <w:div w:id="1927883048">
      <w:bodyDiv w:val="1"/>
      <w:marLeft w:val="0"/>
      <w:marRight w:val="0"/>
      <w:marTop w:val="0"/>
      <w:marBottom w:val="0"/>
      <w:divBdr>
        <w:top w:val="none" w:sz="0" w:space="0" w:color="auto"/>
        <w:left w:val="none" w:sz="0" w:space="0" w:color="auto"/>
        <w:bottom w:val="none" w:sz="0" w:space="0" w:color="auto"/>
        <w:right w:val="none" w:sz="0" w:space="0" w:color="auto"/>
      </w:divBdr>
      <w:divsChild>
        <w:div w:id="837696398">
          <w:marLeft w:val="0"/>
          <w:marRight w:val="0"/>
          <w:marTop w:val="0"/>
          <w:marBottom w:val="0"/>
          <w:divBdr>
            <w:top w:val="none" w:sz="0" w:space="0" w:color="auto"/>
            <w:left w:val="none" w:sz="0" w:space="0" w:color="auto"/>
            <w:bottom w:val="single" w:sz="12"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1544</Words>
  <Characters>8497</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2018-03-06T14:36:00Z</dcterms:created>
  <dcterms:modified xsi:type="dcterms:W3CDTF">2018-03-06T14:36:00Z</dcterms:modified>
</cp:coreProperties>
</file>