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B" w:rsidRDefault="00757B62" w:rsidP="00757B62">
      <w:pPr>
        <w:jc w:val="center"/>
        <w:rPr>
          <w:rFonts w:ascii="Verdana" w:hAnsi="Verdana"/>
          <w:b/>
          <w:color w:val="0070C0"/>
          <w:sz w:val="24"/>
        </w:rPr>
      </w:pPr>
      <w:r w:rsidRPr="00757B62">
        <w:rPr>
          <w:rFonts w:ascii="Verdana" w:hAnsi="Verdana"/>
          <w:b/>
          <w:color w:val="0070C0"/>
          <w:sz w:val="24"/>
        </w:rPr>
        <w:t>Acuerdo ACDO.SA2.HCT.270917/241.P.DIR del H. Consejo Técnico relativo a la aprobación del pago bimestral para la incorporación voluntaria al Régime</w:t>
      </w:r>
      <w:r>
        <w:rPr>
          <w:rFonts w:ascii="Verdana" w:hAnsi="Verdana"/>
          <w:b/>
          <w:color w:val="0070C0"/>
          <w:sz w:val="24"/>
        </w:rPr>
        <w:t>n Obligatorio del Seguro Social</w:t>
      </w:r>
    </w:p>
    <w:p w:rsidR="00757B62" w:rsidRDefault="00757B62" w:rsidP="00757B62">
      <w:pPr>
        <w:jc w:val="center"/>
        <w:rPr>
          <w:rFonts w:ascii="Verdana" w:hAnsi="Verdana"/>
          <w:b/>
          <w:color w:val="0070C0"/>
          <w:sz w:val="24"/>
        </w:rPr>
      </w:pPr>
      <w:bookmarkStart w:id="0" w:name="_GoBack"/>
      <w:r>
        <w:rPr>
          <w:rFonts w:ascii="Verdana" w:hAnsi="Verdana"/>
          <w:b/>
          <w:color w:val="0070C0"/>
          <w:sz w:val="24"/>
        </w:rPr>
        <w:t>(DOF del 25 de octubre de 2017)</w:t>
      </w:r>
    </w:p>
    <w:bookmarkEnd w:id="0"/>
    <w:p w:rsidR="00757B62" w:rsidRPr="00757B62" w:rsidRDefault="00757B62" w:rsidP="00757B62">
      <w:pPr>
        <w:jc w:val="both"/>
        <w:rPr>
          <w:rFonts w:ascii="Verdana" w:hAnsi="Verdana"/>
          <w:b/>
          <w:bCs/>
          <w:sz w:val="20"/>
        </w:rPr>
      </w:pPr>
      <w:r w:rsidRPr="00757B62">
        <w:rPr>
          <w:rFonts w:ascii="Verdana" w:hAnsi="Verdana"/>
          <w:b/>
          <w:bCs/>
          <w:sz w:val="20"/>
        </w:rPr>
        <w:t>Al margen un sello con el Escudo Nacional, que dice: Estados Unidos Mexicanos.- Instituto Mexicano del Seguro Social.- Secretaría General.</w:t>
      </w:r>
    </w:p>
    <w:p w:rsidR="00757B62" w:rsidRPr="00757B62" w:rsidRDefault="00757B62" w:rsidP="00757B62">
      <w:pPr>
        <w:jc w:val="both"/>
        <w:rPr>
          <w:rFonts w:ascii="Verdana" w:hAnsi="Verdana"/>
          <w:sz w:val="20"/>
        </w:rPr>
      </w:pPr>
      <w:r w:rsidRPr="00757B62">
        <w:rPr>
          <w:rFonts w:ascii="Verdana" w:hAnsi="Verdana"/>
          <w:sz w:val="20"/>
        </w:rPr>
        <w:t>El H. Consejo Técnico, en la sesión ordinaria celebrada el día 27 de septiembre del presente año, dictó el Acuerdo ACDO.SA2.HCT.270917/241.P.DIR, en los siguientes términos:</w:t>
      </w:r>
    </w:p>
    <w:p w:rsidR="00757B62" w:rsidRPr="00757B62" w:rsidRDefault="00757B62" w:rsidP="00757B62">
      <w:pPr>
        <w:jc w:val="both"/>
        <w:rPr>
          <w:rFonts w:ascii="Verdana" w:hAnsi="Verdana"/>
          <w:sz w:val="20"/>
        </w:rPr>
      </w:pPr>
      <w:r w:rsidRPr="00757B62">
        <w:rPr>
          <w:rFonts w:ascii="Verdana" w:hAnsi="Verdana"/>
          <w:sz w:val="20"/>
        </w:rPr>
        <w:t xml:space="preserve">"Este Consejo Técnico, con fundamento en lo dispuesto por los artículos 13, fracciones I, III y IV, 222, fracción II, incisos a) y c), 224, 263 y 264, fracciones III, X, XIV, XV y XVII, de la Ley del Seguro Social; 31, fracciones IV y XX, del Reglamento Interior del Instituto Mexicano del Seguro Social; 115, del Reglamento de la Ley del Seguro Social en materia de Afiliación, Clasificación de Empresas, Recaudación y Fiscalización; y de conformidad con el planteamiento presentado por la Dirección General, por conducto de la persona Titular de la Dirección de Incorporación y </w:t>
      </w:r>
      <w:proofErr w:type="spellStart"/>
      <w:r w:rsidRPr="00757B62">
        <w:rPr>
          <w:rFonts w:ascii="Verdana" w:hAnsi="Verdana"/>
          <w:sz w:val="20"/>
        </w:rPr>
        <w:t>Recaudación,mediante</w:t>
      </w:r>
      <w:proofErr w:type="spellEnd"/>
      <w:r w:rsidRPr="00757B62">
        <w:rPr>
          <w:rFonts w:ascii="Verdana" w:hAnsi="Verdana"/>
          <w:sz w:val="20"/>
        </w:rPr>
        <w:t xml:space="preserve"> oficio 38 del 14 de septiembre de 2017, así como el dictamen del Comité del mismo nombre del propio Órgano de Gobierno, en reunión celebrada el día 13 del mes y año citados, </w:t>
      </w:r>
      <w:r w:rsidRPr="00757B62">
        <w:rPr>
          <w:rFonts w:ascii="Verdana" w:hAnsi="Verdana"/>
          <w:b/>
          <w:bCs/>
          <w:sz w:val="20"/>
        </w:rPr>
        <w:t>Acuerda: Primero.-</w:t>
      </w:r>
      <w:r w:rsidRPr="00757B62">
        <w:rPr>
          <w:rFonts w:ascii="Verdana" w:hAnsi="Verdana"/>
          <w:sz w:val="20"/>
        </w:rPr>
        <w:t> Autorizar que el pago de las cuotas a cargo de los trabajadores en industrias familiares y los independientes, como profesionales, comerciantes en pequeño, artesanos y demás trabajadores no asalariados; los ejidatarios, comuneros, colonos y pequeños propietarios, así como de los patrones personas físicas con trabajadores asegurados a su servicio, a los que se refiere el artículo 13, fracciones I, III y IV, de la Ley del Seguro Social, se pueda realizar de forma bimestral anticipada, de conformidad con lo dispuesto en los artículos 224, de la Ley del Seguro Social y 115, del Reglamento de la Ley del Seguro Social en materia de Afiliación, Clasificación de Empresas, Recaudación y Fiscalización. </w:t>
      </w:r>
      <w:r w:rsidRPr="00757B62">
        <w:rPr>
          <w:rFonts w:ascii="Verdana" w:hAnsi="Verdana"/>
          <w:b/>
          <w:bCs/>
          <w:sz w:val="20"/>
        </w:rPr>
        <w:t>Segundo.-</w:t>
      </w:r>
      <w:r w:rsidRPr="00757B62">
        <w:rPr>
          <w:rFonts w:ascii="Verdana" w:hAnsi="Verdana"/>
          <w:sz w:val="20"/>
        </w:rPr>
        <w:t> Instruir a la persona Titular de la Dirección de Incorporación y Recaudación para que establezca los procedimientos técnicos, operativos y formatos necesarios, para que la inscripción y renovación en las citadas incorporaciones voluntarias al Régimen Obligatorio del Seguro Social, se puedan realizar de forma bimestral o anual anticipada, tanto de manera presencial como tecnológica en el portal de internet del Instituto (www.imss.gob.mx). </w:t>
      </w:r>
      <w:r w:rsidRPr="00757B62">
        <w:rPr>
          <w:rFonts w:ascii="Verdana" w:hAnsi="Verdana"/>
          <w:b/>
          <w:bCs/>
          <w:sz w:val="20"/>
        </w:rPr>
        <w:t>Tercero.-</w:t>
      </w:r>
      <w:r w:rsidRPr="00757B62">
        <w:rPr>
          <w:rFonts w:ascii="Verdana" w:hAnsi="Verdana"/>
          <w:sz w:val="20"/>
        </w:rPr>
        <w:t xml:space="preserve"> Instruir a la persona Titular de la Dirección de Innovación y Desarrollo Tecnológico para que desarrolle el aplicativo que permita efectuar la inscripción y la renovación en las citadas incorporaciones voluntarias al Régimen Obligatorio del Seguro Social, de forma bimestral o </w:t>
      </w:r>
      <w:proofErr w:type="spellStart"/>
      <w:r w:rsidRPr="00757B62">
        <w:rPr>
          <w:rFonts w:ascii="Verdana" w:hAnsi="Verdana"/>
          <w:sz w:val="20"/>
        </w:rPr>
        <w:t>anualanticipada</w:t>
      </w:r>
      <w:proofErr w:type="spellEnd"/>
      <w:r w:rsidRPr="00757B62">
        <w:rPr>
          <w:rFonts w:ascii="Verdana" w:hAnsi="Verdana"/>
          <w:sz w:val="20"/>
        </w:rPr>
        <w:t>, ya sea de forma presencial o tecnológica en el portal de internet del Instituto (www.imss.gob.mx). </w:t>
      </w:r>
      <w:r w:rsidRPr="00757B62">
        <w:rPr>
          <w:rFonts w:ascii="Verdana" w:hAnsi="Verdana"/>
          <w:b/>
          <w:bCs/>
          <w:sz w:val="20"/>
        </w:rPr>
        <w:t>Cuarto.-</w:t>
      </w:r>
      <w:r w:rsidRPr="00757B62">
        <w:rPr>
          <w:rFonts w:ascii="Verdana" w:hAnsi="Verdana"/>
          <w:sz w:val="20"/>
        </w:rPr>
        <w:t>Instruir a la persona Titular de la Dirección Jurídica para que realice los trámites necesarios ante las instancias competentes, a efecto de que se realice la publicación del presente Acuerdo en el Diario Oficial de la Federación. </w:t>
      </w:r>
      <w:r w:rsidRPr="00757B62">
        <w:rPr>
          <w:rFonts w:ascii="Verdana" w:hAnsi="Verdana"/>
          <w:b/>
          <w:bCs/>
          <w:sz w:val="20"/>
        </w:rPr>
        <w:t>Quinto.-</w:t>
      </w:r>
      <w:r w:rsidRPr="00757B62">
        <w:rPr>
          <w:rFonts w:ascii="Verdana" w:hAnsi="Verdana"/>
          <w:sz w:val="20"/>
        </w:rPr>
        <w:t xml:space="preserve"> El presente Acuerdo entrará en vigor en la fecha de su </w:t>
      </w:r>
      <w:r w:rsidRPr="00757B62">
        <w:rPr>
          <w:rFonts w:ascii="Verdana" w:hAnsi="Verdana"/>
          <w:sz w:val="20"/>
        </w:rPr>
        <w:lastRenderedPageBreak/>
        <w:t xml:space="preserve">publicación en el Diario Oficial de la Federación, por lo que se refiere a la inscripción voluntaria y renovación presencial, en tanto que para los trámites que se efectuarán </w:t>
      </w:r>
      <w:proofErr w:type="spellStart"/>
      <w:r w:rsidRPr="00757B62">
        <w:rPr>
          <w:rFonts w:ascii="Verdana" w:hAnsi="Verdana"/>
          <w:sz w:val="20"/>
        </w:rPr>
        <w:t>através</w:t>
      </w:r>
      <w:proofErr w:type="spellEnd"/>
      <w:r w:rsidRPr="00757B62">
        <w:rPr>
          <w:rFonts w:ascii="Verdana" w:hAnsi="Verdana"/>
          <w:sz w:val="20"/>
        </w:rPr>
        <w:t xml:space="preserve"> del portal de internet del Instituto (www.imss.gob.mx), surtirá efectos una vez que el Instituto ponga a disposición el aplicativo que lo posibilite".</w:t>
      </w:r>
    </w:p>
    <w:p w:rsidR="00757B62" w:rsidRPr="00757B62" w:rsidRDefault="00757B62" w:rsidP="00757B62">
      <w:pPr>
        <w:jc w:val="both"/>
        <w:rPr>
          <w:rFonts w:ascii="Verdana" w:hAnsi="Verdana"/>
          <w:sz w:val="20"/>
        </w:rPr>
      </w:pPr>
      <w:r w:rsidRPr="00757B62">
        <w:rPr>
          <w:rFonts w:ascii="Verdana" w:hAnsi="Verdana"/>
          <w:sz w:val="20"/>
        </w:rPr>
        <w:t>Atentamente</w:t>
      </w:r>
    </w:p>
    <w:p w:rsidR="00757B62" w:rsidRPr="00757B62" w:rsidRDefault="00757B62" w:rsidP="00757B62">
      <w:pPr>
        <w:jc w:val="both"/>
        <w:rPr>
          <w:rFonts w:ascii="Verdana" w:hAnsi="Verdana"/>
          <w:sz w:val="20"/>
        </w:rPr>
      </w:pPr>
      <w:r w:rsidRPr="00757B62">
        <w:rPr>
          <w:rFonts w:ascii="Verdana" w:hAnsi="Verdana"/>
          <w:sz w:val="20"/>
        </w:rPr>
        <w:t>Ciudad de México, a 27 de septiembre de 2017.- El Secretario General, </w:t>
      </w:r>
      <w:r w:rsidRPr="00757B62">
        <w:rPr>
          <w:rFonts w:ascii="Verdana" w:hAnsi="Verdana"/>
          <w:b/>
          <w:bCs/>
          <w:sz w:val="20"/>
        </w:rPr>
        <w:t>Juan Carlos Velasco Pérez</w:t>
      </w:r>
      <w:r w:rsidRPr="00757B62">
        <w:rPr>
          <w:rFonts w:ascii="Verdana" w:hAnsi="Verdana"/>
          <w:sz w:val="20"/>
        </w:rPr>
        <w:t>.- Rúbrica.</w:t>
      </w:r>
    </w:p>
    <w:p w:rsidR="00757B62" w:rsidRPr="00757B62" w:rsidRDefault="00757B62" w:rsidP="00757B62">
      <w:pPr>
        <w:jc w:val="both"/>
        <w:rPr>
          <w:rFonts w:ascii="Verdana" w:hAnsi="Verdana"/>
          <w:sz w:val="20"/>
        </w:rPr>
      </w:pPr>
    </w:p>
    <w:sectPr w:rsidR="00757B62" w:rsidRPr="00757B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62"/>
    <w:rsid w:val="002228FA"/>
    <w:rsid w:val="00757B62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4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9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3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1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2017-10-25T13:45:00Z</dcterms:created>
  <dcterms:modified xsi:type="dcterms:W3CDTF">2017-10-25T13:48:00Z</dcterms:modified>
</cp:coreProperties>
</file>