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15" w:rsidRDefault="00C75515" w:rsidP="00C75515">
      <w:pPr>
        <w:jc w:val="center"/>
        <w:rPr>
          <w:rFonts w:ascii="Verdana" w:eastAsia="Verdana" w:hAnsi="Verdana" w:cs="Verdana"/>
          <w:b/>
          <w:color w:val="0000FF"/>
          <w:sz w:val="24"/>
          <w:szCs w:val="24"/>
        </w:rPr>
      </w:pPr>
      <w:r w:rsidRPr="00C75515">
        <w:rPr>
          <w:rFonts w:ascii="Verdana" w:eastAsia="Verdana" w:hAnsi="Verdana" w:cs="Verdana"/>
          <w:b/>
          <w:color w:val="0000FF"/>
          <w:sz w:val="24"/>
          <w:szCs w:val="24"/>
        </w:rPr>
        <w:t xml:space="preserve">ACUERDO G/JGA/8/2022 por el que se aprueba la prórroga y conclusión de las medidas establecidas en el Acuerdo G/JGA/3/2022, para reducir el riesgo de contagio por el virus SARS-CoV2 (COVID-19) y su nueva variante.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febrero de 2022</w:t>
      </w:r>
      <w:r w:rsidRPr="00575D6A">
        <w:rPr>
          <w:rFonts w:ascii="Verdana" w:eastAsia="Verdana" w:hAnsi="Verdana" w:cs="Verdana"/>
          <w:b/>
          <w:color w:val="0000FF"/>
          <w:sz w:val="24"/>
          <w:szCs w:val="24"/>
        </w:rPr>
        <w:t>)</w:t>
      </w:r>
      <w:bookmarkEnd w:id="0"/>
    </w:p>
    <w:p w:rsidR="00B32171" w:rsidRDefault="00C75515" w:rsidP="00C75515">
      <w:pPr>
        <w:jc w:val="both"/>
        <w:rPr>
          <w:rFonts w:ascii="Arial" w:hAnsi="Arial" w:cs="Arial"/>
          <w:b/>
          <w:color w:val="262626" w:themeColor="text1" w:themeTint="D9"/>
          <w:sz w:val="18"/>
        </w:rPr>
      </w:pPr>
      <w:r w:rsidRPr="00C75515">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C75515" w:rsidRPr="00C75515" w:rsidRDefault="00C75515" w:rsidP="00C755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5515">
        <w:rPr>
          <w:rFonts w:ascii="Times" w:eastAsia="Times New Roman" w:hAnsi="Times" w:cs="Times"/>
          <w:b/>
          <w:bCs/>
          <w:color w:val="2F2F2F"/>
          <w:sz w:val="18"/>
          <w:szCs w:val="18"/>
          <w:lang w:eastAsia="es-MX"/>
        </w:rPr>
        <w:t>ACUERDO G/JGA/8/2022</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6"/>
          <w:szCs w:val="16"/>
          <w:lang w:eastAsia="es-MX"/>
        </w:rPr>
      </w:pPr>
      <w:r w:rsidRPr="00C75515">
        <w:rPr>
          <w:rFonts w:ascii="Arial" w:eastAsia="Times New Roman" w:hAnsi="Arial" w:cs="Arial"/>
          <w:color w:val="2F2F2F"/>
          <w:sz w:val="16"/>
          <w:szCs w:val="16"/>
          <w:lang w:eastAsia="es-MX"/>
        </w:rPr>
        <w:t>PRÓRROGA Y CONCLUSIÓN DE LAS MEDIDAS ESTABLECIDAS EN EL ACUERDO G/JGA/3/2022, PARA REDUCIR EL RIESGO DE CONTAGIO POR EL VIRUS SARS-COV2 (COVID-19) Y SU NUEVA VARIANTE</w:t>
      </w:r>
    </w:p>
    <w:p w:rsidR="00C75515" w:rsidRPr="00C75515" w:rsidRDefault="00C75515" w:rsidP="00C755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5515">
        <w:rPr>
          <w:rFonts w:ascii="Times" w:eastAsia="Times New Roman" w:hAnsi="Times" w:cs="Times"/>
          <w:b/>
          <w:bCs/>
          <w:color w:val="2F2F2F"/>
          <w:sz w:val="18"/>
          <w:szCs w:val="18"/>
          <w:lang w:eastAsia="es-MX"/>
        </w:rPr>
        <w:t>CONSIDERANDO</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1. </w:t>
      </w:r>
      <w:r w:rsidRPr="00C75515">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2. </w:t>
      </w:r>
      <w:r w:rsidRPr="00C75515">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3. </w:t>
      </w:r>
      <w:r w:rsidRPr="00C75515">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4. </w:t>
      </w:r>
      <w:r w:rsidRPr="00C75515">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5. </w:t>
      </w:r>
      <w:r w:rsidRPr="00C75515">
        <w:rPr>
          <w:rFonts w:ascii="Arial" w:eastAsia="Times New Roman" w:hAnsi="Arial" w:cs="Arial"/>
          <w:color w:val="2F2F2F"/>
          <w:sz w:val="18"/>
          <w:szCs w:val="18"/>
          <w:lang w:eastAsia="es-MX"/>
        </w:rPr>
        <w:t>Que las fracciones II y XXXIX del artículo 23 de la Ley Orgánica vigente de este Tribunal, facultan a la Junta de Gobierno y Administración para expedir los acuerdos necesarios para el buen funcionamiento del Tribunal; así como resolver los demás asuntos que señalen las disposiciones aplicables.</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6. </w:t>
      </w:r>
      <w:r w:rsidRPr="00C75515">
        <w:rPr>
          <w:rFonts w:ascii="Arial" w:eastAsia="Times New Roman" w:hAnsi="Arial" w:cs="Arial"/>
          <w:color w:val="2F2F2F"/>
          <w:sz w:val="18"/>
          <w:szCs w:val="18"/>
          <w:lang w:eastAsia="es-MX"/>
        </w:rPr>
        <w:t>Que, mediante Acuerdo publicado en el Diario Oficial de la Federación el treinta de marzo de dos mil veinte, el Consejo de Salubridad General, declaró emergencia sanitaria por causa de fuerza mayor a la epidemia de enfermedad generada por el virus SARS-CoV2 (COVID-19).</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7. </w:t>
      </w:r>
      <w:r w:rsidRPr="00C75515">
        <w:rPr>
          <w:rFonts w:ascii="Arial" w:eastAsia="Times New Roman" w:hAnsi="Arial" w:cs="Arial"/>
          <w:color w:val="2F2F2F"/>
          <w:sz w:val="18"/>
          <w:szCs w:val="18"/>
          <w:lang w:eastAsia="es-MX"/>
        </w:rPr>
        <w:t>Que con motivo de dicha pandemia, y toda vez que la impartición de justicia es una actividad esencial, el Pleno General de la Sala Superior y la Junta de Gobierno y Administración aprobaron y emitieron los Acuerdos SS/13/2020, SS/7/2021, G/JGA/41/2020, G/JGA/42/2020, G/JGA/11/2021, G/JGA/12/2021, G/JGA/22/2021, G/JGA/23/2021, mediante los cuales implementaron diversas medidas para procurar la mayor protección posible a la vida, a la salud y a la integridad personal, tanto de los servidores públicos del Tribunal y sus familias, como de los usuarios y autoridades que utilizan los servicios que proporciona esta Institución, sin descuidar las funciones de impartición de justicia pronta y expedita, que tiene encomendadas.</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8. </w:t>
      </w:r>
      <w:r w:rsidRPr="00C75515">
        <w:rPr>
          <w:rFonts w:ascii="Arial" w:eastAsia="Times New Roman" w:hAnsi="Arial" w:cs="Arial"/>
          <w:color w:val="2F2F2F"/>
          <w:sz w:val="18"/>
          <w:szCs w:val="18"/>
          <w:lang w:eastAsia="es-MX"/>
        </w:rPr>
        <w:t>Que en los Lineamientos y Protocolos contenidos en los Acuerdos referidos en el considerando anterior, se determinaron diversas estrategias para el regreso ordenado, controlado y seguro a las funciones normales del Tribunal, entre las que se encuentran medidas sanitarias generales, así como la aplicación de horarios reducidos y asistencias escalonadas en tres etapas, que dependen del color del Semáforo de Evaluación de Riesgo Epidemiológico de la Secretaría de Salud.</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color w:val="2F2F2F"/>
          <w:sz w:val="18"/>
          <w:szCs w:val="18"/>
          <w:lang w:eastAsia="es-MX"/>
        </w:rPr>
        <w:t> </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9. </w:t>
      </w:r>
      <w:r w:rsidRPr="00C75515">
        <w:rPr>
          <w:rFonts w:ascii="Arial" w:eastAsia="Times New Roman" w:hAnsi="Arial" w:cs="Arial"/>
          <w:color w:val="2F2F2F"/>
          <w:sz w:val="18"/>
          <w:szCs w:val="18"/>
          <w:lang w:eastAsia="es-MX"/>
        </w:rPr>
        <w:t>Que en sesión extraordinaria de 10 de enero de 2022, la Junta de Gobierno y Administración emitió el Acuerdo G/JGA/3/2022, en el que se determinó implementar las medidas existentes para las etapas de color rojo y naranja del Semáforo Epidemiológico de la Secretaría de Salud, del 10 al 25 de enero de 2022, con la finalidad de reducir el riesgo de contagio por SARS-CoV2 (COVID-19) y su nueva variante.</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lastRenderedPageBreak/>
        <w:t>10. </w:t>
      </w:r>
      <w:r w:rsidRPr="00C75515">
        <w:rPr>
          <w:rFonts w:ascii="Arial" w:eastAsia="Times New Roman" w:hAnsi="Arial" w:cs="Arial"/>
          <w:color w:val="2F2F2F"/>
          <w:sz w:val="18"/>
          <w:szCs w:val="18"/>
          <w:lang w:eastAsia="es-MX"/>
        </w:rPr>
        <w:t>Posteriormente la Junta de Gobierno y Administración, en sesión ordinaria de 20 de enero de 2022, aprobó el Acuerdo G/JGA/4/2022, mediante el cual determinó continuar aplicando las medidas establecidas en el Acuerdo referido en el considerando anterior, del 26 de enero al 08 de febrero de 2022.</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11. </w:t>
      </w:r>
      <w:r w:rsidRPr="00C75515">
        <w:rPr>
          <w:rFonts w:ascii="Arial" w:eastAsia="Times New Roman" w:hAnsi="Arial" w:cs="Arial"/>
          <w:color w:val="2F2F2F"/>
          <w:sz w:val="18"/>
          <w:szCs w:val="18"/>
          <w:lang w:eastAsia="es-MX"/>
        </w:rPr>
        <w:t>Que en sesión de la presente fecha, la Secretaría Operativa de Administración rindió ante la Junta de Gobierno y Administración un informe de la situación al interior del Tribunal Federal de Justicia Administrativa, respecto del virus SARS-CoV2 (COVID-19) y su nueva variante, del cual se advirtió que durante la aplicación de los Acuerdos G/JGA/3/2022 y G/JGA/4/2022 se redujo la propagación de dicha enfermedad entre las personas servidoras públicas de la Institución y, aunque la situación comienza a estabilizarse dentro del Tribunal, todavía representa un riesgo de contagio, tanto para los servidores públicos de la Institución y sus familias, como para los litigantes que usan los servicios de este Órgano Jurisdiccional.</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C75515">
        <w:rPr>
          <w:rFonts w:ascii="Arial" w:eastAsia="Times New Roman" w:hAnsi="Arial" w:cs="Arial"/>
          <w:color w:val="000000"/>
          <w:sz w:val="18"/>
          <w:szCs w:val="18"/>
          <w:lang w:eastAsia="es-MX"/>
        </w:rPr>
        <w:t>Unidos Mexicanos; 1 párrafos segundo y quinto, 21, 23, fracciones II y XXXIX, de la Ley Orgánica del Tribunal Federal de Justicia Administrativa; así como los diversos 6, 28 y 29 </w:t>
      </w:r>
      <w:r w:rsidRPr="00C75515">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C75515" w:rsidRPr="00C75515" w:rsidRDefault="00C75515" w:rsidP="00C755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5515">
        <w:rPr>
          <w:rFonts w:ascii="Times" w:eastAsia="Times New Roman" w:hAnsi="Times" w:cs="Times"/>
          <w:b/>
          <w:bCs/>
          <w:color w:val="2F2F2F"/>
          <w:sz w:val="18"/>
          <w:szCs w:val="18"/>
          <w:lang w:eastAsia="es-MX"/>
        </w:rPr>
        <w:t>ACUERDO</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Primero.</w:t>
      </w:r>
      <w:r w:rsidRPr="00C75515">
        <w:rPr>
          <w:rFonts w:ascii="Arial" w:eastAsia="Times New Roman" w:hAnsi="Arial" w:cs="Arial"/>
          <w:color w:val="2F2F2F"/>
          <w:sz w:val="18"/>
          <w:szCs w:val="18"/>
          <w:lang w:eastAsia="es-MX"/>
        </w:rPr>
        <w:t> Con la finalidad de reducir el riesgo de contagio y dispersión del virus SARS-CoV2 (COVID-19) y su nueva variante, entre sus servidores públicos, familias y justiciables, la Junta de Gobierno y Administración aprueba prorrogar los efectos del Acuerdo G/JGA/3/2022, por lo que, en consecuencia, se continuará laborando con horarios reducidos y asistencia escalonada, conforme a los Esquemas de Trabajo previamente autorizados para el color rojo-naranja del semáforo de riesgo epidemiológico, por el periodo del 09 al 15 de febrero de 2022.</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Segundo. </w:t>
      </w:r>
      <w:r w:rsidRPr="00C75515">
        <w:rPr>
          <w:rFonts w:ascii="Arial" w:eastAsia="Times New Roman" w:hAnsi="Arial" w:cs="Arial"/>
          <w:color w:val="2F2F2F"/>
          <w:sz w:val="18"/>
          <w:szCs w:val="18"/>
          <w:lang w:eastAsia="es-MX"/>
        </w:rPr>
        <w:t>A partir del 16 de febrero de 2022, todas las áreas jurisdiccionales y funcionales del Tribunal Federal de Justicia Administrativa retomarán los horarios de labores, reglas de asistencia presencial y demás medidas generales establecidas en los Acuerdos señalados en el considerando séptimo del presente documento para hacer frente a la enfermedad derivada del virus SARS-CoV2 (COVID-19), y en especial a lo previsto en los Acuerdos G/JGA/22/2021 y G/JGA/23/2021, en el sentido de que los Esquemas de Trabajo aplicables dependen del color del semáforo de riesgo epidemiológico que impere en la Entidad Federativa en la que se encuentre su sede de adscripción.</w:t>
      </w:r>
    </w:p>
    <w:p w:rsidR="00C75515" w:rsidRPr="00C75515" w:rsidRDefault="00C75515" w:rsidP="00C755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5515">
        <w:rPr>
          <w:rFonts w:ascii="Times" w:eastAsia="Times New Roman" w:hAnsi="Times" w:cs="Times"/>
          <w:b/>
          <w:bCs/>
          <w:color w:val="2F2F2F"/>
          <w:sz w:val="18"/>
          <w:szCs w:val="18"/>
          <w:lang w:eastAsia="es-MX"/>
        </w:rPr>
        <w:t>TRANSITORIOS</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Primero. </w:t>
      </w:r>
      <w:r w:rsidRPr="00C75515">
        <w:rPr>
          <w:rFonts w:ascii="Arial" w:eastAsia="Times New Roman" w:hAnsi="Arial" w:cs="Arial"/>
          <w:color w:val="2F2F2F"/>
          <w:sz w:val="18"/>
          <w:szCs w:val="18"/>
          <w:lang w:eastAsia="es-MX"/>
        </w:rPr>
        <w:t>El presente Acuerdo entrará en vigor el 09 de febrero de 2022.</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b/>
          <w:bCs/>
          <w:color w:val="2F2F2F"/>
          <w:sz w:val="18"/>
          <w:szCs w:val="18"/>
          <w:lang w:eastAsia="es-MX"/>
        </w:rPr>
        <w:t>Segundo. </w:t>
      </w:r>
      <w:r w:rsidRPr="00C75515">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C75515" w:rsidRPr="00C75515" w:rsidRDefault="00C75515" w:rsidP="00C75515">
      <w:pPr>
        <w:shd w:val="clear" w:color="auto" w:fill="FFFFFF"/>
        <w:spacing w:after="101" w:line="240" w:lineRule="auto"/>
        <w:ind w:firstLine="288"/>
        <w:jc w:val="both"/>
        <w:rPr>
          <w:rFonts w:ascii="Arial" w:eastAsia="Times New Roman" w:hAnsi="Arial" w:cs="Arial"/>
          <w:color w:val="2F2F2F"/>
          <w:sz w:val="18"/>
          <w:szCs w:val="18"/>
          <w:lang w:eastAsia="es-MX"/>
        </w:rPr>
      </w:pPr>
      <w:r w:rsidRPr="00C75515">
        <w:rPr>
          <w:rFonts w:ascii="Arial" w:eastAsia="Times New Roman" w:hAnsi="Arial" w:cs="Arial"/>
          <w:color w:val="2F2F2F"/>
          <w:sz w:val="18"/>
          <w:szCs w:val="18"/>
          <w:lang w:eastAsia="es-MX"/>
        </w:rPr>
        <w:t>Dictado en sesión ordinaria de fecha 03 de febrero de 2022, realizada a distancia utilizando herramientas tecnológicas, por unanimidad de votos de los Magistrados Víctor Martín Orduña Muñoz, Claudia Palacios Estrada, Elva Marcela Vivar Rodríguez, Julián Alfonso Olivas Ugalde y Rafael Anzures Uribe.- Firman el </w:t>
      </w:r>
      <w:r w:rsidRPr="00C75515">
        <w:rPr>
          <w:rFonts w:ascii="Arial" w:eastAsia="Times New Roman" w:hAnsi="Arial" w:cs="Arial"/>
          <w:b/>
          <w:bCs/>
          <w:color w:val="2F2F2F"/>
          <w:sz w:val="18"/>
          <w:szCs w:val="18"/>
          <w:lang w:eastAsia="es-MX"/>
        </w:rPr>
        <w:t>Magistrado Rafael Anzures Uribe</w:t>
      </w:r>
      <w:r w:rsidRPr="00C75515">
        <w:rPr>
          <w:rFonts w:ascii="Arial" w:eastAsia="Times New Roman" w:hAnsi="Arial" w:cs="Arial"/>
          <w:color w:val="2F2F2F"/>
          <w:sz w:val="18"/>
          <w:szCs w:val="18"/>
          <w:lang w:eastAsia="es-MX"/>
        </w:rPr>
        <w:t>, Presidente de la Junta de Gobierno y Administración del Tribunal Federal de Justicia Administrativa, y el </w:t>
      </w:r>
      <w:r w:rsidRPr="00C75515">
        <w:rPr>
          <w:rFonts w:ascii="Arial" w:eastAsia="Times New Roman" w:hAnsi="Arial" w:cs="Arial"/>
          <w:b/>
          <w:bCs/>
          <w:color w:val="2F2F2F"/>
          <w:sz w:val="18"/>
          <w:szCs w:val="18"/>
          <w:lang w:eastAsia="es-MX"/>
        </w:rPr>
        <w:t>Licenciado Pedro Alberto de la Rosa Manzano</w:t>
      </w:r>
      <w:r w:rsidRPr="00C75515">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C75515" w:rsidRPr="00C755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5"/>
    <w:rsid w:val="00857D96"/>
    <w:rsid w:val="00C500C3"/>
    <w:rsid w:val="00C75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6697">
      <w:bodyDiv w:val="1"/>
      <w:marLeft w:val="0"/>
      <w:marRight w:val="0"/>
      <w:marTop w:val="0"/>
      <w:marBottom w:val="0"/>
      <w:divBdr>
        <w:top w:val="none" w:sz="0" w:space="0" w:color="auto"/>
        <w:left w:val="none" w:sz="0" w:space="0" w:color="auto"/>
        <w:bottom w:val="none" w:sz="0" w:space="0" w:color="auto"/>
        <w:right w:val="none" w:sz="0" w:space="0" w:color="auto"/>
      </w:divBdr>
      <w:divsChild>
        <w:div w:id="792018075">
          <w:marLeft w:val="0"/>
          <w:marRight w:val="0"/>
          <w:marTop w:val="101"/>
          <w:marBottom w:val="101"/>
          <w:divBdr>
            <w:top w:val="none" w:sz="0" w:space="0" w:color="auto"/>
            <w:left w:val="none" w:sz="0" w:space="0" w:color="auto"/>
            <w:bottom w:val="none" w:sz="0" w:space="0" w:color="auto"/>
            <w:right w:val="none" w:sz="0" w:space="0" w:color="auto"/>
          </w:divBdr>
        </w:div>
        <w:div w:id="576130343">
          <w:marLeft w:val="0"/>
          <w:marRight w:val="0"/>
          <w:marTop w:val="0"/>
          <w:marBottom w:val="101"/>
          <w:divBdr>
            <w:top w:val="none" w:sz="0" w:space="0" w:color="auto"/>
            <w:left w:val="none" w:sz="0" w:space="0" w:color="auto"/>
            <w:bottom w:val="none" w:sz="0" w:space="0" w:color="auto"/>
            <w:right w:val="none" w:sz="0" w:space="0" w:color="auto"/>
          </w:divBdr>
        </w:div>
        <w:div w:id="652297378">
          <w:marLeft w:val="0"/>
          <w:marRight w:val="0"/>
          <w:marTop w:val="101"/>
          <w:marBottom w:val="101"/>
          <w:divBdr>
            <w:top w:val="none" w:sz="0" w:space="0" w:color="auto"/>
            <w:left w:val="none" w:sz="0" w:space="0" w:color="auto"/>
            <w:bottom w:val="none" w:sz="0" w:space="0" w:color="auto"/>
            <w:right w:val="none" w:sz="0" w:space="0" w:color="auto"/>
          </w:divBdr>
        </w:div>
        <w:div w:id="567493601">
          <w:marLeft w:val="0"/>
          <w:marRight w:val="0"/>
          <w:marTop w:val="0"/>
          <w:marBottom w:val="101"/>
          <w:divBdr>
            <w:top w:val="none" w:sz="0" w:space="0" w:color="auto"/>
            <w:left w:val="none" w:sz="0" w:space="0" w:color="auto"/>
            <w:bottom w:val="none" w:sz="0" w:space="0" w:color="auto"/>
            <w:right w:val="none" w:sz="0" w:space="0" w:color="auto"/>
          </w:divBdr>
        </w:div>
        <w:div w:id="641467202">
          <w:marLeft w:val="0"/>
          <w:marRight w:val="0"/>
          <w:marTop w:val="0"/>
          <w:marBottom w:val="101"/>
          <w:divBdr>
            <w:top w:val="none" w:sz="0" w:space="0" w:color="auto"/>
            <w:left w:val="none" w:sz="0" w:space="0" w:color="auto"/>
            <w:bottom w:val="none" w:sz="0" w:space="0" w:color="auto"/>
            <w:right w:val="none" w:sz="0" w:space="0" w:color="auto"/>
          </w:divBdr>
        </w:div>
        <w:div w:id="2108646829">
          <w:marLeft w:val="0"/>
          <w:marRight w:val="0"/>
          <w:marTop w:val="0"/>
          <w:marBottom w:val="101"/>
          <w:divBdr>
            <w:top w:val="none" w:sz="0" w:space="0" w:color="auto"/>
            <w:left w:val="none" w:sz="0" w:space="0" w:color="auto"/>
            <w:bottom w:val="none" w:sz="0" w:space="0" w:color="auto"/>
            <w:right w:val="none" w:sz="0" w:space="0" w:color="auto"/>
          </w:divBdr>
        </w:div>
        <w:div w:id="1172599602">
          <w:marLeft w:val="0"/>
          <w:marRight w:val="0"/>
          <w:marTop w:val="0"/>
          <w:marBottom w:val="101"/>
          <w:divBdr>
            <w:top w:val="none" w:sz="0" w:space="0" w:color="auto"/>
            <w:left w:val="none" w:sz="0" w:space="0" w:color="auto"/>
            <w:bottom w:val="none" w:sz="0" w:space="0" w:color="auto"/>
            <w:right w:val="none" w:sz="0" w:space="0" w:color="auto"/>
          </w:divBdr>
        </w:div>
        <w:div w:id="1728995318">
          <w:marLeft w:val="0"/>
          <w:marRight w:val="0"/>
          <w:marTop w:val="0"/>
          <w:marBottom w:val="101"/>
          <w:divBdr>
            <w:top w:val="none" w:sz="0" w:space="0" w:color="auto"/>
            <w:left w:val="none" w:sz="0" w:space="0" w:color="auto"/>
            <w:bottom w:val="none" w:sz="0" w:space="0" w:color="auto"/>
            <w:right w:val="none" w:sz="0" w:space="0" w:color="auto"/>
          </w:divBdr>
        </w:div>
        <w:div w:id="392192278">
          <w:marLeft w:val="0"/>
          <w:marRight w:val="0"/>
          <w:marTop w:val="0"/>
          <w:marBottom w:val="101"/>
          <w:divBdr>
            <w:top w:val="none" w:sz="0" w:space="0" w:color="auto"/>
            <w:left w:val="none" w:sz="0" w:space="0" w:color="auto"/>
            <w:bottom w:val="none" w:sz="0" w:space="0" w:color="auto"/>
            <w:right w:val="none" w:sz="0" w:space="0" w:color="auto"/>
          </w:divBdr>
        </w:div>
        <w:div w:id="1037244016">
          <w:marLeft w:val="0"/>
          <w:marRight w:val="0"/>
          <w:marTop w:val="0"/>
          <w:marBottom w:val="101"/>
          <w:divBdr>
            <w:top w:val="none" w:sz="0" w:space="0" w:color="auto"/>
            <w:left w:val="none" w:sz="0" w:space="0" w:color="auto"/>
            <w:bottom w:val="none" w:sz="0" w:space="0" w:color="auto"/>
            <w:right w:val="none" w:sz="0" w:space="0" w:color="auto"/>
          </w:divBdr>
        </w:div>
        <w:div w:id="1537543287">
          <w:marLeft w:val="0"/>
          <w:marRight w:val="0"/>
          <w:marTop w:val="0"/>
          <w:marBottom w:val="101"/>
          <w:divBdr>
            <w:top w:val="none" w:sz="0" w:space="0" w:color="auto"/>
            <w:left w:val="none" w:sz="0" w:space="0" w:color="auto"/>
            <w:bottom w:val="none" w:sz="0" w:space="0" w:color="auto"/>
            <w:right w:val="none" w:sz="0" w:space="0" w:color="auto"/>
          </w:divBdr>
        </w:div>
        <w:div w:id="777603777">
          <w:marLeft w:val="0"/>
          <w:marRight w:val="0"/>
          <w:marTop w:val="0"/>
          <w:marBottom w:val="101"/>
          <w:divBdr>
            <w:top w:val="none" w:sz="0" w:space="0" w:color="auto"/>
            <w:left w:val="none" w:sz="0" w:space="0" w:color="auto"/>
            <w:bottom w:val="none" w:sz="0" w:space="0" w:color="auto"/>
            <w:right w:val="none" w:sz="0" w:space="0" w:color="auto"/>
          </w:divBdr>
        </w:div>
        <w:div w:id="1731228540">
          <w:marLeft w:val="0"/>
          <w:marRight w:val="0"/>
          <w:marTop w:val="0"/>
          <w:marBottom w:val="101"/>
          <w:divBdr>
            <w:top w:val="none" w:sz="0" w:space="0" w:color="auto"/>
            <w:left w:val="none" w:sz="0" w:space="0" w:color="auto"/>
            <w:bottom w:val="none" w:sz="0" w:space="0" w:color="auto"/>
            <w:right w:val="none" w:sz="0" w:space="0" w:color="auto"/>
          </w:divBdr>
        </w:div>
        <w:div w:id="263922934">
          <w:marLeft w:val="0"/>
          <w:marRight w:val="0"/>
          <w:marTop w:val="0"/>
          <w:marBottom w:val="101"/>
          <w:divBdr>
            <w:top w:val="none" w:sz="0" w:space="0" w:color="auto"/>
            <w:left w:val="none" w:sz="0" w:space="0" w:color="auto"/>
            <w:bottom w:val="none" w:sz="0" w:space="0" w:color="auto"/>
            <w:right w:val="none" w:sz="0" w:space="0" w:color="auto"/>
          </w:divBdr>
        </w:div>
        <w:div w:id="110635800">
          <w:marLeft w:val="0"/>
          <w:marRight w:val="0"/>
          <w:marTop w:val="0"/>
          <w:marBottom w:val="101"/>
          <w:divBdr>
            <w:top w:val="none" w:sz="0" w:space="0" w:color="auto"/>
            <w:left w:val="none" w:sz="0" w:space="0" w:color="auto"/>
            <w:bottom w:val="none" w:sz="0" w:space="0" w:color="auto"/>
            <w:right w:val="none" w:sz="0" w:space="0" w:color="auto"/>
          </w:divBdr>
        </w:div>
        <w:div w:id="1060441924">
          <w:marLeft w:val="0"/>
          <w:marRight w:val="0"/>
          <w:marTop w:val="0"/>
          <w:marBottom w:val="101"/>
          <w:divBdr>
            <w:top w:val="none" w:sz="0" w:space="0" w:color="auto"/>
            <w:left w:val="none" w:sz="0" w:space="0" w:color="auto"/>
            <w:bottom w:val="none" w:sz="0" w:space="0" w:color="auto"/>
            <w:right w:val="none" w:sz="0" w:space="0" w:color="auto"/>
          </w:divBdr>
        </w:div>
        <w:div w:id="624509838">
          <w:marLeft w:val="0"/>
          <w:marRight w:val="0"/>
          <w:marTop w:val="101"/>
          <w:marBottom w:val="101"/>
          <w:divBdr>
            <w:top w:val="none" w:sz="0" w:space="0" w:color="auto"/>
            <w:left w:val="none" w:sz="0" w:space="0" w:color="auto"/>
            <w:bottom w:val="none" w:sz="0" w:space="0" w:color="auto"/>
            <w:right w:val="none" w:sz="0" w:space="0" w:color="auto"/>
          </w:divBdr>
        </w:div>
        <w:div w:id="856188430">
          <w:marLeft w:val="0"/>
          <w:marRight w:val="0"/>
          <w:marTop w:val="0"/>
          <w:marBottom w:val="101"/>
          <w:divBdr>
            <w:top w:val="none" w:sz="0" w:space="0" w:color="auto"/>
            <w:left w:val="none" w:sz="0" w:space="0" w:color="auto"/>
            <w:bottom w:val="none" w:sz="0" w:space="0" w:color="auto"/>
            <w:right w:val="none" w:sz="0" w:space="0" w:color="auto"/>
          </w:divBdr>
        </w:div>
        <w:div w:id="1351954517">
          <w:marLeft w:val="0"/>
          <w:marRight w:val="0"/>
          <w:marTop w:val="0"/>
          <w:marBottom w:val="101"/>
          <w:divBdr>
            <w:top w:val="none" w:sz="0" w:space="0" w:color="auto"/>
            <w:left w:val="none" w:sz="0" w:space="0" w:color="auto"/>
            <w:bottom w:val="none" w:sz="0" w:space="0" w:color="auto"/>
            <w:right w:val="none" w:sz="0" w:space="0" w:color="auto"/>
          </w:divBdr>
        </w:div>
        <w:div w:id="1397119115">
          <w:marLeft w:val="0"/>
          <w:marRight w:val="0"/>
          <w:marTop w:val="101"/>
          <w:marBottom w:val="101"/>
          <w:divBdr>
            <w:top w:val="none" w:sz="0" w:space="0" w:color="auto"/>
            <w:left w:val="none" w:sz="0" w:space="0" w:color="auto"/>
            <w:bottom w:val="none" w:sz="0" w:space="0" w:color="auto"/>
            <w:right w:val="none" w:sz="0" w:space="0" w:color="auto"/>
          </w:divBdr>
        </w:div>
        <w:div w:id="2103910230">
          <w:marLeft w:val="0"/>
          <w:marRight w:val="0"/>
          <w:marTop w:val="0"/>
          <w:marBottom w:val="101"/>
          <w:divBdr>
            <w:top w:val="none" w:sz="0" w:space="0" w:color="auto"/>
            <w:left w:val="none" w:sz="0" w:space="0" w:color="auto"/>
            <w:bottom w:val="none" w:sz="0" w:space="0" w:color="auto"/>
            <w:right w:val="none" w:sz="0" w:space="0" w:color="auto"/>
          </w:divBdr>
        </w:div>
        <w:div w:id="979848257">
          <w:marLeft w:val="0"/>
          <w:marRight w:val="0"/>
          <w:marTop w:val="0"/>
          <w:marBottom w:val="101"/>
          <w:divBdr>
            <w:top w:val="none" w:sz="0" w:space="0" w:color="auto"/>
            <w:left w:val="none" w:sz="0" w:space="0" w:color="auto"/>
            <w:bottom w:val="none" w:sz="0" w:space="0" w:color="auto"/>
            <w:right w:val="none" w:sz="0" w:space="0" w:color="auto"/>
          </w:divBdr>
        </w:div>
        <w:div w:id="18727615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2022-02-11T14:30:00Z</dcterms:created>
  <dcterms:modified xsi:type="dcterms:W3CDTF">2022-02-11T14:32:00Z</dcterms:modified>
</cp:coreProperties>
</file>