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el Instituto de Salud para el Bienestar y el Estado de Chihuahua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CHIHUAHUA, AL QUE EN ADELANTE SE LE DENOMINARÁ "LA ENTIDAD", REPRESENTADO POR EL GOBERNADOR CONSTITUCIONAL DEL ESTADO DE CHIHUAHUA, LIC. JAVIER CORRAL JURADO, ASISTIDO POR EL SECRETARIO GENERAL DE GOBIERNO, MTRO. LUIS FERNANDO MESTA SOULÉ; EL SECRETARIO DE HACIENDA, DR. ARTURO FUENTES VÉLEZ, EL SECRETARIO DE SALUD Y DIRECTOR GENERAL DEL ORGANISMO PÚBLICO DESCENTRALIZADO DENOMINADO SERVICIOS DE SALUD DE CHIHUAHUA, DR. JESÚS ENRIQUE GRAJEDA HERRERA Y LA SECRETARIA DE LA FUNCIÓN PÚBLICA, MTRA. MÓNICA VARGAS RUIZ,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A), cuenta con las atribuciones necesarias para suscribir el presente Acuerdo de Coordinación, de conformidad con lo establecido en los artículos 22, fracción I y 59, fracción I de la Ley Federal de las Entidades</w:t>
      </w:r>
    </w:p>
    <w:p w:rsidR="00000000" w:rsidDel="00000000" w:rsidP="00000000" w:rsidRDefault="00000000" w:rsidRPr="00000000" w14:paraId="0000000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Paraestatales.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Chihuahua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que forma parte integrante de la Federación, de conformidad con lo establecido en los artículos 40, 42, fracción I y 43 de la Constitución Política de los Estados Unidos Mexicanos y 1° de la Constitución Política del Estado Libre y Soberano de Chihuahua.</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Chihuahua, cuenta con las atribuciones necesarias para suscribir el presente Acuerdo de Coordinación en términos de lo dispuesto por los artículo 31 Fracción II y 93 Fracción XLI de la Constitución Política del Estado Libre y Soberano 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Chihuahua y 20 de la Ley Orgánica del Poder Ejecutivo del Estado, quien acredita su personalidad con el decreto 1625/2016 XXII P.E. emitido por la Sexagésima Cuarta Legislatura del H. Congreso del Estado de Chihuahua, reunida en su Vigésimo Segundo Periodo Extraordinario de Sesiones, dentro del tercer año de ejercicio constitucional (Anexo B).</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Hacienda; de Salud, así como de la Función Pública, quienes acreditan su cargo con las copias de sus respectivos nombramientos (Anexos C, D, E y F), participan en la suscripción del presente Acuerdo de Coordinación en asistencia del Gobernador Constitucional del Estado de Chihuahua, de conformidad con lo dispuesto por los artículos 24 Fracciones I, II, V y XIII, 25, 26, 27 Bis y 34 de la Ley Orgánica del Poder Ejecutivo del Estado.</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 Servicios de Salud del Estado de Chihuahua, organismo descentralizado de la Administración Pública de "LA ENTIDAD", cargo que acredita con copia de su nombramiento (Anexo F), participa en la celebración del presente Acuerdo de Coordinación, de conformidad con lo establecido en los artículos 11 y 12 fracciones I, XV y XXVII de la Ley Orgánica del Organismo Público Descentralizado Servicios de Salud de Chihuahua.</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Calle Tercera No. 604, Colonia Zona Centro, C.P. 31000, en Chihuahua, Chih.</w:t>
      </w:r>
    </w:p>
    <w:p w:rsidR="00000000" w:rsidDel="00000000" w:rsidP="00000000" w:rsidRDefault="00000000" w:rsidRPr="00000000" w14:paraId="0000001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Acuerdo de Coordinación tiene por objeto establecer los compromisos a que se sujetarán "LAS PARTES", conforme a las competencias y facultades que establece el Título Tercero Bis de la LGS para cada una de ellas, a fin de garantizar la prestación gratuita de servicios de salud, medicamentos y demás insumos asociados para las personas sin seguridad social en el Estado de Chihuahua.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 y de Servicios de Salud de Chihuahua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será responsable, en los términos previstos en la LGS, en las disposiciones reglamentarias y administrativas que de la misma deriven y en las estipulaciones de este instrumento jurídico, de organizar, operar y supervisar la prestación gratuita de servicios de salud,</w:t>
      </w:r>
    </w:p>
    <w:p w:rsidR="00000000" w:rsidDel="00000000" w:rsidP="00000000" w:rsidRDefault="00000000" w:rsidRPr="00000000" w14:paraId="0000001D">
      <w:pPr>
        <w:shd w:fill="ffffff" w:val="clear"/>
        <w:spacing w:after="100" w:lineRule="auto"/>
        <w:jc w:val="both"/>
        <w:rPr>
          <w:color w:val="2f2f2f"/>
          <w:sz w:val="18"/>
          <w:szCs w:val="18"/>
        </w:rPr>
      </w:pPr>
      <w:r w:rsidDel="00000000" w:rsidR="00000000" w:rsidRPr="00000000">
        <w:rPr>
          <w:color w:val="2f2f2f"/>
          <w:sz w:val="18"/>
          <w:szCs w:val="18"/>
          <w:rtl w:val="0"/>
        </w:rPr>
        <w:t xml:space="preserve">medicamentos y demás insumos asociados para las personas sin seguridad social en el Estado de Chihuahua, a los que en lo sucesivo se denominarán "LOS SERVICIOS DE SALUD".</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PRESTACIÓN DE "LOS SERVICIOS DE SALUD". "LAS PARTES" acuerdan que la prestación de "LOS SERVICIOS DE SALUD", se sujetará a lo siguiente: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 Servicios de Salud de Chihuahua, que la prestación de "LOS SERVICIOS DE SALUD" se sujetará orgánica y funcionalmente a los criterios siguientes:</w:t>
      </w:r>
    </w:p>
    <w:p w:rsidR="00000000" w:rsidDel="00000000" w:rsidP="00000000" w:rsidRDefault="00000000" w:rsidRPr="00000000" w14:paraId="0000002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"Modelo de Salud para el Bienestar (SABI) para las personas sin Seguridad Social, basado en la Atención Primaria de Salud (APS)", al que en lo sucesivo se denominará el "Modelo de Atención", mismo que se agrega al presente Acuerdo de Coordinación como Anexo 1.</w:t>
      </w:r>
    </w:p>
    <w:p w:rsidR="00000000" w:rsidDel="00000000" w:rsidP="00000000" w:rsidRDefault="00000000" w:rsidRPr="00000000" w14:paraId="0000002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2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Estatales de Salud,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2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de Salud del Gobierno Federal,</w:t>
      </w:r>
    </w:p>
    <w:p w:rsidR="00000000" w:rsidDel="00000000" w:rsidP="00000000" w:rsidRDefault="00000000" w:rsidRPr="00000000" w14:paraId="0000002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Título Tercero Bis de la LGS, que emita el "INSABI", previa opinión de la Secretaría de Hacienda y Crédito Público.</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DE SALUD" y dar seguimiento a las mismas hasta su conclusión, aplicando, en su caso, las medidas correctivas necesarias para prevenir su recurrencia.</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de "LOS SERVICIOS DE SALUD".</w:t>
      </w:r>
    </w:p>
    <w:p w:rsidR="00000000" w:rsidDel="00000000" w:rsidP="00000000" w:rsidRDefault="00000000" w:rsidRPr="00000000" w14:paraId="00000031">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33">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Hacienda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Hacienda de "LA ENTIDAD", ésta se obliga a ministrarlos íntegramente junto con los rendimientos financieros que se hubiesen generado, dentro de los cinco días hábiles siguientes a su recepción, a Servicios de Salud de Chihuahua, organismo público descentralizado de la Administración Pública Local,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Hacienda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Hacienda, abrir una cuenta bancaria productiva, específica para la recepción de los recursos referidos.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la totalidad o parte de estos recursos, a la Unidad Ejecutora en el plazo establecido en el párrafo cuarto de esta Cláusula, por causas imputables a "LA ENTIDAD",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Hacienda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DE SALUD", ésta se obliga a participar, a través de su Secretaria de la Función Pública,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4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4B">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4C">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4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exclusivamente en los casos de excepción que se prevean en las Reglas de Operación de "EL FONDO".</w:t>
      </w:r>
    </w:p>
    <w:p w:rsidR="00000000" w:rsidDel="00000000" w:rsidP="00000000" w:rsidRDefault="00000000" w:rsidRPr="00000000" w14:paraId="0000004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Hacienda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0">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Hacienda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1">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inciso, "LA ENTIDAD", por conducto de la Secretaría de Hacienda,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2">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Hacienda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5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w:t>
      </w:r>
    </w:p>
    <w:p w:rsidR="00000000" w:rsidDel="00000000" w:rsidP="00000000" w:rsidRDefault="00000000" w:rsidRPr="00000000" w14:paraId="0000005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por conducto de su Secretaría de Hacienda se obliga a entregar a la Unidad Ejecutora, el importe que le corresponda aportar en numerario para la prestación de "LOS SERVICIOS DE SALUD", a través de la cuenta bancaria productiva específica que esta última abra para tal fin, en los términos y conforme al calendario que al efecto se prevea en el referido Anexo 2.</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DE SALUD" se realizarán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DE SALUD",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VIGENCIA. El presente Acuerdo de Coordinación surtirá sus efectos a partir de la fecha de su firma y tendrá una vigencia indefinida.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PUBLICACIÓN. "LAS PARTES" se obligan a publicar el presente Acuerdo de Coordinación en el</w:t>
      </w:r>
    </w:p>
    <w:p w:rsidR="00000000" w:rsidDel="00000000" w:rsidP="00000000" w:rsidRDefault="00000000" w:rsidRPr="00000000" w14:paraId="00000062">
      <w:pPr>
        <w:shd w:fill="ffffff" w:val="clear"/>
        <w:spacing w:after="100" w:lineRule="auto"/>
        <w:jc w:val="both"/>
        <w:rPr>
          <w:color w:val="2f2f2f"/>
          <w:sz w:val="18"/>
          <w:szCs w:val="18"/>
        </w:rPr>
      </w:pPr>
      <w:r w:rsidDel="00000000" w:rsidR="00000000" w:rsidRPr="00000000">
        <w:rPr>
          <w:color w:val="2f2f2f"/>
          <w:sz w:val="18"/>
          <w:szCs w:val="18"/>
          <w:rtl w:val="0"/>
        </w:rPr>
        <w:t xml:space="preserve">Diario Oficial de la Federación y en el Periódico Oficial de "LA ENTIDAD", respectivamente.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Modelo de Atención.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Monto de Recursos a Transferir y Conceptos de Gasto.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Criterios Generales en Materia de Supervisión.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3 y 4 antes referidos se integrarán al presente Acuerdo de Coordinación, una vez que se suscriban en los términos estipulados en las cláusulas Segunda, apartados C y G de este instrumento jurídico.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2 será actualizado de manera anual, por conducto de los titulares del "INSABI" y de las secretarías de Salud y de Hacienda de "LA ENTIDAD" y de los Servicios Estatales de Salud de "LA ENTIDAD".</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por triplicado, en la Ciudad de México, a los 2 días del mes de marzo de 2020.- Por el INSABI: el</w:t>
      </w:r>
    </w:p>
    <w:p w:rsidR="00000000" w:rsidDel="00000000" w:rsidP="00000000" w:rsidRDefault="00000000" w:rsidRPr="00000000" w14:paraId="00000072">
      <w:pPr>
        <w:shd w:fill="ffffff" w:val="clear"/>
        <w:spacing w:after="100" w:lineRule="auto"/>
        <w:jc w:val="both"/>
        <w:rPr>
          <w:color w:val="2f2f2f"/>
          <w:sz w:val="18"/>
          <w:szCs w:val="18"/>
        </w:rPr>
      </w:pPr>
      <w:r w:rsidDel="00000000" w:rsidR="00000000" w:rsidRPr="00000000">
        <w:rPr>
          <w:color w:val="2f2f2f"/>
          <w:sz w:val="18"/>
          <w:szCs w:val="18"/>
          <w:rtl w:val="0"/>
        </w:rPr>
        <w:t xml:space="preserve">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Chihuahua, </w:t>
      </w:r>
      <w:r w:rsidDel="00000000" w:rsidR="00000000" w:rsidRPr="00000000">
        <w:rPr>
          <w:b w:val="1"/>
          <w:color w:val="2f2f2f"/>
          <w:sz w:val="18"/>
          <w:szCs w:val="18"/>
          <w:rtl w:val="0"/>
        </w:rPr>
        <w:t xml:space="preserve">Javier Corral Jurado</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Luis Fernando Mesta Soulé</w:t>
      </w:r>
      <w:r w:rsidDel="00000000" w:rsidR="00000000" w:rsidRPr="00000000">
        <w:rPr>
          <w:color w:val="2f2f2f"/>
          <w:sz w:val="18"/>
          <w:szCs w:val="18"/>
          <w:rtl w:val="0"/>
        </w:rPr>
        <w:t xml:space="preserve">.- Rúbrica.- El Secretario de Hacienda, </w:t>
      </w:r>
      <w:r w:rsidDel="00000000" w:rsidR="00000000" w:rsidRPr="00000000">
        <w:rPr>
          <w:b w:val="1"/>
          <w:color w:val="2f2f2f"/>
          <w:sz w:val="18"/>
          <w:szCs w:val="18"/>
          <w:rtl w:val="0"/>
        </w:rPr>
        <w:t xml:space="preserve">Arturo Fuentes Vélez</w:t>
      </w:r>
      <w:r w:rsidDel="00000000" w:rsidR="00000000" w:rsidRPr="00000000">
        <w:rPr>
          <w:color w:val="2f2f2f"/>
          <w:sz w:val="18"/>
          <w:szCs w:val="18"/>
          <w:rtl w:val="0"/>
        </w:rPr>
        <w:t xml:space="preserve">.- Rúbrica.- El Secretario de Salud y Director General de Servicios de Salud de Chihuahua, </w:t>
      </w:r>
      <w:r w:rsidDel="00000000" w:rsidR="00000000" w:rsidRPr="00000000">
        <w:rPr>
          <w:b w:val="1"/>
          <w:color w:val="2f2f2f"/>
          <w:sz w:val="18"/>
          <w:szCs w:val="18"/>
          <w:rtl w:val="0"/>
        </w:rPr>
        <w:t xml:space="preserve">Jesús Enrique Grajeda Herrera</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Mónica Vargas Ruiz</w:t>
      </w:r>
      <w:r w:rsidDel="00000000" w:rsidR="00000000" w:rsidRPr="00000000">
        <w:rPr>
          <w:color w:val="2f2f2f"/>
          <w:sz w:val="18"/>
          <w:szCs w:val="18"/>
          <w:rtl w:val="0"/>
        </w:rPr>
        <w:t xml:space="preserve">.- Rúbrica.</w:t>
      </w:r>
    </w:p>
    <w:p w:rsidR="00000000" w:rsidDel="00000000" w:rsidP="00000000" w:rsidRDefault="00000000" w:rsidRPr="00000000" w14:paraId="0000007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Chihuahua</w:t>
      </w:r>
    </w:p>
    <w:p w:rsidR="00000000" w:rsidDel="00000000" w:rsidP="00000000" w:rsidRDefault="00000000" w:rsidRPr="00000000" w14:paraId="0000007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07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07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07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07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07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7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7C">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7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7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8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81">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8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083">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08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8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8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8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8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8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8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8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8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0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w:t>
      </w:r>
    </w:p>
    <w:p w:rsidR="00000000" w:rsidDel="00000000" w:rsidP="00000000" w:rsidRDefault="00000000" w:rsidRPr="00000000" w14:paraId="00000092">
      <w:pPr>
        <w:shd w:fill="ffffff" w:val="clear"/>
        <w:spacing w:after="80" w:lineRule="auto"/>
        <w:jc w:val="both"/>
        <w:rPr>
          <w:color w:val="2f2f2f"/>
          <w:sz w:val="18"/>
          <w:szCs w:val="18"/>
        </w:rPr>
      </w:pPr>
      <w:r w:rsidDel="00000000" w:rsidR="00000000" w:rsidRPr="00000000">
        <w:rPr>
          <w:color w:val="2f2f2f"/>
          <w:sz w:val="18"/>
          <w:szCs w:val="18"/>
          <w:rtl w:val="0"/>
        </w:rPr>
        <w:t xml:space="preserve">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93">
      <w:pPr>
        <w:shd w:fill="ffffff" w:val="clear"/>
        <w:spacing w:after="80" w:lineRule="auto"/>
        <w:ind w:firstLine="280"/>
        <w:jc w:val="both"/>
        <w:rPr>
          <w:i w:val="1"/>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color w:val="2f2f2f"/>
          <w:sz w:val="18"/>
          <w:szCs w:val="18"/>
          <w:rtl w:val="0"/>
        </w:rPr>
        <w:t xml:space="preserve">"Toda persona tiene derecho a la protección de la salud".</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9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w:t>
      </w:r>
    </w:p>
    <w:p w:rsidR="00000000" w:rsidDel="00000000" w:rsidP="00000000" w:rsidRDefault="00000000" w:rsidRPr="00000000" w14:paraId="000000A2">
      <w:pPr>
        <w:shd w:fill="ffffff" w:val="clear"/>
        <w:spacing w:after="80" w:lineRule="auto"/>
        <w:jc w:val="both"/>
        <w:rPr>
          <w:color w:val="2f2f2f"/>
          <w:sz w:val="18"/>
          <w:szCs w:val="18"/>
        </w:rPr>
      </w:pPr>
      <w:r w:rsidDel="00000000" w:rsidR="00000000" w:rsidRPr="00000000">
        <w:rPr>
          <w:color w:val="2f2f2f"/>
          <w:sz w:val="18"/>
          <w:szCs w:val="18"/>
          <w:rtl w:val="0"/>
        </w:rPr>
        <w:t xml:space="preserve">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A3">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0A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w:t>
      </w:r>
      <w:r w:rsidDel="00000000" w:rsidR="00000000" w:rsidRPr="00000000">
        <w:rPr>
          <w:i w:val="1"/>
          <w:color w:val="2f2f2f"/>
          <w:sz w:val="18"/>
          <w:szCs w:val="18"/>
          <w:rtl w:val="0"/>
        </w:rPr>
        <w:t xml:space="preserve"> Seguro Popular</w:t>
      </w:r>
      <w:r w:rsidDel="00000000" w:rsidR="00000000" w:rsidRPr="00000000">
        <w:rPr>
          <w:color w:val="2f2f2f"/>
          <w:sz w:val="18"/>
          <w:szCs w:val="18"/>
          <w:rtl w:val="0"/>
        </w:rPr>
        <w:t xml:space="preserve">, es decir, no se alcanzó la</w:t>
      </w:r>
    </w:p>
    <w:p w:rsidR="00000000" w:rsidDel="00000000" w:rsidP="00000000" w:rsidRDefault="00000000" w:rsidRPr="00000000" w14:paraId="000000B1">
      <w:pPr>
        <w:shd w:fill="ffffff" w:val="clear"/>
        <w:spacing w:after="80" w:lineRule="auto"/>
        <w:jc w:val="both"/>
        <w:rPr>
          <w:color w:val="2f2f2f"/>
          <w:sz w:val="18"/>
          <w:szCs w:val="18"/>
        </w:rPr>
      </w:pPr>
      <w:r w:rsidDel="00000000" w:rsidR="00000000" w:rsidRPr="00000000">
        <w:rPr>
          <w:color w:val="2f2f2f"/>
          <w:sz w:val="18"/>
          <w:szCs w:val="18"/>
          <w:rtl w:val="0"/>
        </w:rPr>
        <w:t xml:space="preserve">universalidad.</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0B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0B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0B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0B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0B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0B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0B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0B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0B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0B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0B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0B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0B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w:t>
      </w:r>
    </w:p>
    <w:p w:rsidR="00000000" w:rsidDel="00000000" w:rsidP="00000000" w:rsidRDefault="00000000" w:rsidRPr="00000000" w14:paraId="000000C0">
      <w:pPr>
        <w:shd w:fill="ffffff" w:val="clear"/>
        <w:spacing w:after="60" w:lineRule="auto"/>
        <w:jc w:val="both"/>
        <w:rPr>
          <w:color w:val="2f2f2f"/>
          <w:sz w:val="18"/>
          <w:szCs w:val="18"/>
        </w:rPr>
      </w:pPr>
      <w:r w:rsidDel="00000000" w:rsidR="00000000" w:rsidRPr="00000000">
        <w:rPr>
          <w:color w:val="2f2f2f"/>
          <w:sz w:val="18"/>
          <w:szCs w:val="18"/>
          <w:rtl w:val="0"/>
        </w:rPr>
        <w:t xml:space="preserve">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0C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w:t>
      </w:r>
    </w:p>
    <w:p w:rsidR="00000000" w:rsidDel="00000000" w:rsidP="00000000" w:rsidRDefault="00000000" w:rsidRPr="00000000" w14:paraId="000000CA">
      <w:pPr>
        <w:shd w:fill="ffffff" w:val="clear"/>
        <w:spacing w:after="100" w:lineRule="auto"/>
        <w:jc w:val="both"/>
        <w:rPr>
          <w:color w:val="2f2f2f"/>
          <w:sz w:val="18"/>
          <w:szCs w:val="18"/>
        </w:rPr>
      </w:pPr>
      <w:r w:rsidDel="00000000" w:rsidR="00000000" w:rsidRPr="00000000">
        <w:rPr>
          <w:color w:val="2f2f2f"/>
          <w:sz w:val="18"/>
          <w:szCs w:val="18"/>
          <w:rtl w:val="0"/>
        </w:rPr>
        <w:t xml:space="preserve">hospitalaria de urgencias.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0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0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0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Principios Organizativos del Modelo de Salud para el Bienestar (SABI).</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w:t>
      </w:r>
      <w:r w:rsidDel="00000000" w:rsidR="00000000" w:rsidRPr="00000000">
        <w:rPr>
          <w:color w:val="2f2f2f"/>
          <w:sz w:val="18"/>
          <w:szCs w:val="18"/>
          <w:rtl w:val="0"/>
        </w:rPr>
        <w:t xml:space="preserve"> 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w:t>
      </w:r>
      <w:r w:rsidDel="00000000" w:rsidR="00000000" w:rsidRPr="00000000">
        <w:rPr>
          <w:color w:val="2f2f2f"/>
          <w:sz w:val="18"/>
          <w:szCs w:val="18"/>
          <w:rtl w:val="0"/>
        </w:rPr>
        <w:t xml:space="preserve"> 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w:t>
      </w:r>
      <w:r w:rsidDel="00000000" w:rsidR="00000000" w:rsidRPr="00000000">
        <w:rPr>
          <w:color w:val="2f2f2f"/>
          <w:sz w:val="18"/>
          <w:szCs w:val="18"/>
          <w:rtl w:val="0"/>
        </w:rPr>
        <w:t xml:space="preserve"> 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w:t>
      </w:r>
      <w:r w:rsidDel="00000000" w:rsidR="00000000" w:rsidRPr="00000000">
        <w:rPr>
          <w:color w:val="2f2f2f"/>
          <w:sz w:val="18"/>
          <w:szCs w:val="18"/>
          <w:rtl w:val="0"/>
        </w:rPr>
        <w:t xml:space="preserve"> 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w:t>
      </w:r>
      <w:r w:rsidDel="00000000" w:rsidR="00000000" w:rsidRPr="00000000">
        <w:rPr>
          <w:color w:val="2f2f2f"/>
          <w:sz w:val="18"/>
          <w:szCs w:val="18"/>
          <w:rtl w:val="0"/>
        </w:rPr>
        <w:t xml:space="preserve"> 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 </w:t>
      </w:r>
      <w:r w:rsidDel="00000000" w:rsidR="00000000" w:rsidRPr="00000000">
        <w:rPr>
          <w:color w:val="2f2f2f"/>
          <w:sz w:val="18"/>
          <w:szCs w:val="18"/>
          <w:rtl w:val="0"/>
        </w:rPr>
        <w:t xml:space="preserve">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0E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Alcance del Modelo de Salud para el Bienestar (SABI).</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0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0E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Organización de la Prestación de Servicios a las Personas.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0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a la salud.</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w:t>
      </w:r>
    </w:p>
    <w:p w:rsidR="00000000" w:rsidDel="00000000" w:rsidP="00000000" w:rsidRDefault="00000000" w:rsidRPr="00000000" w14:paraId="0000010F">
      <w:pPr>
        <w:shd w:fill="ffffff" w:val="clear"/>
        <w:spacing w:after="80" w:lineRule="auto"/>
        <w:jc w:val="both"/>
        <w:rPr>
          <w:color w:val="2f2f2f"/>
          <w:sz w:val="18"/>
          <w:szCs w:val="18"/>
        </w:rPr>
      </w:pPr>
      <w:r w:rsidDel="00000000" w:rsidR="00000000" w:rsidRPr="00000000">
        <w:rPr>
          <w:color w:val="2f2f2f"/>
          <w:sz w:val="18"/>
          <w:szCs w:val="18"/>
          <w:rtl w:val="0"/>
        </w:rPr>
        <w:t xml:space="preserve">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Financiamiento del Modelo SABI basado en la APS.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1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w:t>
      </w:r>
    </w:p>
    <w:p w:rsidR="00000000" w:rsidDel="00000000" w:rsidP="00000000" w:rsidRDefault="00000000" w:rsidRPr="00000000" w14:paraId="00000120">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(MMDP) para el ejercicio fiscal 2019.</w:t>
      </w:r>
    </w:p>
    <w:p w:rsidR="00000000" w:rsidDel="00000000" w:rsidP="00000000" w:rsidRDefault="00000000" w:rsidRPr="00000000" w14:paraId="0000012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124.2 MMDP para 2019.</w:t>
      </w:r>
    </w:p>
    <w:p w:rsidR="00000000" w:rsidDel="00000000" w:rsidP="00000000" w:rsidRDefault="00000000" w:rsidRPr="00000000" w14:paraId="0000012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2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2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2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2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2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 Seguimiento y Evaluación del Modelo SABI.</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3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9. Jerarquización y Supervisión de la Aplicación del Modelo SABI.</w:t>
      </w:r>
    </w:p>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13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3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3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3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1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5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w:t>
      </w:r>
    </w:p>
    <w:p w:rsidR="00000000" w:rsidDel="00000000" w:rsidP="00000000" w:rsidRDefault="00000000" w:rsidRPr="00000000" w14:paraId="00000158">
      <w:pPr>
        <w:shd w:fill="ffffff" w:val="clear"/>
        <w:spacing w:after="80" w:lineRule="auto"/>
        <w:jc w:val="both"/>
        <w:rPr>
          <w:color w:val="2f2f2f"/>
          <w:sz w:val="18"/>
          <w:szCs w:val="18"/>
        </w:rPr>
      </w:pPr>
      <w:r w:rsidDel="00000000" w:rsidR="00000000" w:rsidRPr="00000000">
        <w:rPr>
          <w:color w:val="2f2f2f"/>
          <w:sz w:val="18"/>
          <w:szCs w:val="18"/>
          <w:rtl w:val="0"/>
        </w:rPr>
        <w:t xml:space="preserve">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1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Bibliografía. (en orden alfabético)</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low-and Middle Income Countries. J Gen Intern Med 32(5): 566-71. 2016 (open Access at Springerlink.com)</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w:t>
      </w:r>
      <w:r w:rsidDel="00000000" w:rsidR="00000000" w:rsidRPr="00000000">
        <w:rPr>
          <w:i w:val="1"/>
          <w:color w:val="2f2f2f"/>
          <w:sz w:val="18"/>
          <w:szCs w:val="18"/>
          <w:rtl w:val="0"/>
        </w:rPr>
        <w:t xml:space="preserve">Informe de Evaluación de la Política de Desarrollo Social 2018.</w:t>
      </w:r>
      <w:r w:rsidDel="00000000" w:rsidR="00000000" w:rsidRPr="00000000">
        <w:rPr>
          <w:color w:val="2f2f2f"/>
          <w:sz w:val="18"/>
          <w:szCs w:val="18"/>
          <w:rtl w:val="0"/>
        </w:rPr>
        <w:t xml:space="preserve"> Ciudad de México. 2018 (en: https://www.coneval.org.mx/Evaluación/IEPSM/Documents/IEPD_2018.pdf)</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w:t>
      </w:r>
      <w:r w:rsidDel="00000000" w:rsidR="00000000" w:rsidRPr="00000000">
        <w:rPr>
          <w:color w:val="2f2f2f"/>
          <w:sz w:val="18"/>
          <w:szCs w:val="18"/>
          <w:u w:val="single"/>
          <w:rtl w:val="0"/>
        </w:rPr>
        <w:t xml:space="preserve">https://www.e-quipu.pe</w:t>
      </w:r>
      <w:r w:rsidDel="00000000" w:rsidR="00000000" w:rsidRPr="00000000">
        <w:rPr>
          <w:color w:val="2f2f2f"/>
          <w:sz w:val="18"/>
          <w:szCs w:val="18"/>
          <w:rtl w:val="0"/>
        </w:rPr>
        <w:t xml:space="preserve"> (visitado 17agosto/2019)</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w:t>
      </w:r>
      <w:r w:rsidDel="00000000" w:rsidR="00000000" w:rsidRPr="00000000">
        <w:rPr>
          <w:color w:val="2f2f2f"/>
          <w:sz w:val="18"/>
          <w:szCs w:val="18"/>
          <w:u w:val="single"/>
          <w:rtl w:val="0"/>
        </w:rPr>
        <w:t xml:space="preserve">http://www.scielo.br/scielo.php?script=sci_S0102-311X2017001405002)</w:t>
      </w:r>
      <w:r w:rsidDel="00000000" w:rsidR="00000000" w:rsidRPr="00000000">
        <w:rPr>
          <w:color w:val="2f2f2f"/>
          <w:sz w:val="18"/>
          <w:szCs w:val="18"/>
          <w:rtl w:val="0"/>
        </w:rPr>
        <w:t xml:space="preserve">.</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t>
      </w:r>
      <w:r w:rsidDel="00000000" w:rsidR="00000000" w:rsidRPr="00000000">
        <w:rPr>
          <w:color w:val="2f2f2f"/>
          <w:sz w:val="18"/>
          <w:szCs w:val="18"/>
          <w:u w:val="single"/>
          <w:rtl w:val="0"/>
        </w:rPr>
        <w:t xml:space="preserve">www.dgis.salud.gob.mx/descargas/xls/1._01_2017_A_CORR_O.xlsx</w:t>
      </w:r>
      <w:r w:rsidDel="00000000" w:rsidR="00000000" w:rsidRPr="00000000">
        <w:rPr>
          <w:color w:val="2f2f2f"/>
          <w:sz w:val="18"/>
          <w:szCs w:val="18"/>
          <w:rtl w:val="0"/>
        </w:rPr>
        <w:t xml:space="preserve"> México, agosto 2019.</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194">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195">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196">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197">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198">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199">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19A">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19B">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19C">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19D">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19E">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19F">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1A0">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1A1">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1A2">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1A3">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1A4">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1A5">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1A6">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1A7">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1A8">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1A9">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1AA">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1AB">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C">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1AD">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1AE">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1AF">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1B0">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1B1">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1B2">
      <w:pPr>
        <w:shd w:fill="ffffff" w:val="clear"/>
        <w:spacing w:after="100" w:lineRule="auto"/>
        <w:ind w:left="3480" w:hanging="160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1B3">
      <w:pPr>
        <w:shd w:fill="ffffff" w:val="clear"/>
        <w:spacing w:after="100" w:lineRule="auto"/>
        <w:ind w:left="3480" w:hanging="160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Chihuahua, </w:t>
      </w:r>
      <w:r w:rsidDel="00000000" w:rsidR="00000000" w:rsidRPr="00000000">
        <w:rPr>
          <w:b w:val="1"/>
          <w:color w:val="2f2f2f"/>
          <w:sz w:val="18"/>
          <w:szCs w:val="18"/>
          <w:rtl w:val="0"/>
        </w:rPr>
        <w:t xml:space="preserve">Javier Corral Jurado</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Luis Fernando Mesta Soulé</w:t>
      </w:r>
      <w:r w:rsidDel="00000000" w:rsidR="00000000" w:rsidRPr="00000000">
        <w:rPr>
          <w:color w:val="2f2f2f"/>
          <w:sz w:val="18"/>
          <w:szCs w:val="18"/>
          <w:rtl w:val="0"/>
        </w:rPr>
        <w:t xml:space="preserve">.- Rúbrica.- El Secretario de Hacienda, </w:t>
      </w:r>
      <w:r w:rsidDel="00000000" w:rsidR="00000000" w:rsidRPr="00000000">
        <w:rPr>
          <w:b w:val="1"/>
          <w:color w:val="2f2f2f"/>
          <w:sz w:val="18"/>
          <w:szCs w:val="18"/>
          <w:rtl w:val="0"/>
        </w:rPr>
        <w:t xml:space="preserve">Arturo Fuentes Vélez</w:t>
      </w:r>
      <w:r w:rsidDel="00000000" w:rsidR="00000000" w:rsidRPr="00000000">
        <w:rPr>
          <w:color w:val="2f2f2f"/>
          <w:sz w:val="18"/>
          <w:szCs w:val="18"/>
          <w:rtl w:val="0"/>
        </w:rPr>
        <w:t xml:space="preserve">.- Rúbrica.- El Secretario de Salud y Director General de Servicios de Salud de Chihuahua, </w:t>
      </w:r>
      <w:r w:rsidDel="00000000" w:rsidR="00000000" w:rsidRPr="00000000">
        <w:rPr>
          <w:b w:val="1"/>
          <w:color w:val="2f2f2f"/>
          <w:sz w:val="18"/>
          <w:szCs w:val="18"/>
          <w:rtl w:val="0"/>
        </w:rPr>
        <w:t xml:space="preserve">Jesús Enrique Grajeda Herrera</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Mónica Vargas Ruiz</w:t>
      </w:r>
      <w:r w:rsidDel="00000000" w:rsidR="00000000" w:rsidRPr="00000000">
        <w:rPr>
          <w:color w:val="2f2f2f"/>
          <w:sz w:val="18"/>
          <w:szCs w:val="18"/>
          <w:rtl w:val="0"/>
        </w:rPr>
        <w:t xml:space="preserve">.- Rúbrica.</w:t>
      </w:r>
    </w:p>
    <w:p w:rsidR="00000000" w:rsidDel="00000000" w:rsidP="00000000" w:rsidRDefault="00000000" w:rsidRPr="00000000" w14:paraId="000001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Chihuahua.</w:t>
      </w:r>
    </w:p>
    <w:p w:rsidR="00000000" w:rsidDel="00000000" w:rsidP="00000000" w:rsidRDefault="00000000" w:rsidRPr="00000000" w14:paraId="000001B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1B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1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con estricta sujeción a la disponibilidad presupuestaria correspondiente, es por la cantidad de hasta $1'136,384,933.10 (Mil ciento treinta y seis millones trescientos ochenta y cuatro mil novecientos treinta y tres pesos 10/100 M.N.).</w:t>
      </w:r>
    </w:p>
    <w:p w:rsidR="00000000" w:rsidDel="00000000" w:rsidP="00000000" w:rsidRDefault="00000000" w:rsidRPr="00000000" w14:paraId="000001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presupuestarios federales transferidos.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DE SALUD" se sujetará a las bases siguientes:</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1C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1C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DE SALUD", preferentemente en el primer nivel de atención, que permitan la implementación, fortalecimiento y consolidación del Modelo de Atención.</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w:t>
      </w:r>
    </w:p>
    <w:p w:rsidR="00000000" w:rsidDel="00000000" w:rsidP="00000000" w:rsidRDefault="00000000" w:rsidRPr="00000000" w14:paraId="000001C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otros insumos asociados a la prestación de "LOS SERVICIOS DE SALUD".</w:t>
      </w:r>
    </w:p>
    <w:p w:rsidR="00000000" w:rsidDel="00000000" w:rsidP="00000000" w:rsidRDefault="00000000" w:rsidRPr="00000000" w14:paraId="000001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18 por ciento, para gasto de operación de las unidades médicas de "LA ENTIDAD" que realicen la prestación de "LOS SERVICIOS DE SALUD".</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1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w:t>
      </w:r>
    </w:p>
    <w:p w:rsidR="00000000" w:rsidDel="00000000" w:rsidP="00000000" w:rsidRDefault="00000000" w:rsidRPr="00000000" w14:paraId="000001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1D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1D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1D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1D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1D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1D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1D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1D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1D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1D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1D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1D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1D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1D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1E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1E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1E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1E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1E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1E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1E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1E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1E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1E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1E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Chihuahua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Chihuahua.</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 que corresponda a los programas a cargo de la Subsecretaría de Prevención y Promoción de la Salud de la Secretaría de Salud del Gobierno Federal. El detalle de medicamentos y demás insumos asociados a dichas acciones, se incluirán en el Apéndice I del presente Anexo, del que formarán parte integrante, una vez que el mismo sea formalizado por "LAS PARTES".</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DE SALUD", conforme a lo siguiente:</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1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presupuestarios federales que se transfieran a "LA ENTIDAD" para la prestación de "LOS SERVICIOS DE SALUD", al menos 18 por ciento se podrá destinar para gasto de operación de las unidades médicas de "LA ENTIDAD" que realicen la prestación de "LOS SERVICIOS DE SALUD".</w:t>
      </w:r>
    </w:p>
    <w:p w:rsidR="00000000" w:rsidDel="00000000" w:rsidP="00000000" w:rsidRDefault="00000000" w:rsidRPr="00000000" w14:paraId="000001F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1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Chihuahua,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DE SALUD",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1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1FE">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del Estado de</w:t>
      </w:r>
    </w:p>
    <w:p w:rsidR="00000000" w:rsidDel="00000000" w:rsidP="00000000" w:rsidRDefault="00000000" w:rsidRPr="00000000" w14:paraId="000001FF">
      <w:pPr>
        <w:shd w:fill="ffffff" w:val="clear"/>
        <w:spacing w:after="100" w:lineRule="auto"/>
        <w:ind w:left="1460" w:firstLine="0"/>
        <w:jc w:val="both"/>
        <w:rPr>
          <w:color w:val="2f2f2f"/>
          <w:sz w:val="18"/>
          <w:szCs w:val="18"/>
        </w:rPr>
      </w:pPr>
      <w:r w:rsidDel="00000000" w:rsidR="00000000" w:rsidRPr="00000000">
        <w:rPr>
          <w:color w:val="2f2f2f"/>
          <w:sz w:val="18"/>
          <w:szCs w:val="18"/>
          <w:rtl w:val="0"/>
        </w:rPr>
        <w:t xml:space="preserve">Chihuahua, dirigida al "INSABI", en la cual manifieste que se efectuó una adecuada 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200">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201">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202">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20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por conducto del Titular de Servicios de Salud de Chihuahua,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Servicios de Salud de Chihuahua.</w:t>
      </w:r>
    </w:p>
    <w:p w:rsidR="00000000" w:rsidDel="00000000" w:rsidP="00000000" w:rsidRDefault="00000000" w:rsidRPr="00000000" w14:paraId="000002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Servicios de Salud de Chihuahua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Servicios de Salud de Chihuahua y el Director Administrativo de dicho organismo local.</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$654'363,091.73 (Seiscientos cincuenta y cuatro millones trescientos sesenta y tres mil noventa y un pesos 73/100 M.N.) en virtud de lo cual el importe líquido que por este concepto deberá aportar "LA ENTIDAD" será la cantidad de $458'054,164.21 (Cuatrocientos cincuenta y ocho millones cincuenta y cuatro mil ciento sesenta y cuatro pesos 21/100 M.N.).</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650"/>
        <w:gridCol w:w="1695"/>
        <w:gridCol w:w="1575"/>
        <w:gridCol w:w="1665"/>
        <w:gridCol w:w="1695"/>
        <w:tblGridChange w:id="0">
          <w:tblGrid>
            <w:gridCol w:w="525"/>
            <w:gridCol w:w="1650"/>
            <w:gridCol w:w="1695"/>
            <w:gridCol w:w="1575"/>
            <w:gridCol w:w="1665"/>
            <w:gridCol w:w="1695"/>
          </w:tblGrid>
        </w:tblGridChange>
      </w:tblGrid>
      <w:tr>
        <w:trPr>
          <w:trHeight w:val="8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4">
            <w:pPr>
              <w:spacing w:after="100" w:lineRule="auto"/>
              <w:ind w:left="80" w:firstLine="0"/>
              <w:jc w:val="center"/>
              <w:rPr>
                <w:b w:val="1"/>
                <w:sz w:val="14"/>
                <w:szCs w:val="14"/>
              </w:rPr>
            </w:pPr>
            <w:r w:rsidDel="00000000" w:rsidR="00000000" w:rsidRPr="00000000">
              <w:rPr>
                <w:b w:val="1"/>
                <w:sz w:val="14"/>
                <w:szCs w:val="14"/>
                <w:rtl w:val="0"/>
              </w:rPr>
              <w:t xml:space="preserve">Aportación Estatal</w:t>
            </w:r>
          </w:p>
          <w:p w:rsidR="00000000" w:rsidDel="00000000" w:rsidP="00000000" w:rsidRDefault="00000000" w:rsidRPr="00000000" w14:paraId="00000215">
            <w:pPr>
              <w:spacing w:after="100" w:lineRule="auto"/>
              <w:ind w:left="80" w:firstLine="0"/>
              <w:jc w:val="center"/>
              <w:rPr>
                <w:b w:val="1"/>
                <w:sz w:val="14"/>
                <w:szCs w:val="14"/>
              </w:rPr>
            </w:pPr>
            <w:r w:rsidDel="00000000" w:rsidR="00000000" w:rsidRPr="00000000">
              <w:rPr>
                <w:b w:val="1"/>
                <w:sz w:val="14"/>
                <w:szCs w:val="14"/>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80" w:firstLine="0"/>
              <w:jc w:val="center"/>
              <w:rPr>
                <w:b w:val="1"/>
                <w:sz w:val="14"/>
                <w:szCs w:val="14"/>
              </w:rPr>
            </w:pPr>
            <w:r w:rsidDel="00000000" w:rsidR="00000000" w:rsidRPr="00000000">
              <w:rPr>
                <w:b w:val="1"/>
                <w:sz w:val="14"/>
                <w:szCs w:val="14"/>
                <w:rtl w:val="0"/>
              </w:rPr>
              <w:t xml:space="preserve">Aportación del primer</w:t>
            </w:r>
          </w:p>
          <w:p w:rsidR="00000000" w:rsidDel="00000000" w:rsidP="00000000" w:rsidRDefault="00000000" w:rsidRPr="00000000" w14:paraId="00000217">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8">
            <w:pPr>
              <w:spacing w:after="10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219">
            <w:pPr>
              <w:spacing w:after="100" w:lineRule="auto"/>
              <w:ind w:left="80" w:firstLine="0"/>
              <w:jc w:val="center"/>
              <w:rPr>
                <w:b w:val="1"/>
                <w:sz w:val="14"/>
                <w:szCs w:val="14"/>
              </w:rPr>
            </w:pPr>
            <w:r w:rsidDel="00000000" w:rsidR="00000000" w:rsidRPr="00000000">
              <w:rPr>
                <w:b w:val="1"/>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A">
            <w:pPr>
              <w:spacing w:after="100" w:lineRule="auto"/>
              <w:ind w:left="80" w:firstLine="0"/>
              <w:jc w:val="center"/>
              <w:rPr>
                <w:b w:val="1"/>
                <w:sz w:val="14"/>
                <w:szCs w:val="14"/>
              </w:rPr>
            </w:pPr>
            <w:r w:rsidDel="00000000" w:rsidR="00000000" w:rsidRPr="00000000">
              <w:rPr>
                <w:b w:val="1"/>
                <w:sz w:val="14"/>
                <w:szCs w:val="14"/>
                <w:rtl w:val="0"/>
              </w:rPr>
              <w:t xml:space="preserve">Aportación del tercer</w:t>
            </w:r>
          </w:p>
          <w:p w:rsidR="00000000" w:rsidDel="00000000" w:rsidP="00000000" w:rsidRDefault="00000000" w:rsidRPr="00000000" w14:paraId="0000021B">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C">
            <w:pPr>
              <w:spacing w:after="100" w:lineRule="auto"/>
              <w:ind w:left="80" w:firstLine="0"/>
              <w:jc w:val="center"/>
              <w:rPr>
                <w:b w:val="1"/>
                <w:sz w:val="14"/>
                <w:szCs w:val="14"/>
              </w:rPr>
            </w:pPr>
            <w:r w:rsidDel="00000000" w:rsidR="00000000" w:rsidRPr="00000000">
              <w:rPr>
                <w:b w:val="1"/>
                <w:sz w:val="14"/>
                <w:szCs w:val="14"/>
                <w:rtl w:val="0"/>
              </w:rPr>
              <w:t xml:space="preserve">Aportación del cuarto</w:t>
            </w:r>
          </w:p>
          <w:p w:rsidR="00000000" w:rsidDel="00000000" w:rsidP="00000000" w:rsidRDefault="00000000" w:rsidRPr="00000000" w14:paraId="0000021D">
            <w:pPr>
              <w:spacing w:after="100" w:lineRule="auto"/>
              <w:ind w:left="80" w:firstLine="0"/>
              <w:jc w:val="center"/>
              <w:rPr>
                <w:b w:val="1"/>
                <w:sz w:val="14"/>
                <w:szCs w:val="14"/>
              </w:rPr>
            </w:pPr>
            <w:r w:rsidDel="00000000" w:rsidR="00000000" w:rsidRPr="00000000">
              <w:rPr>
                <w:b w:val="1"/>
                <w:sz w:val="14"/>
                <w:szCs w:val="14"/>
                <w:rtl w:val="0"/>
              </w:rPr>
              <w:t xml:space="preserve">trimestre</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100" w:lineRule="auto"/>
              <w:ind w:left="80" w:firstLine="0"/>
              <w:jc w:val="center"/>
              <w:rPr>
                <w:sz w:val="14"/>
                <w:szCs w:val="14"/>
              </w:rPr>
            </w:pPr>
            <w:r w:rsidDel="00000000" w:rsidR="00000000" w:rsidRPr="00000000">
              <w:rPr>
                <w:sz w:val="14"/>
                <w:szCs w:val="14"/>
                <w:rtl w:val="0"/>
              </w:rPr>
              <w:t xml:space="preserve">$ 654'363,091.73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100" w:lineRule="auto"/>
              <w:ind w:left="80" w:firstLine="0"/>
              <w:jc w:val="center"/>
              <w:rPr>
                <w:sz w:val="14"/>
                <w:szCs w:val="14"/>
              </w:rPr>
            </w:pPr>
            <w:r w:rsidDel="00000000" w:rsidR="00000000" w:rsidRPr="00000000">
              <w:rPr>
                <w:sz w:val="14"/>
                <w:szCs w:val="14"/>
                <w:rtl w:val="0"/>
              </w:rPr>
              <w:t xml:space="preserve">$ 163'590,772.93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100" w:lineRule="auto"/>
              <w:ind w:left="80" w:firstLine="0"/>
              <w:jc w:val="center"/>
              <w:rPr>
                <w:sz w:val="14"/>
                <w:szCs w:val="14"/>
              </w:rPr>
            </w:pPr>
            <w:r w:rsidDel="00000000" w:rsidR="00000000" w:rsidRPr="00000000">
              <w:rPr>
                <w:sz w:val="14"/>
                <w:szCs w:val="14"/>
                <w:rtl w:val="0"/>
              </w:rPr>
              <w:t xml:space="preserve">$ 163,590,772.93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100" w:lineRule="auto"/>
              <w:ind w:left="80" w:firstLine="0"/>
              <w:jc w:val="center"/>
              <w:rPr>
                <w:sz w:val="14"/>
                <w:szCs w:val="14"/>
              </w:rPr>
            </w:pPr>
            <w:r w:rsidDel="00000000" w:rsidR="00000000" w:rsidRPr="00000000">
              <w:rPr>
                <w:sz w:val="14"/>
                <w:szCs w:val="14"/>
                <w:rtl w:val="0"/>
              </w:rPr>
              <w:t xml:space="preserve">$ 163,590,772.93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80" w:firstLine="0"/>
              <w:jc w:val="center"/>
              <w:rPr>
                <w:sz w:val="14"/>
                <w:szCs w:val="14"/>
              </w:rPr>
            </w:pPr>
            <w:r w:rsidDel="00000000" w:rsidR="00000000" w:rsidRPr="00000000">
              <w:rPr>
                <w:sz w:val="14"/>
                <w:szCs w:val="14"/>
                <w:rtl w:val="0"/>
              </w:rPr>
              <w:t xml:space="preserve">$ 163,590,772.93</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100" w:lineRule="auto"/>
              <w:ind w:left="80" w:firstLine="0"/>
              <w:jc w:val="center"/>
              <w:rPr>
                <w:sz w:val="14"/>
                <w:szCs w:val="14"/>
              </w:rPr>
            </w:pPr>
            <w:r w:rsidDel="00000000" w:rsidR="00000000" w:rsidRPr="00000000">
              <w:rPr>
                <w:sz w:val="14"/>
                <w:szCs w:val="14"/>
                <w:rtl w:val="0"/>
              </w:rPr>
              <w:t xml:space="preserve">$ 458'054,164.21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80" w:firstLine="0"/>
              <w:jc w:val="center"/>
              <w:rPr>
                <w:sz w:val="14"/>
                <w:szCs w:val="14"/>
              </w:rPr>
            </w:pPr>
            <w:r w:rsidDel="00000000" w:rsidR="00000000" w:rsidRPr="00000000">
              <w:rPr>
                <w:sz w:val="14"/>
                <w:szCs w:val="14"/>
                <w:rtl w:val="0"/>
              </w:rPr>
              <w:t xml:space="preserve">$ 114'513,541.05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100" w:lineRule="auto"/>
              <w:ind w:left="80" w:firstLine="0"/>
              <w:jc w:val="center"/>
              <w:rPr>
                <w:sz w:val="14"/>
                <w:szCs w:val="14"/>
              </w:rPr>
            </w:pPr>
            <w:r w:rsidDel="00000000" w:rsidR="00000000" w:rsidRPr="00000000">
              <w:rPr>
                <w:sz w:val="14"/>
                <w:szCs w:val="14"/>
                <w:rtl w:val="0"/>
              </w:rPr>
              <w:t xml:space="preserve">$ 114'513,541.05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100" w:lineRule="auto"/>
              <w:ind w:left="80" w:firstLine="0"/>
              <w:jc w:val="center"/>
              <w:rPr>
                <w:sz w:val="14"/>
                <w:szCs w:val="14"/>
              </w:rPr>
            </w:pPr>
            <w:r w:rsidDel="00000000" w:rsidR="00000000" w:rsidRPr="00000000">
              <w:rPr>
                <w:sz w:val="14"/>
                <w:szCs w:val="14"/>
                <w:rtl w:val="0"/>
              </w:rPr>
              <w:t xml:space="preserve">$ 114'513,541.05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center"/>
              <w:rPr>
                <w:sz w:val="14"/>
                <w:szCs w:val="14"/>
              </w:rPr>
            </w:pPr>
            <w:r w:rsidDel="00000000" w:rsidR="00000000" w:rsidRPr="00000000">
              <w:rPr>
                <w:sz w:val="14"/>
                <w:szCs w:val="14"/>
                <w:rtl w:val="0"/>
              </w:rPr>
              <w:t xml:space="preserve">$ 114'513,541.05</w:t>
            </w:r>
          </w:p>
        </w:tc>
      </w:tr>
      <w:tr>
        <w:trPr>
          <w:trHeight w:val="54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10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100" w:lineRule="auto"/>
              <w:ind w:left="80" w:firstLine="0"/>
              <w:jc w:val="center"/>
              <w:rPr>
                <w:sz w:val="14"/>
                <w:szCs w:val="14"/>
              </w:rPr>
            </w:pPr>
            <w:r w:rsidDel="00000000" w:rsidR="00000000" w:rsidRPr="00000000">
              <w:rPr>
                <w:sz w:val="14"/>
                <w:szCs w:val="14"/>
                <w:rtl w:val="0"/>
              </w:rPr>
              <w:t xml:space="preserve">$ 196'308,927.52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100" w:lineRule="auto"/>
              <w:ind w:left="80" w:firstLine="0"/>
              <w:jc w:val="center"/>
              <w:rPr>
                <w:sz w:val="14"/>
                <w:szCs w:val="14"/>
              </w:rPr>
            </w:pPr>
            <w:r w:rsidDel="00000000" w:rsidR="00000000" w:rsidRPr="00000000">
              <w:rPr>
                <w:sz w:val="14"/>
                <w:szCs w:val="14"/>
                <w:rtl w:val="0"/>
              </w:rPr>
              <w:t xml:space="preserve">$ 49'077,231.88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100" w:lineRule="auto"/>
              <w:ind w:left="80" w:firstLine="0"/>
              <w:jc w:val="center"/>
              <w:rPr>
                <w:sz w:val="14"/>
                <w:szCs w:val="14"/>
              </w:rPr>
            </w:pPr>
            <w:r w:rsidDel="00000000" w:rsidR="00000000" w:rsidRPr="00000000">
              <w:rPr>
                <w:sz w:val="14"/>
                <w:szCs w:val="14"/>
                <w:rtl w:val="0"/>
              </w:rPr>
              <w:t xml:space="preserve">$ 49'077,231.88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100" w:lineRule="auto"/>
              <w:ind w:left="80" w:firstLine="0"/>
              <w:jc w:val="center"/>
              <w:rPr>
                <w:sz w:val="14"/>
                <w:szCs w:val="14"/>
              </w:rPr>
            </w:pPr>
            <w:r w:rsidDel="00000000" w:rsidR="00000000" w:rsidRPr="00000000">
              <w:rPr>
                <w:sz w:val="14"/>
                <w:szCs w:val="14"/>
                <w:rtl w:val="0"/>
              </w:rPr>
              <w:t xml:space="preserve">$ 49'077,231.88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100" w:lineRule="auto"/>
              <w:ind w:left="80" w:firstLine="0"/>
              <w:jc w:val="center"/>
              <w:rPr>
                <w:sz w:val="14"/>
                <w:szCs w:val="14"/>
              </w:rPr>
            </w:pPr>
            <w:r w:rsidDel="00000000" w:rsidR="00000000" w:rsidRPr="00000000">
              <w:rPr>
                <w:sz w:val="14"/>
                <w:szCs w:val="14"/>
                <w:rtl w:val="0"/>
              </w:rPr>
              <w:t xml:space="preserve">$ 49'077,231.88</w:t>
            </w:r>
          </w:p>
        </w:tc>
      </w:tr>
      <w:tr>
        <w:trPr>
          <w:trHeight w:val="8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1">
            <w:pPr>
              <w:spacing w:after="100" w:lineRule="auto"/>
              <w:ind w:left="80" w:firstLine="0"/>
              <w:jc w:val="center"/>
              <w:rPr>
                <w:b w:val="1"/>
                <w:sz w:val="14"/>
                <w:szCs w:val="14"/>
              </w:rPr>
            </w:pPr>
            <w:r w:rsidDel="00000000" w:rsidR="00000000" w:rsidRPr="00000000">
              <w:rPr>
                <w:b w:val="1"/>
                <w:sz w:val="14"/>
                <w:szCs w:val="14"/>
                <w:rtl w:val="0"/>
              </w:rPr>
              <w:t xml:space="preserve">Fecha límite de</w:t>
            </w:r>
          </w:p>
          <w:p w:rsidR="00000000" w:rsidDel="00000000" w:rsidP="00000000" w:rsidRDefault="00000000" w:rsidRPr="00000000" w14:paraId="00000232">
            <w:pPr>
              <w:spacing w:after="100" w:lineRule="auto"/>
              <w:ind w:left="80" w:firstLine="0"/>
              <w:jc w:val="center"/>
              <w:rPr>
                <w:b w:val="1"/>
                <w:sz w:val="14"/>
                <w:szCs w:val="14"/>
              </w:rPr>
            </w:pPr>
            <w:r w:rsidDel="00000000" w:rsidR="00000000" w:rsidRPr="00000000">
              <w:rPr>
                <w:b w:val="1"/>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3">
            <w:pPr>
              <w:spacing w:after="100" w:lineRule="auto"/>
              <w:ind w:left="80" w:firstLine="0"/>
              <w:jc w:val="center"/>
              <w:rPr>
                <w:b w:val="1"/>
                <w:sz w:val="14"/>
                <w:szCs w:val="14"/>
              </w:rPr>
            </w:pPr>
            <w:r w:rsidDel="00000000" w:rsidR="00000000" w:rsidRPr="00000000">
              <w:rPr>
                <w:b w:val="1"/>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80" w:firstLine="0"/>
              <w:jc w:val="center"/>
              <w:rPr>
                <w:b w:val="1"/>
                <w:sz w:val="14"/>
                <w:szCs w:val="14"/>
              </w:rPr>
            </w:pPr>
            <w:r w:rsidDel="00000000" w:rsidR="00000000" w:rsidRPr="00000000">
              <w:rPr>
                <w:b w:val="1"/>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5">
            <w:pPr>
              <w:spacing w:after="100" w:lineRule="auto"/>
              <w:ind w:left="80" w:firstLine="0"/>
              <w:jc w:val="center"/>
              <w:rPr>
                <w:b w:val="1"/>
                <w:sz w:val="14"/>
                <w:szCs w:val="14"/>
              </w:rPr>
            </w:pPr>
            <w:r w:rsidDel="00000000" w:rsidR="00000000" w:rsidRPr="00000000">
              <w:rPr>
                <w:b w:val="1"/>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6">
            <w:pPr>
              <w:spacing w:after="100" w:lineRule="auto"/>
              <w:ind w:left="80" w:firstLine="0"/>
              <w:jc w:val="center"/>
              <w:rPr>
                <w:b w:val="1"/>
                <w:sz w:val="14"/>
                <w:szCs w:val="14"/>
              </w:rPr>
            </w:pPr>
            <w:r w:rsidDel="00000000" w:rsidR="00000000" w:rsidRPr="00000000">
              <w:rPr>
                <w:b w:val="1"/>
                <w:sz w:val="14"/>
                <w:szCs w:val="14"/>
                <w:rtl w:val="0"/>
              </w:rPr>
              <w:t xml:space="preserve">15 de enero 2021</w:t>
            </w:r>
          </w:p>
        </w:tc>
      </w:tr>
    </w:tbl>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2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deberá ser aperturada a nombre de Servicios de Salud de Chihuahua, denominada "Aportación Líquida Estatal INSABI 2020".</w:t>
      </w:r>
    </w:p>
    <w:p w:rsidR="00000000" w:rsidDel="00000000" w:rsidP="00000000" w:rsidRDefault="00000000" w:rsidRPr="00000000" w14:paraId="000002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3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Anexo se firma a los 2 días del mes de marzo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Chihuahua, </w:t>
      </w:r>
      <w:r w:rsidDel="00000000" w:rsidR="00000000" w:rsidRPr="00000000">
        <w:rPr>
          <w:b w:val="1"/>
          <w:color w:val="2f2f2f"/>
          <w:sz w:val="18"/>
          <w:szCs w:val="18"/>
          <w:rtl w:val="0"/>
        </w:rPr>
        <w:t xml:space="preserve">Javier Corral Jurado</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Luis Fernando Mesta Soulé</w:t>
      </w:r>
      <w:r w:rsidDel="00000000" w:rsidR="00000000" w:rsidRPr="00000000">
        <w:rPr>
          <w:color w:val="2f2f2f"/>
          <w:sz w:val="18"/>
          <w:szCs w:val="18"/>
          <w:rtl w:val="0"/>
        </w:rPr>
        <w:t xml:space="preserve">.- Rúbrica.- El Secretario de Hacienda, </w:t>
      </w:r>
      <w:r w:rsidDel="00000000" w:rsidR="00000000" w:rsidRPr="00000000">
        <w:rPr>
          <w:b w:val="1"/>
          <w:color w:val="2f2f2f"/>
          <w:sz w:val="18"/>
          <w:szCs w:val="18"/>
          <w:rtl w:val="0"/>
        </w:rPr>
        <w:t xml:space="preserve">Arturo Fuentes Vélez</w:t>
      </w:r>
      <w:r w:rsidDel="00000000" w:rsidR="00000000" w:rsidRPr="00000000">
        <w:rPr>
          <w:color w:val="2f2f2f"/>
          <w:sz w:val="18"/>
          <w:szCs w:val="18"/>
          <w:rtl w:val="0"/>
        </w:rPr>
        <w:t xml:space="preserve">.- Rúbrica.- El Secretario de Salud y Director General de Servicios de Salud de Chihuahua, </w:t>
      </w:r>
      <w:r w:rsidDel="00000000" w:rsidR="00000000" w:rsidRPr="00000000">
        <w:rPr>
          <w:b w:val="1"/>
          <w:color w:val="2f2f2f"/>
          <w:sz w:val="18"/>
          <w:szCs w:val="18"/>
          <w:rtl w:val="0"/>
        </w:rPr>
        <w:t xml:space="preserve">Jesús Enrique Grajeda Herrera</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Mónica Vargas Ruiz</w:t>
      </w:r>
      <w:r w:rsidDel="00000000" w:rsidR="00000000" w:rsidRPr="00000000">
        <w:rPr>
          <w:color w:val="2f2f2f"/>
          <w:sz w:val="18"/>
          <w:szCs w:val="18"/>
          <w:rtl w:val="0"/>
        </w:rPr>
        <w:t xml:space="preserve">.- Rúbrica.</w:t>
      </w:r>
    </w:p>
    <w:p w:rsidR="00000000" w:rsidDel="00000000" w:rsidP="00000000" w:rsidRDefault="00000000" w:rsidRPr="00000000" w14:paraId="0000024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41">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42">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