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89" w:rsidRDefault="00C07C89" w:rsidP="00C07C89">
      <w:pPr>
        <w:jc w:val="center"/>
        <w:rPr>
          <w:rFonts w:ascii="Verdana" w:eastAsia="Verdana" w:hAnsi="Verdana" w:cs="Verdana"/>
          <w:b/>
          <w:color w:val="0000FF"/>
          <w:sz w:val="24"/>
          <w:szCs w:val="24"/>
        </w:rPr>
      </w:pPr>
      <w:r w:rsidRPr="00C07C89">
        <w:rPr>
          <w:rFonts w:ascii="Verdana" w:eastAsia="Verdana" w:hAnsi="Verdana" w:cs="Verdana"/>
          <w:b/>
          <w:color w:val="0000FF"/>
          <w:sz w:val="24"/>
          <w:szCs w:val="24"/>
        </w:rPr>
        <w:t xml:space="preserve">ACUERDO por el que se da a conocer el cambio de domicilio de la Oficina de Pasaportes de la Secretaría de Relaciones Exteriores en Nuevo León.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w:t>
      </w:r>
      <w:r>
        <w:rPr>
          <w:rFonts w:ascii="Verdana" w:eastAsia="Verdana" w:hAnsi="Verdana" w:cs="Verdana"/>
          <w:b/>
          <w:color w:val="0000FF"/>
          <w:sz w:val="24"/>
          <w:szCs w:val="24"/>
        </w:rPr>
        <w:t xml:space="preserve"> de abril de 2022</w:t>
      </w:r>
      <w:r w:rsidRPr="00575D6A">
        <w:rPr>
          <w:rFonts w:ascii="Verdana" w:eastAsia="Verdana" w:hAnsi="Verdana" w:cs="Verdana"/>
          <w:b/>
          <w:color w:val="0000FF"/>
          <w:sz w:val="24"/>
          <w:szCs w:val="24"/>
        </w:rPr>
        <w:t>)</w:t>
      </w:r>
    </w:p>
    <w:bookmarkEnd w:id="0"/>
    <w:p w:rsidR="00976270" w:rsidRDefault="00C07C89" w:rsidP="00C07C89">
      <w:pPr>
        <w:jc w:val="both"/>
        <w:rPr>
          <w:rFonts w:ascii="Arial" w:hAnsi="Arial" w:cs="Arial"/>
          <w:b/>
          <w:color w:val="262626" w:themeColor="text1" w:themeTint="D9"/>
          <w:sz w:val="18"/>
        </w:rPr>
      </w:pPr>
      <w:r w:rsidRPr="00C07C89">
        <w:rPr>
          <w:rFonts w:ascii="Arial" w:hAnsi="Arial" w:cs="Arial"/>
          <w:b/>
          <w:color w:val="262626" w:themeColor="text1" w:themeTint="D9"/>
          <w:sz w:val="18"/>
        </w:rPr>
        <w:t>Al margen un sello con el Escudo Nacional, que dice: Estados Unidos Mexicanos.- Secretaría de Relaciones Exteriores.</w:t>
      </w:r>
    </w:p>
    <w:p w:rsidR="00C07C89" w:rsidRPr="00C07C89" w:rsidRDefault="00C07C89" w:rsidP="00C07C89">
      <w:pPr>
        <w:spacing w:after="101" w:line="240" w:lineRule="auto"/>
        <w:ind w:firstLine="288"/>
        <w:jc w:val="both"/>
        <w:rPr>
          <w:rFonts w:ascii="Arial" w:eastAsia="Times New Roman" w:hAnsi="Arial" w:cs="Arial"/>
          <w:sz w:val="18"/>
          <w:szCs w:val="18"/>
          <w:lang w:eastAsia="es-MX"/>
        </w:rPr>
      </w:pPr>
      <w:r w:rsidRPr="00C07C89">
        <w:rPr>
          <w:rFonts w:ascii="Arial" w:eastAsia="Times New Roman" w:hAnsi="Arial" w:cs="Arial"/>
          <w:sz w:val="18"/>
          <w:szCs w:val="18"/>
          <w:lang w:eastAsia="es-MX"/>
        </w:rPr>
        <w:t>MOISÉS POBLANNO SILVA,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6, apartado A), fracción VII, 15, fracciones II y XXXI, 72 y 73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C07C89" w:rsidRPr="00C07C89" w:rsidRDefault="00C07C89" w:rsidP="00C07C89">
      <w:pPr>
        <w:spacing w:after="101" w:line="240" w:lineRule="auto"/>
        <w:jc w:val="center"/>
        <w:rPr>
          <w:rFonts w:ascii="Arial" w:eastAsia="Times New Roman" w:hAnsi="Arial" w:cs="Arial"/>
          <w:b/>
          <w:sz w:val="18"/>
          <w:szCs w:val="18"/>
          <w:lang w:eastAsia="es-MX"/>
        </w:rPr>
      </w:pPr>
      <w:r w:rsidRPr="00C07C89">
        <w:rPr>
          <w:rFonts w:ascii="Arial" w:eastAsia="Times New Roman" w:hAnsi="Arial" w:cs="Arial"/>
          <w:b/>
          <w:sz w:val="18"/>
          <w:szCs w:val="18"/>
          <w:lang w:eastAsia="es-MX"/>
        </w:rPr>
        <w:t>CONSIDERANDO</w:t>
      </w:r>
    </w:p>
    <w:p w:rsidR="00C07C89" w:rsidRPr="00C07C89" w:rsidRDefault="00C07C89" w:rsidP="00C07C89">
      <w:pPr>
        <w:spacing w:after="101" w:line="240" w:lineRule="auto"/>
        <w:ind w:firstLine="288"/>
        <w:jc w:val="both"/>
        <w:rPr>
          <w:rFonts w:ascii="Arial" w:eastAsia="Times New Roman" w:hAnsi="Arial" w:cs="Arial"/>
          <w:sz w:val="18"/>
          <w:szCs w:val="18"/>
          <w:lang w:eastAsia="es-MX"/>
        </w:rPr>
      </w:pPr>
      <w:r w:rsidRPr="00C07C89">
        <w:rPr>
          <w:rFonts w:ascii="Arial" w:eastAsia="Times New Roman" w:hAnsi="Arial" w:cs="Arial"/>
          <w:sz w:val="18"/>
          <w:szCs w:val="18"/>
          <w:lang w:eastAsia="es-MX"/>
        </w:rPr>
        <w:t>Que de conformidad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C07C89" w:rsidRPr="00C07C89" w:rsidRDefault="00C07C89" w:rsidP="00C07C89">
      <w:pPr>
        <w:spacing w:after="101" w:line="240" w:lineRule="auto"/>
        <w:ind w:firstLine="288"/>
        <w:jc w:val="both"/>
        <w:rPr>
          <w:rFonts w:ascii="Arial" w:eastAsia="Times New Roman" w:hAnsi="Arial" w:cs="Arial"/>
          <w:sz w:val="18"/>
          <w:szCs w:val="18"/>
          <w:lang w:eastAsia="es-MX"/>
        </w:rPr>
      </w:pPr>
      <w:r w:rsidRPr="00C07C89">
        <w:rPr>
          <w:rFonts w:ascii="Arial" w:eastAsia="Times New Roman" w:hAnsi="Arial" w:cs="Arial"/>
          <w:sz w:val="18"/>
          <w:szCs w:val="18"/>
          <w:lang w:eastAsia="es-MX"/>
        </w:rPr>
        <w:t>Que el artículo 3 del Reglamento de Pasaportes y del Documento de Identidad y Viaje, establece que la Secretaría de Relaciones Exteriores expide pasaportes ordinarios en territorio nacional, por conducto de sus delegaciones y subdelegaciones;</w:t>
      </w:r>
    </w:p>
    <w:p w:rsidR="00C07C89" w:rsidRPr="00C07C89" w:rsidRDefault="00C07C89" w:rsidP="00C07C89">
      <w:pPr>
        <w:spacing w:after="101" w:line="240" w:lineRule="auto"/>
        <w:ind w:firstLine="288"/>
        <w:jc w:val="both"/>
        <w:rPr>
          <w:rFonts w:ascii="Arial" w:eastAsia="Times New Roman" w:hAnsi="Arial" w:cs="Arial"/>
          <w:sz w:val="18"/>
          <w:szCs w:val="18"/>
          <w:lang w:eastAsia="es-MX"/>
        </w:rPr>
      </w:pPr>
      <w:r w:rsidRPr="00C07C89">
        <w:rPr>
          <w:rFonts w:ascii="Arial" w:eastAsia="Times New Roman" w:hAnsi="Arial" w:cs="Arial"/>
          <w:sz w:val="18"/>
          <w:szCs w:val="18"/>
          <w:lang w:eastAsia="es-MX"/>
        </w:rPr>
        <w:t>Que de acuerdo con el artículo tercero transitorio del Reglamento Interior de la Secretaría de Relaciones Exteriores, publicado en el Diario Oficial de la Federación el 14 de junio de 2021, las entonces Delegaciones de esta Secretaría, corresponden actualmente a las Oficinas de Pasaportes, señaladas en el artículo 6, apartado A, fracción XI del citado ordenamiento reglamentario;</w:t>
      </w:r>
    </w:p>
    <w:p w:rsidR="00C07C89" w:rsidRPr="00C07C89" w:rsidRDefault="00C07C89" w:rsidP="00C07C89">
      <w:pPr>
        <w:spacing w:after="101" w:line="240" w:lineRule="auto"/>
        <w:ind w:firstLine="288"/>
        <w:jc w:val="both"/>
        <w:rPr>
          <w:rFonts w:ascii="Arial" w:eastAsia="Times New Roman" w:hAnsi="Arial" w:cs="Arial"/>
          <w:sz w:val="18"/>
          <w:szCs w:val="18"/>
          <w:lang w:eastAsia="es-MX"/>
        </w:rPr>
      </w:pPr>
      <w:r w:rsidRPr="00C07C89">
        <w:rPr>
          <w:rFonts w:ascii="Arial" w:eastAsia="Times New Roman" w:hAnsi="Arial" w:cs="Arial"/>
          <w:sz w:val="18"/>
          <w:szCs w:val="18"/>
          <w:lang w:eastAsia="es-MX"/>
        </w:rPr>
        <w:t>Que de conformidad con lo dispuesto por el artículo 72 del Reglamento Interior de la Secretaría de Relaciones Exteriores, corresponde a las Oficinas de Pasaportes, expedir pasaportes ordinarios y legalizar firmas de los documentos públicos que deban producir efectos en el extranjero;</w:t>
      </w:r>
    </w:p>
    <w:p w:rsidR="00C07C89" w:rsidRPr="00C07C89" w:rsidRDefault="00C07C89" w:rsidP="00C07C89">
      <w:pPr>
        <w:spacing w:after="101" w:line="240" w:lineRule="auto"/>
        <w:ind w:firstLine="288"/>
        <w:jc w:val="both"/>
        <w:rPr>
          <w:rFonts w:ascii="Arial" w:eastAsia="Times New Roman" w:hAnsi="Arial" w:cs="Arial"/>
          <w:sz w:val="18"/>
          <w:szCs w:val="18"/>
          <w:lang w:eastAsia="es-MX"/>
        </w:rPr>
      </w:pPr>
      <w:r w:rsidRPr="00C07C89">
        <w:rPr>
          <w:rFonts w:ascii="Arial" w:eastAsia="Times New Roman" w:hAnsi="Arial" w:cs="Arial"/>
          <w:sz w:val="18"/>
          <w:szCs w:val="18"/>
          <w:lang w:eastAsia="es-MX"/>
        </w:rPr>
        <w:t>Que las Oficinas de Pasaportes localizadas fuera de la Ciudad de México, además de las funciones citadas en el párrafo anterior, tienen las señaladas en el artículo 73 del Reglamento Interior de la Secretaría de Relaciones Exteriores;</w:t>
      </w:r>
    </w:p>
    <w:p w:rsidR="00C07C89" w:rsidRPr="00C07C89" w:rsidRDefault="00C07C89" w:rsidP="00C07C89">
      <w:pPr>
        <w:spacing w:after="101" w:line="240" w:lineRule="auto"/>
        <w:ind w:firstLine="288"/>
        <w:jc w:val="both"/>
        <w:rPr>
          <w:rFonts w:ascii="Arial" w:eastAsia="Times New Roman" w:hAnsi="Arial" w:cs="Arial"/>
          <w:sz w:val="18"/>
          <w:szCs w:val="18"/>
          <w:lang w:eastAsia="es-MX"/>
        </w:rPr>
      </w:pPr>
      <w:r w:rsidRPr="00C07C89">
        <w:rPr>
          <w:rFonts w:ascii="Arial" w:eastAsia="Times New Roman" w:hAnsi="Arial" w:cs="Arial"/>
          <w:sz w:val="18"/>
          <w:szCs w:val="18"/>
          <w:lang w:eastAsia="es-MX"/>
        </w:rPr>
        <w:t>Que conforme el Acuerdo por el que se delegan en el Oficial Mayor de la Secretaría de Relaciones Exteriores las facultades que se indican, publicado en el Diario Oficial de la Federación el 24 de noviembre de 2015, le corresponde suscribir al titular de la Unidad de Administración y Finanzas, los Acuerdos de creación, apertura, modificación, reubicación, cambio de domicilio, suspensión, cierre o desaparición de delegaciones y subdelegaciones de la Secretaría de Relaciones Exteriores;</w:t>
      </w:r>
    </w:p>
    <w:p w:rsidR="00C07C89" w:rsidRPr="00C07C89" w:rsidRDefault="00C07C89" w:rsidP="00C07C89">
      <w:pPr>
        <w:spacing w:after="101" w:line="240" w:lineRule="auto"/>
        <w:ind w:firstLine="288"/>
        <w:jc w:val="both"/>
        <w:rPr>
          <w:rFonts w:ascii="Arial" w:eastAsia="Times New Roman" w:hAnsi="Arial" w:cs="Arial"/>
          <w:sz w:val="18"/>
          <w:szCs w:val="18"/>
          <w:lang w:eastAsia="es-MX"/>
        </w:rPr>
      </w:pPr>
      <w:r w:rsidRPr="00C07C89">
        <w:rPr>
          <w:rFonts w:ascii="Arial" w:eastAsia="Times New Roman" w:hAnsi="Arial" w:cs="Arial"/>
          <w:sz w:val="18"/>
          <w:szCs w:val="18"/>
          <w:lang w:eastAsia="es-MX"/>
        </w:rPr>
        <w:t xml:space="preserve">Que de conformidad al artículo tercero transitorio del Decreto por el que se reforman, adicionan y derogan </w:t>
      </w:r>
    </w:p>
    <w:p w:rsidR="00C07C89" w:rsidRPr="00C07C89" w:rsidRDefault="00C07C89" w:rsidP="00C07C89">
      <w:pPr>
        <w:spacing w:after="101" w:line="240" w:lineRule="auto"/>
        <w:jc w:val="both"/>
        <w:rPr>
          <w:rFonts w:ascii="Arial" w:eastAsia="Times New Roman" w:hAnsi="Arial" w:cs="Arial"/>
          <w:sz w:val="18"/>
          <w:szCs w:val="18"/>
          <w:lang w:eastAsia="es-MX"/>
        </w:rPr>
      </w:pPr>
      <w:proofErr w:type="gramStart"/>
      <w:r w:rsidRPr="00C07C89">
        <w:rPr>
          <w:rFonts w:ascii="Arial" w:eastAsia="Times New Roman" w:hAnsi="Arial" w:cs="Arial"/>
          <w:sz w:val="18"/>
          <w:szCs w:val="18"/>
          <w:lang w:eastAsia="es-MX"/>
        </w:rPr>
        <w:t>diversas</w:t>
      </w:r>
      <w:proofErr w:type="gramEnd"/>
      <w:r w:rsidRPr="00C07C89">
        <w:rPr>
          <w:rFonts w:ascii="Arial" w:eastAsia="Times New Roman" w:hAnsi="Arial" w:cs="Arial"/>
          <w:sz w:val="18"/>
          <w:szCs w:val="18"/>
          <w:lang w:eastAsia="es-MX"/>
        </w:rPr>
        <w:t xml:space="preserve">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w:t>
      </w:r>
    </w:p>
    <w:p w:rsidR="00C07C89" w:rsidRPr="00C07C89" w:rsidRDefault="00C07C89" w:rsidP="00C07C89">
      <w:pPr>
        <w:spacing w:after="101" w:line="240" w:lineRule="auto"/>
        <w:ind w:firstLine="288"/>
        <w:jc w:val="both"/>
        <w:rPr>
          <w:rFonts w:ascii="Arial" w:eastAsia="Times New Roman" w:hAnsi="Arial" w:cs="Arial"/>
          <w:sz w:val="18"/>
          <w:szCs w:val="18"/>
          <w:lang w:eastAsia="es-MX"/>
        </w:rPr>
      </w:pPr>
      <w:r w:rsidRPr="00C07C89">
        <w:rPr>
          <w:rFonts w:ascii="Arial" w:eastAsia="Times New Roman" w:hAnsi="Arial" w:cs="Arial"/>
          <w:sz w:val="18"/>
          <w:szCs w:val="18"/>
          <w:lang w:eastAsia="es-MX"/>
        </w:rPr>
        <w:t>Que el 24 de septiembre de 2010, se publicó en el Diario Oficial de la Federación el Acuerdo por el que se da conocer el nuevo domicilio de las delegaciones de la Secretaría de Relaciones Exteriores en Monterrey, Nuevo León y en Tijuana, Baja California, en el que, entre otras cosas, se señala el actual domicilio de la Oficina de Pasaportes en Nuevo León;</w:t>
      </w:r>
    </w:p>
    <w:p w:rsidR="00C07C89" w:rsidRPr="00C07C89" w:rsidRDefault="00C07C89" w:rsidP="00C07C89">
      <w:pPr>
        <w:spacing w:after="101" w:line="240" w:lineRule="auto"/>
        <w:ind w:firstLine="288"/>
        <w:jc w:val="both"/>
        <w:rPr>
          <w:rFonts w:ascii="Arial" w:eastAsia="Times New Roman" w:hAnsi="Arial" w:cs="Arial"/>
          <w:sz w:val="18"/>
          <w:szCs w:val="18"/>
          <w:lang w:eastAsia="es-MX"/>
        </w:rPr>
      </w:pPr>
      <w:r w:rsidRPr="00C07C89">
        <w:rPr>
          <w:rFonts w:ascii="Arial" w:eastAsia="Times New Roman" w:hAnsi="Arial" w:cs="Arial"/>
          <w:sz w:val="18"/>
          <w:szCs w:val="18"/>
          <w:lang w:eastAsia="es-MX"/>
        </w:rPr>
        <w:t>Que el 16 de julio de 2021, se publicó en el Diario Oficial de la Federación el Acuerdo por el que se da a conocer el cambio de horario de atención de la Oficina de Pasaportes de la Secretaría de Relaciones Exteriores en Monterrey, Nuevo León;</w:t>
      </w:r>
    </w:p>
    <w:p w:rsidR="00C07C89" w:rsidRPr="00C07C89" w:rsidRDefault="00C07C89" w:rsidP="00C07C89">
      <w:pPr>
        <w:spacing w:after="101" w:line="240" w:lineRule="auto"/>
        <w:ind w:firstLine="288"/>
        <w:jc w:val="both"/>
        <w:rPr>
          <w:rFonts w:ascii="Arial" w:eastAsia="Times New Roman" w:hAnsi="Arial" w:cs="Arial"/>
          <w:sz w:val="18"/>
          <w:szCs w:val="18"/>
          <w:lang w:eastAsia="es-MX"/>
        </w:rPr>
      </w:pPr>
      <w:r w:rsidRPr="00C07C89">
        <w:rPr>
          <w:rFonts w:ascii="Arial" w:eastAsia="Times New Roman" w:hAnsi="Arial" w:cs="Arial"/>
          <w:sz w:val="18"/>
          <w:szCs w:val="18"/>
          <w:lang w:eastAsia="es-MX"/>
        </w:rPr>
        <w:lastRenderedPageBreak/>
        <w:t>Que a efecto de acercar a la ciudadanía los servicios que presta la Secretaría, otorgar certeza jurídica y un servicio de calidad a los solicitantes, resulta importante mantener actualizado el directorio de las Oficinas de Pasaportes, siendo necesario dar a conocer el cambio de domicilio de la Oficina de Pasaportes ubicada en el Estado de Nuevo León, por lo que he tenido a bien dictar el siguiente:</w:t>
      </w:r>
    </w:p>
    <w:p w:rsidR="00C07C89" w:rsidRPr="00C07C89" w:rsidRDefault="00C07C89" w:rsidP="00C07C89">
      <w:pPr>
        <w:spacing w:after="101" w:line="240" w:lineRule="auto"/>
        <w:jc w:val="center"/>
        <w:rPr>
          <w:rFonts w:ascii="Arial" w:eastAsia="Times New Roman" w:hAnsi="Arial" w:cs="Arial"/>
          <w:b/>
          <w:sz w:val="18"/>
          <w:szCs w:val="18"/>
          <w:lang w:eastAsia="es-MX"/>
        </w:rPr>
      </w:pPr>
      <w:r w:rsidRPr="00C07C89">
        <w:rPr>
          <w:rFonts w:ascii="Arial" w:eastAsia="Times New Roman" w:hAnsi="Arial" w:cs="Arial"/>
          <w:b/>
          <w:sz w:val="18"/>
          <w:szCs w:val="18"/>
          <w:lang w:eastAsia="es-MX"/>
        </w:rPr>
        <w:t>ACUERDO</w:t>
      </w:r>
    </w:p>
    <w:p w:rsidR="00C07C89" w:rsidRPr="00C07C89" w:rsidRDefault="00C07C89" w:rsidP="00C07C89">
      <w:pPr>
        <w:spacing w:after="101" w:line="240" w:lineRule="auto"/>
        <w:ind w:firstLine="288"/>
        <w:jc w:val="both"/>
        <w:rPr>
          <w:rFonts w:ascii="Arial" w:eastAsia="Times New Roman" w:hAnsi="Arial" w:cs="Arial"/>
          <w:sz w:val="18"/>
          <w:szCs w:val="18"/>
          <w:lang w:eastAsia="es-MX"/>
        </w:rPr>
      </w:pPr>
      <w:r w:rsidRPr="00C07C89">
        <w:rPr>
          <w:rFonts w:ascii="Arial" w:eastAsia="Times New Roman" w:hAnsi="Arial" w:cs="Arial"/>
          <w:b/>
          <w:bCs/>
          <w:sz w:val="18"/>
          <w:szCs w:val="18"/>
          <w:lang w:eastAsia="es-MX"/>
        </w:rPr>
        <w:t xml:space="preserve">ÚNICO.- </w:t>
      </w:r>
      <w:r w:rsidRPr="00C07C89">
        <w:rPr>
          <w:rFonts w:ascii="Arial" w:eastAsia="Times New Roman" w:hAnsi="Arial" w:cs="Arial"/>
          <w:sz w:val="18"/>
          <w:szCs w:val="18"/>
          <w:lang w:eastAsia="es-MX"/>
        </w:rPr>
        <w:t>A partir del 30 de abril de 2022 el domicilio de la Oficina de Pasaportes en Nuevo León, se ubicará en Avenida Miguel Alemán No. 200, Col. La Fe, C.P. 66477, Municipio San Nicolás de los Garza, Nuevo León, en el Inmueble denominado "Paseo la Fe", en un horario de atención de lunes a domingo de 8:00 a 20:00 horas, Tiempo de la Zona Centro, según lo dispuesto en la Ley del Sistema de Horario en los Estados Unidos Mexicanos. Por lo que a partir de la fecha citada se deberá dirigir y entregar en el domicilio referido, toda la correspondencia, trámites y diligencias relacionadas con los asuntos que son competencia de dicha Oficina de Pasaportes, cuyo titular tendrá las funciones previstas en los artículos 72 y 73 del Reglamento Interior de la Secretaría de Relaciones Exteriores.</w:t>
      </w:r>
    </w:p>
    <w:p w:rsidR="00C07C89" w:rsidRPr="00C07C89" w:rsidRDefault="00C07C89" w:rsidP="00C07C89">
      <w:pPr>
        <w:spacing w:after="101" w:line="240" w:lineRule="auto"/>
        <w:jc w:val="center"/>
        <w:rPr>
          <w:rFonts w:ascii="Arial" w:eastAsia="Times New Roman" w:hAnsi="Arial" w:cs="Arial"/>
          <w:b/>
          <w:sz w:val="18"/>
          <w:szCs w:val="18"/>
          <w:lang w:eastAsia="es-MX"/>
        </w:rPr>
      </w:pPr>
      <w:r w:rsidRPr="00C07C89">
        <w:rPr>
          <w:rFonts w:ascii="Arial" w:eastAsia="Times New Roman" w:hAnsi="Arial" w:cs="Arial"/>
          <w:b/>
          <w:sz w:val="18"/>
          <w:szCs w:val="18"/>
          <w:lang w:eastAsia="es-MX"/>
        </w:rPr>
        <w:t>TRANSITORIOS</w:t>
      </w:r>
    </w:p>
    <w:p w:rsidR="00C07C89" w:rsidRPr="00C07C89" w:rsidRDefault="00C07C89" w:rsidP="00C07C89">
      <w:pPr>
        <w:spacing w:after="101" w:line="240" w:lineRule="auto"/>
        <w:ind w:firstLine="288"/>
        <w:jc w:val="both"/>
        <w:rPr>
          <w:rFonts w:ascii="Arial" w:eastAsia="Times New Roman" w:hAnsi="Arial" w:cs="Arial"/>
          <w:sz w:val="18"/>
          <w:szCs w:val="18"/>
          <w:lang w:eastAsia="es-MX"/>
        </w:rPr>
      </w:pPr>
      <w:r w:rsidRPr="00C07C89">
        <w:rPr>
          <w:rFonts w:ascii="Arial" w:eastAsia="Times New Roman" w:hAnsi="Arial" w:cs="Arial"/>
          <w:b/>
          <w:bCs/>
          <w:sz w:val="18"/>
          <w:szCs w:val="18"/>
          <w:lang w:eastAsia="es-MX"/>
        </w:rPr>
        <w:t>PRIMERO.-</w:t>
      </w:r>
      <w:r w:rsidRPr="00C07C89">
        <w:rPr>
          <w:rFonts w:ascii="Arial" w:eastAsia="Times New Roman" w:hAnsi="Arial" w:cs="Arial"/>
          <w:sz w:val="18"/>
          <w:szCs w:val="18"/>
          <w:lang w:eastAsia="es-MX"/>
        </w:rPr>
        <w:t xml:space="preserve"> El presente Acuerdo entrará en vigor el día 30 de abril de 2022.</w:t>
      </w:r>
    </w:p>
    <w:p w:rsidR="00C07C89" w:rsidRPr="00C07C89" w:rsidRDefault="00C07C89" w:rsidP="00C07C89">
      <w:pPr>
        <w:spacing w:after="101" w:line="240" w:lineRule="auto"/>
        <w:ind w:firstLine="288"/>
        <w:jc w:val="both"/>
        <w:rPr>
          <w:rFonts w:ascii="Arial" w:eastAsia="Times New Roman" w:hAnsi="Arial" w:cs="Arial"/>
          <w:sz w:val="18"/>
          <w:szCs w:val="18"/>
          <w:lang w:eastAsia="es-MX"/>
        </w:rPr>
      </w:pPr>
      <w:r w:rsidRPr="00C07C89">
        <w:rPr>
          <w:rFonts w:ascii="Arial" w:eastAsia="Times New Roman" w:hAnsi="Arial" w:cs="Arial"/>
          <w:b/>
          <w:bCs/>
          <w:sz w:val="18"/>
          <w:szCs w:val="18"/>
          <w:lang w:eastAsia="es-MX"/>
        </w:rPr>
        <w:t>SEGUNDO.-</w:t>
      </w:r>
      <w:r w:rsidRPr="00C07C89">
        <w:rPr>
          <w:rFonts w:ascii="Arial" w:eastAsia="Times New Roman" w:hAnsi="Arial" w:cs="Arial"/>
          <w:sz w:val="18"/>
          <w:szCs w:val="18"/>
          <w:lang w:eastAsia="es-MX"/>
        </w:rPr>
        <w:t xml:space="preserve"> Los trámites que se encuentren pendientes al entrar en vigor el presente Acuerdo, serán resueltos por la Oficina de Pasaportes de la Secretaría de Relaciones Exteriores, ubicada en el domicilio señalado en el artículo único del presente ordenamiento.</w:t>
      </w:r>
    </w:p>
    <w:p w:rsidR="00C07C89" w:rsidRPr="00C07C89" w:rsidRDefault="00C07C89" w:rsidP="00C07C89">
      <w:pPr>
        <w:spacing w:after="101" w:line="240" w:lineRule="auto"/>
        <w:ind w:firstLine="288"/>
        <w:jc w:val="both"/>
        <w:rPr>
          <w:rFonts w:ascii="Arial" w:eastAsia="Times New Roman" w:hAnsi="Arial" w:cs="Arial"/>
          <w:sz w:val="18"/>
          <w:szCs w:val="18"/>
          <w:lang w:eastAsia="es-MX"/>
        </w:rPr>
      </w:pPr>
      <w:r w:rsidRPr="00C07C89">
        <w:rPr>
          <w:rFonts w:ascii="Arial" w:eastAsia="Times New Roman" w:hAnsi="Arial" w:cs="Arial"/>
          <w:b/>
          <w:bCs/>
          <w:sz w:val="18"/>
          <w:szCs w:val="18"/>
          <w:lang w:eastAsia="es-MX"/>
        </w:rPr>
        <w:t xml:space="preserve">TERCERO.- </w:t>
      </w:r>
      <w:r w:rsidRPr="00C07C89">
        <w:rPr>
          <w:rFonts w:ascii="Arial" w:eastAsia="Times New Roman" w:hAnsi="Arial" w:cs="Arial"/>
          <w:sz w:val="18"/>
          <w:szCs w:val="18"/>
          <w:lang w:eastAsia="es-MX"/>
        </w:rPr>
        <w:t>Se deja sin efectos el numeral Primero del "Acuerdo por el que se da a conocer el nuevo domicilio de las delegaciones de la Secretaría de Relaciones Exteriores en Monterrey, Nuevo León y en Tijuana, Baja California", publicado en el Diario Oficial de la Federación el 24 de septiembre de 2010.</w:t>
      </w:r>
    </w:p>
    <w:p w:rsidR="00C07C89" w:rsidRPr="00C07C89" w:rsidRDefault="00C07C89" w:rsidP="00C07C89">
      <w:pPr>
        <w:spacing w:after="101" w:line="240" w:lineRule="auto"/>
        <w:ind w:firstLine="288"/>
        <w:jc w:val="both"/>
        <w:rPr>
          <w:rFonts w:ascii="Arial" w:eastAsia="Times New Roman" w:hAnsi="Arial" w:cs="Arial"/>
          <w:sz w:val="18"/>
          <w:szCs w:val="18"/>
          <w:lang w:eastAsia="es-MX"/>
        </w:rPr>
      </w:pPr>
      <w:r w:rsidRPr="00C07C89">
        <w:rPr>
          <w:rFonts w:ascii="Arial" w:eastAsia="Times New Roman" w:hAnsi="Arial" w:cs="Arial"/>
          <w:sz w:val="18"/>
          <w:szCs w:val="18"/>
          <w:lang w:eastAsia="es-MX"/>
        </w:rPr>
        <w:t xml:space="preserve">Dado en la Ciudad de México a los 11 días del mes de abril de dos mil veintidós.- El Titular de la Unidad de Administración y Finanzas de la Secretaría de Relaciones Exteriores, </w:t>
      </w:r>
      <w:r w:rsidRPr="00C07C89">
        <w:rPr>
          <w:rFonts w:ascii="Arial" w:eastAsia="Times New Roman" w:hAnsi="Arial" w:cs="Arial"/>
          <w:b/>
          <w:bCs/>
          <w:sz w:val="18"/>
          <w:szCs w:val="18"/>
          <w:lang w:eastAsia="es-MX"/>
        </w:rPr>
        <w:t xml:space="preserve">Moisés </w:t>
      </w:r>
      <w:proofErr w:type="spellStart"/>
      <w:r w:rsidRPr="00C07C89">
        <w:rPr>
          <w:rFonts w:ascii="Arial" w:eastAsia="Times New Roman" w:hAnsi="Arial" w:cs="Arial"/>
          <w:b/>
          <w:bCs/>
          <w:sz w:val="18"/>
          <w:szCs w:val="18"/>
          <w:lang w:eastAsia="es-MX"/>
        </w:rPr>
        <w:t>Poblanno</w:t>
      </w:r>
      <w:proofErr w:type="spellEnd"/>
      <w:r w:rsidRPr="00C07C89">
        <w:rPr>
          <w:rFonts w:ascii="Arial" w:eastAsia="Times New Roman" w:hAnsi="Arial" w:cs="Arial"/>
          <w:b/>
          <w:bCs/>
          <w:sz w:val="18"/>
          <w:szCs w:val="18"/>
          <w:lang w:eastAsia="es-MX"/>
        </w:rPr>
        <w:t xml:space="preserve"> Silva</w:t>
      </w:r>
      <w:r w:rsidRPr="00C07C89">
        <w:rPr>
          <w:rFonts w:ascii="Arial" w:eastAsia="Times New Roman" w:hAnsi="Arial" w:cs="Arial"/>
          <w:sz w:val="18"/>
          <w:szCs w:val="18"/>
          <w:lang w:eastAsia="es-MX"/>
        </w:rPr>
        <w:t>.- Rúbrica.</w:t>
      </w:r>
    </w:p>
    <w:p w:rsidR="00C07C89" w:rsidRDefault="00C07C89" w:rsidP="00C07C89">
      <w:pPr>
        <w:jc w:val="both"/>
      </w:pPr>
    </w:p>
    <w:sectPr w:rsidR="00C07C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89"/>
    <w:rsid w:val="005152B3"/>
    <w:rsid w:val="00C07C89"/>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C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C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281">
      <w:bodyDiv w:val="1"/>
      <w:marLeft w:val="0"/>
      <w:marRight w:val="0"/>
      <w:marTop w:val="0"/>
      <w:marBottom w:val="0"/>
      <w:divBdr>
        <w:top w:val="none" w:sz="0" w:space="0" w:color="auto"/>
        <w:left w:val="none" w:sz="0" w:space="0" w:color="auto"/>
        <w:bottom w:val="none" w:sz="0" w:space="0" w:color="auto"/>
        <w:right w:val="none" w:sz="0" w:space="0" w:color="auto"/>
      </w:divBdr>
      <w:divsChild>
        <w:div w:id="28992316">
          <w:marLeft w:val="0"/>
          <w:marRight w:val="0"/>
          <w:marTop w:val="0"/>
          <w:marBottom w:val="101"/>
          <w:divBdr>
            <w:top w:val="none" w:sz="0" w:space="0" w:color="auto"/>
            <w:left w:val="none" w:sz="0" w:space="0" w:color="auto"/>
            <w:bottom w:val="none" w:sz="0" w:space="0" w:color="auto"/>
            <w:right w:val="none" w:sz="0" w:space="0" w:color="auto"/>
          </w:divBdr>
        </w:div>
        <w:div w:id="589241641">
          <w:marLeft w:val="0"/>
          <w:marRight w:val="0"/>
          <w:marTop w:val="101"/>
          <w:marBottom w:val="101"/>
          <w:divBdr>
            <w:top w:val="none" w:sz="0" w:space="0" w:color="auto"/>
            <w:left w:val="none" w:sz="0" w:space="0" w:color="auto"/>
            <w:bottom w:val="none" w:sz="0" w:space="0" w:color="auto"/>
            <w:right w:val="none" w:sz="0" w:space="0" w:color="auto"/>
          </w:divBdr>
        </w:div>
        <w:div w:id="1023673122">
          <w:marLeft w:val="0"/>
          <w:marRight w:val="0"/>
          <w:marTop w:val="0"/>
          <w:marBottom w:val="101"/>
          <w:divBdr>
            <w:top w:val="none" w:sz="0" w:space="0" w:color="auto"/>
            <w:left w:val="none" w:sz="0" w:space="0" w:color="auto"/>
            <w:bottom w:val="none" w:sz="0" w:space="0" w:color="auto"/>
            <w:right w:val="none" w:sz="0" w:space="0" w:color="auto"/>
          </w:divBdr>
        </w:div>
        <w:div w:id="1077440914">
          <w:marLeft w:val="0"/>
          <w:marRight w:val="0"/>
          <w:marTop w:val="0"/>
          <w:marBottom w:val="101"/>
          <w:divBdr>
            <w:top w:val="none" w:sz="0" w:space="0" w:color="auto"/>
            <w:left w:val="none" w:sz="0" w:space="0" w:color="auto"/>
            <w:bottom w:val="none" w:sz="0" w:space="0" w:color="auto"/>
            <w:right w:val="none" w:sz="0" w:space="0" w:color="auto"/>
          </w:divBdr>
        </w:div>
        <w:div w:id="410011142">
          <w:marLeft w:val="0"/>
          <w:marRight w:val="0"/>
          <w:marTop w:val="0"/>
          <w:marBottom w:val="101"/>
          <w:divBdr>
            <w:top w:val="none" w:sz="0" w:space="0" w:color="auto"/>
            <w:left w:val="none" w:sz="0" w:space="0" w:color="auto"/>
            <w:bottom w:val="none" w:sz="0" w:space="0" w:color="auto"/>
            <w:right w:val="none" w:sz="0" w:space="0" w:color="auto"/>
          </w:divBdr>
        </w:div>
        <w:div w:id="1882277415">
          <w:marLeft w:val="0"/>
          <w:marRight w:val="0"/>
          <w:marTop w:val="0"/>
          <w:marBottom w:val="101"/>
          <w:divBdr>
            <w:top w:val="none" w:sz="0" w:space="0" w:color="auto"/>
            <w:left w:val="none" w:sz="0" w:space="0" w:color="auto"/>
            <w:bottom w:val="none" w:sz="0" w:space="0" w:color="auto"/>
            <w:right w:val="none" w:sz="0" w:space="0" w:color="auto"/>
          </w:divBdr>
        </w:div>
        <w:div w:id="1827163125">
          <w:marLeft w:val="0"/>
          <w:marRight w:val="0"/>
          <w:marTop w:val="0"/>
          <w:marBottom w:val="101"/>
          <w:divBdr>
            <w:top w:val="none" w:sz="0" w:space="0" w:color="auto"/>
            <w:left w:val="none" w:sz="0" w:space="0" w:color="auto"/>
            <w:bottom w:val="none" w:sz="0" w:space="0" w:color="auto"/>
            <w:right w:val="none" w:sz="0" w:space="0" w:color="auto"/>
          </w:divBdr>
        </w:div>
        <w:div w:id="123432677">
          <w:marLeft w:val="0"/>
          <w:marRight w:val="0"/>
          <w:marTop w:val="0"/>
          <w:marBottom w:val="101"/>
          <w:divBdr>
            <w:top w:val="none" w:sz="0" w:space="0" w:color="auto"/>
            <w:left w:val="none" w:sz="0" w:space="0" w:color="auto"/>
            <w:bottom w:val="none" w:sz="0" w:space="0" w:color="auto"/>
            <w:right w:val="none" w:sz="0" w:space="0" w:color="auto"/>
          </w:divBdr>
        </w:div>
        <w:div w:id="2008053753">
          <w:marLeft w:val="0"/>
          <w:marRight w:val="0"/>
          <w:marTop w:val="0"/>
          <w:marBottom w:val="101"/>
          <w:divBdr>
            <w:top w:val="none" w:sz="0" w:space="0" w:color="auto"/>
            <w:left w:val="none" w:sz="0" w:space="0" w:color="auto"/>
            <w:bottom w:val="none" w:sz="0" w:space="0" w:color="auto"/>
            <w:right w:val="none" w:sz="0" w:space="0" w:color="auto"/>
          </w:divBdr>
        </w:div>
        <w:div w:id="1083723623">
          <w:marLeft w:val="0"/>
          <w:marRight w:val="0"/>
          <w:marTop w:val="0"/>
          <w:marBottom w:val="101"/>
          <w:divBdr>
            <w:top w:val="none" w:sz="0" w:space="0" w:color="auto"/>
            <w:left w:val="none" w:sz="0" w:space="0" w:color="auto"/>
            <w:bottom w:val="none" w:sz="0" w:space="0" w:color="auto"/>
            <w:right w:val="none" w:sz="0" w:space="0" w:color="auto"/>
          </w:divBdr>
        </w:div>
        <w:div w:id="1118648990">
          <w:marLeft w:val="0"/>
          <w:marRight w:val="0"/>
          <w:marTop w:val="0"/>
          <w:marBottom w:val="101"/>
          <w:divBdr>
            <w:top w:val="none" w:sz="0" w:space="0" w:color="auto"/>
            <w:left w:val="none" w:sz="0" w:space="0" w:color="auto"/>
            <w:bottom w:val="none" w:sz="0" w:space="0" w:color="auto"/>
            <w:right w:val="none" w:sz="0" w:space="0" w:color="auto"/>
          </w:divBdr>
        </w:div>
        <w:div w:id="1636057174">
          <w:marLeft w:val="0"/>
          <w:marRight w:val="0"/>
          <w:marTop w:val="0"/>
          <w:marBottom w:val="101"/>
          <w:divBdr>
            <w:top w:val="none" w:sz="0" w:space="0" w:color="auto"/>
            <w:left w:val="none" w:sz="0" w:space="0" w:color="auto"/>
            <w:bottom w:val="none" w:sz="0" w:space="0" w:color="auto"/>
            <w:right w:val="none" w:sz="0" w:space="0" w:color="auto"/>
          </w:divBdr>
        </w:div>
        <w:div w:id="1339582064">
          <w:marLeft w:val="0"/>
          <w:marRight w:val="0"/>
          <w:marTop w:val="0"/>
          <w:marBottom w:val="101"/>
          <w:divBdr>
            <w:top w:val="none" w:sz="0" w:space="0" w:color="auto"/>
            <w:left w:val="none" w:sz="0" w:space="0" w:color="auto"/>
            <w:bottom w:val="none" w:sz="0" w:space="0" w:color="auto"/>
            <w:right w:val="none" w:sz="0" w:space="0" w:color="auto"/>
          </w:divBdr>
        </w:div>
        <w:div w:id="72901427">
          <w:marLeft w:val="0"/>
          <w:marRight w:val="0"/>
          <w:marTop w:val="101"/>
          <w:marBottom w:val="101"/>
          <w:divBdr>
            <w:top w:val="none" w:sz="0" w:space="0" w:color="auto"/>
            <w:left w:val="none" w:sz="0" w:space="0" w:color="auto"/>
            <w:bottom w:val="none" w:sz="0" w:space="0" w:color="auto"/>
            <w:right w:val="none" w:sz="0" w:space="0" w:color="auto"/>
          </w:divBdr>
        </w:div>
        <w:div w:id="1040713749">
          <w:marLeft w:val="0"/>
          <w:marRight w:val="0"/>
          <w:marTop w:val="0"/>
          <w:marBottom w:val="101"/>
          <w:divBdr>
            <w:top w:val="none" w:sz="0" w:space="0" w:color="auto"/>
            <w:left w:val="none" w:sz="0" w:space="0" w:color="auto"/>
            <w:bottom w:val="none" w:sz="0" w:space="0" w:color="auto"/>
            <w:right w:val="none" w:sz="0" w:space="0" w:color="auto"/>
          </w:divBdr>
        </w:div>
        <w:div w:id="646207606">
          <w:marLeft w:val="0"/>
          <w:marRight w:val="0"/>
          <w:marTop w:val="101"/>
          <w:marBottom w:val="101"/>
          <w:divBdr>
            <w:top w:val="none" w:sz="0" w:space="0" w:color="auto"/>
            <w:left w:val="none" w:sz="0" w:space="0" w:color="auto"/>
            <w:bottom w:val="none" w:sz="0" w:space="0" w:color="auto"/>
            <w:right w:val="none" w:sz="0" w:space="0" w:color="auto"/>
          </w:divBdr>
        </w:div>
        <w:div w:id="1533223938">
          <w:marLeft w:val="0"/>
          <w:marRight w:val="0"/>
          <w:marTop w:val="0"/>
          <w:marBottom w:val="101"/>
          <w:divBdr>
            <w:top w:val="none" w:sz="0" w:space="0" w:color="auto"/>
            <w:left w:val="none" w:sz="0" w:space="0" w:color="auto"/>
            <w:bottom w:val="none" w:sz="0" w:space="0" w:color="auto"/>
            <w:right w:val="none" w:sz="0" w:space="0" w:color="auto"/>
          </w:divBdr>
        </w:div>
        <w:div w:id="1998797608">
          <w:marLeft w:val="0"/>
          <w:marRight w:val="0"/>
          <w:marTop w:val="0"/>
          <w:marBottom w:val="101"/>
          <w:divBdr>
            <w:top w:val="none" w:sz="0" w:space="0" w:color="auto"/>
            <w:left w:val="none" w:sz="0" w:space="0" w:color="auto"/>
            <w:bottom w:val="none" w:sz="0" w:space="0" w:color="auto"/>
            <w:right w:val="none" w:sz="0" w:space="0" w:color="auto"/>
          </w:divBdr>
        </w:div>
        <w:div w:id="1965192174">
          <w:marLeft w:val="0"/>
          <w:marRight w:val="0"/>
          <w:marTop w:val="0"/>
          <w:marBottom w:val="101"/>
          <w:divBdr>
            <w:top w:val="none" w:sz="0" w:space="0" w:color="auto"/>
            <w:left w:val="none" w:sz="0" w:space="0" w:color="auto"/>
            <w:bottom w:val="none" w:sz="0" w:space="0" w:color="auto"/>
            <w:right w:val="none" w:sz="0" w:space="0" w:color="auto"/>
          </w:divBdr>
        </w:div>
        <w:div w:id="36136698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999</Words>
  <Characters>5495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2022-04-25T13:49:00Z</dcterms:created>
  <dcterms:modified xsi:type="dcterms:W3CDTF">2022-04-25T13:52:00Z</dcterms:modified>
</cp:coreProperties>
</file>