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CONVENIO de Coordinación para el otorgamiento del subsidio para la creación, fortalecimiento y/o mejora de los Centros de Conciliación Laboral, que celebran la Secretaría del Trabajo y Previsión Social y el Estado de Quintana Roo</w:t>
      </w:r>
      <w:r>
        <w:rPr>
          <w:rFonts w:hint="default" w:ascii="Verdana" w:hAnsi="Verdana" w:eastAsia="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25</w:t>
      </w:r>
      <w:r>
        <w:rPr>
          <w:rFonts w:ascii="Verdana" w:hAnsi="Verdana" w:eastAsia="Verdana" w:cs="Verdana"/>
          <w:b/>
          <w:color w:val="0000FF"/>
          <w:sz w:val="24"/>
          <w:szCs w:val="24"/>
        </w:rPr>
        <w:t xml:space="preserve"> de octubre de 2023)</w:t>
      </w:r>
      <w:bookmarkEnd w:id="0"/>
    </w:p>
    <w:p>
      <w:pPr>
        <w:jc w:val="both"/>
        <w:rPr>
          <w:rFonts w:hint="default" w:ascii="Arial" w:hAnsi="Arial" w:eastAsia="Times New Roman"/>
          <w:b w:val="0"/>
          <w:bCs/>
          <w:color w:val="2F2F2F"/>
          <w:sz w:val="16"/>
          <w:szCs w:val="13"/>
          <w:lang w:eastAsia="es-MX"/>
        </w:rPr>
      </w:pPr>
      <w:r>
        <w:rPr>
          <w:rFonts w:hint="default" w:ascii="Arial" w:hAnsi="Arial" w:eastAsia="Times New Roman"/>
          <w:b w:val="0"/>
          <w:bCs/>
          <w:color w:val="2F2F2F"/>
          <w:sz w:val="16"/>
          <w:szCs w:val="13"/>
          <w:lang w:eastAsia="es-MX"/>
        </w:rPr>
        <w:t>CONVENIO DE COORDINACIÓN PARA EL OTORGAMIENTO DEL SUBSIDIO PARA LA "CREACIÓN, FORTALECIMIENTO Y/O MEJORA DE LOS CENTROS DE CONCILIACIÓN LABORAL"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QUINTANA ROO, EN ADELANTE "EL GOBIERNO DEL ESTADO", REPRESENTADO POR LA DIRECTORA GENERAL DEL CENTRO DE CONCILIACIÓN LABORAL Y RESPONSABLE DEL PROYECTO, GUILLERMINA CORONA TRUJILLO; Y POR EL SECRETARIO DE FINANZAS Y PLANEACIÓN, EUGENIO SEGURA VÁZQUEZ; A QUIENES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2F2F2F"/>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artículo Quinto Transitorio del Decreto referido en el párrafo anterior, dispone que la Autoridad Conciliatoria Local y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Identificar con precisión la población objetivo; b) Incorporar mecanismos periódicos de seguimiento, supervisión y evaluación; c) Prever la temporalidad en su otorgamiento y d) Reportar su ejercicio.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w:t>
      </w:r>
      <w:r>
        <w:rPr>
          <w:rFonts w:hint="default" w:ascii="Arial" w:hAnsi="Arial" w:eastAsia="SimSun" w:cs="Arial"/>
          <w:i w:val="0"/>
          <w:iCs w:val="0"/>
          <w:caps w:val="0"/>
          <w:color w:val="2F2F2F"/>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Quintana Roo, por lo que autorizó la cantidad de $1,310,186.83 (un millón trecientos diez mil ciento ochenta y seis pesos 83/100 M.N.) para el fortalecimiento y/o mejora de los Centros de Conciliación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 </w:t>
      </w:r>
      <w:r>
        <w:rPr>
          <w:rFonts w:hint="default" w:ascii="Arial" w:hAnsi="Arial" w:eastAsia="SimSun" w:cs="Arial"/>
          <w:i w:val="0"/>
          <w:iCs w:val="0"/>
          <w:caps w:val="0"/>
          <w:color w:val="2F2F2F"/>
          <w:spacing w:val="0"/>
          <w:kern w:val="0"/>
          <w:sz w:val="18"/>
          <w:szCs w:val="18"/>
          <w:shd w:val="clear" w:fill="FFFFFF"/>
          <w:lang w:val="en-US" w:eastAsia="zh-CN" w:bidi="ar"/>
        </w:rPr>
        <w:t>Dicha situación se notificó a la Entidad Federativa mediante resolución del Comité de Evaluación de Proyectos el 20 de septiembre de 2023,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 </w:t>
      </w:r>
      <w:r>
        <w:rPr>
          <w:rFonts w:hint="default" w:ascii="Arial" w:hAnsi="Arial" w:eastAsia="SimSun" w:cs="Arial"/>
          <w:i w:val="0"/>
          <w:iCs w:val="0"/>
          <w:caps w:val="0"/>
          <w:color w:val="2F2F2F"/>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 </w:t>
      </w:r>
      <w:r>
        <w:rPr>
          <w:rFonts w:hint="default" w:ascii="Arial" w:hAnsi="Arial" w:eastAsia="SimSun" w:cs="Arial"/>
          <w:i w:val="0"/>
          <w:iCs w:val="0"/>
          <w:caps w:val="0"/>
          <w:color w:val="2F2F2F"/>
          <w:spacing w:val="0"/>
          <w:kern w:val="0"/>
          <w:sz w:val="18"/>
          <w:szCs w:val="18"/>
          <w:shd w:val="clear" w:fill="FFFFFF"/>
          <w:lang w:val="en-US" w:eastAsia="zh-CN" w:bidi="ar"/>
        </w:rPr>
        <w:t>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 </w:t>
      </w:r>
      <w:r>
        <w:rPr>
          <w:rFonts w:hint="default" w:ascii="Arial" w:hAnsi="Arial" w:eastAsia="SimSun" w:cs="Arial"/>
          <w:i w:val="0"/>
          <w:iCs w:val="0"/>
          <w:caps w:val="0"/>
          <w:color w:val="2F2F2F"/>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 </w:t>
      </w:r>
      <w:r>
        <w:rPr>
          <w:rFonts w:hint="default" w:ascii="Arial" w:hAnsi="Arial" w:eastAsia="SimSun" w:cs="Arial"/>
          <w:i w:val="0"/>
          <w:iCs w:val="0"/>
          <w:caps w:val="0"/>
          <w:color w:val="2F2F2F"/>
          <w:spacing w:val="0"/>
          <w:kern w:val="0"/>
          <w:sz w:val="18"/>
          <w:szCs w:val="18"/>
          <w:shd w:val="clear" w:fill="FFFFFF"/>
          <w:lang w:val="en-US" w:eastAsia="zh-CN" w:bidi="ar"/>
        </w:rPr>
        <w:t>Para efectos derivados del presente Convenio, señala como su domicilio el ubicado en Boulevard Adolfo López Mateos 1968, piso 4, Colonia Los Alpes, Alcaldía Álvaro Obregón, Código Postal 01010, en la Ciudad de México.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DEL ESTADO" declara que: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40, 41 primer párrafo, 42, fracción I, y 43 y 116 de la Constitución Política de los Estados Unidos Mexicanos; así como el artículo 1 de la Constitución Política del Estado Libre y Soberano de Quintana Roo, es un Estado libre y soberano en todo lo concerniente a su régimen interior y forma parte integrante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18"/>
          <w:szCs w:val="18"/>
          <w:shd w:val="clear" w:fill="FFFFFF"/>
          <w:lang w:val="en-US" w:eastAsia="zh-CN" w:bidi="ar"/>
        </w:rPr>
        <w:t> Eugenio Segura Vázquez, por disposición de la Gobernadora Constitucional del Estado, María Elena Hermelinda Lezama Espinosa, fue designado el día 25 de septiembre de 2022, Secretario de Finanzas y Planeación del Poder Ejecutivo del Estado, por lo que cuenta con las atribuciones necesarias para participar, en el ámbito de su competencia, en la suscripción del presente instrumento jurídico, de conformidad con lo establecido por los artículos 90 fracción I y 116 de la Constitución Política del Estado Libre y Soberano de Quintana Roo; artículos 19 fracción III, 30 fracción VII, y 33 de la Ley Orgánica de la Administración Pública del Estado de Quintana Roo; y artículos 2, 5, 9 y 10, apartado A, fracción I y apartado B, fracciones IV y VI del Reglamento Interior de la Secretaría de Finanzas y Planeación del Estado de Quintana Roo, y 69 de la Ley General de Contabilidad Gubernamental.</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18"/>
          <w:szCs w:val="18"/>
          <w:shd w:val="clear" w:fill="FFFFFF"/>
          <w:lang w:val="en-US" w:eastAsia="zh-CN" w:bidi="ar"/>
        </w:rPr>
        <w:t> Que con fundamento a lo previsto en el artículo 38, fracciones I y III de la Ley Orgánica del Centro de Conciliación Laboral del Estado de Quintana Roo y los artículos 16 y 17, fracción II del Reglamento Interior del Centro de Conciliación Laboral del Estado de Quintana Roo, en este acto se encuentra representado por Guillermina Corona Trujillo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su carácter de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Directora General del Centro de Conciliación Laboral del Estado de Quintana Roo, quien se encuentra plenamente facultada para suscribir el presente convenio de coordinación, acreditando su personalidad con nombramiento de fecha 01 de octubre de 2022, expedido por María Elena Hermelinda Lezama Espinosa, Gobernadora Constitucional del Estado de Quintana Roo.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18"/>
          <w:szCs w:val="18"/>
          <w:shd w:val="clear" w:fill="FFFFFF"/>
          <w:lang w:val="en-US" w:eastAsia="zh-CN" w:bidi="ar"/>
        </w:rPr>
        <w:t> 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18"/>
          <w:szCs w:val="18"/>
          <w:shd w:val="clear" w:fill="FFFFFF"/>
          <w:lang w:val="en-US" w:eastAsia="zh-CN" w:bidi="ar"/>
        </w:rPr>
        <w:t> Para los efectos del presente instrumento, tiene como domicilio legal el ubicado en la Avenida 5 de mayo Número 19, Colonia Plutarco Elías Calles, Municipio de Othón P. Blanco, Chetumal, Quintana Roo, Código Postal 77090.</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"LAS PARTES" declaran que:</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 </w:t>
      </w:r>
      <w:r>
        <w:rPr>
          <w:rFonts w:hint="default" w:ascii="Arial" w:hAnsi="Arial" w:eastAsia="SimSun" w:cs="Arial"/>
          <w:i w:val="0"/>
          <w:iCs w:val="0"/>
          <w:caps w:val="0"/>
          <w:color w:val="2F2F2F"/>
          <w:spacing w:val="0"/>
          <w:kern w:val="0"/>
          <w:sz w:val="18"/>
          <w:szCs w:val="18"/>
          <w:shd w:val="clear" w:fill="FFFFFF"/>
          <w:lang w:val="en-US" w:eastAsia="zh-CN" w:bidi="ar"/>
        </w:rPr>
        <w:t>Reconocen en forma recíproca la personalidad con la que se ostentan y comparecen a la suscripción de este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 </w:t>
      </w:r>
      <w:r>
        <w:rPr>
          <w:rFonts w:hint="default" w:ascii="Arial" w:hAnsi="Arial" w:eastAsia="SimSun" w:cs="Arial"/>
          <w:i w:val="0"/>
          <w:iCs w:val="0"/>
          <w:caps w:val="0"/>
          <w:color w:val="2F2F2F"/>
          <w:spacing w:val="0"/>
          <w:kern w:val="0"/>
          <w:sz w:val="18"/>
          <w:szCs w:val="18"/>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 </w:t>
      </w:r>
      <w:r>
        <w:rPr>
          <w:rFonts w:hint="default" w:ascii="Arial" w:hAnsi="Arial" w:eastAsia="SimSun" w:cs="Arial"/>
          <w:i w:val="0"/>
          <w:iCs w:val="0"/>
          <w:caps w:val="0"/>
          <w:color w:val="2F2F2F"/>
          <w:spacing w:val="0"/>
          <w:kern w:val="0"/>
          <w:sz w:val="18"/>
          <w:szCs w:val="18"/>
          <w:shd w:val="clear" w:fill="FFFFFF"/>
          <w:lang w:val="en-US" w:eastAsia="zh-CN" w:bidi="ar"/>
        </w:rPr>
        <w:t>Están convencidas de la importancia de instrumentar, con prioridad, los mecanismos necesarios para la creación y fortalecimiento de los Centros de Conciliación de la Entidad Federativa, a fin de otorgar el servicio público de conciliación laboral, tal y como lo refiere el artículo 123, apartado A, fracción XX de la Constitución Federal.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III.4. </w:t>
      </w:r>
      <w:r>
        <w:rPr>
          <w:rFonts w:hint="default" w:ascii="Arial" w:hAnsi="Arial" w:eastAsia="SimSun" w:cs="Arial"/>
          <w:i w:val="0"/>
          <w:iCs w:val="0"/>
          <w:caps w:val="0"/>
          <w:color w:val="2F2F2F"/>
          <w:spacing w:val="0"/>
          <w:kern w:val="0"/>
          <w:sz w:val="18"/>
          <w:szCs w:val="18"/>
          <w:shd w:val="clear" w:fill="FFFFFF"/>
          <w:lang w:val="en-US" w:eastAsia="zh-CN" w:bidi="ar"/>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III.5. </w:t>
      </w:r>
      <w:r>
        <w:rPr>
          <w:rFonts w:hint="default" w:ascii="Arial" w:hAnsi="Arial" w:eastAsia="SimSun" w:cs="Arial"/>
          <w:i w:val="0"/>
          <w:iCs w:val="0"/>
          <w:caps w:val="0"/>
          <w:color w:val="2F2F2F"/>
          <w:spacing w:val="0"/>
          <w:kern w:val="0"/>
          <w:sz w:val="18"/>
          <w:szCs w:val="18"/>
          <w:shd w:val="clear" w:fill="FFFFFF"/>
          <w:lang w:val="en-US" w:eastAsia="zh-CN" w:bidi="ar"/>
        </w:rPr>
        <w:t>Se obligan al cumplimiento de los preceptos establecidos en los Lineamientos y las leyes aplicables en la materia.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 lo anterior, "LAS PARTES" sujetan su compromiso a la forma y términos que se establecen en las siguientes:</w:t>
      </w:r>
    </w:p>
    <w:p>
      <w:pPr>
        <w:keepNext w:val="0"/>
        <w:keepLines w:val="0"/>
        <w:widowControl/>
        <w:suppressLineNumbers w:val="0"/>
        <w:shd w:val="clear" w:fill="FFFFFF"/>
        <w:spacing w:before="101"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Convenio de Coordinación tiene por objeto el otorgamiento de los recursos autorizados al Estado de Quintana Roo para la creación, fortalecimiento y/o mejora, a través de la creación de los Centros de Conciliación Locales, especializados e imparciales; con personalidad jurídica y patrimonio propios, autonomía técnica, operativa, presupuestaria, de decisión y de gestión para la resolución de los conflictos entre trabajadores y patrones.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ASIGNACIÓN DE LOS RECURSOS. Para el cumplimiento del objeto señalado en la cláusula anterior, "LA SECRETARÍA" asignará la cantidad de $1,310,186.83 (un millón trecientos diez mil ciento ochenta y seis pesos 83/100 M.N.) correspondiente al recurso autorizado por el Comité de Evaluación de Proyectos, los cuales serán destinados para la creación, fortalecimiento y/o mejora de los Centros de Conciliación Locales.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ejecución del Proyecto y el ejercicio de los recursos serán responsabilidad del Centro de Conciliación Laboral.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federales se radicarán a "EL GOBIERNO DEL ESTADO", a través de su Secretaría de Finanzas y Planeación,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1"/>
        <w:gridCol w:w="6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Azteca, S.A., Institución de Banca Múltiple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0154801599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127180001548015993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GEL741008GY9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22 de Enero, Numero 1, Colonia Centro, Municipio Othón P. Blanco, Chetumal, Quintana Roo, CP 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5"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el fortalecimiento de Centros de Conciliación del Estado de Quintana Roo"</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conforme a lo que dispone el numeral Tercero de los Lineamientos, el Centro de Conciliación, será beneficiarios de los recursos otorgados. Por lo anterior, la Secretaría de Finanzas y Planeación del Poder Ejecutivo del Estado de Quintana Roo, se compromete a transferir en un plazo no mayor a diez días hábiles contados a partir de la ministración del recurso por parte de "LA SECRETARÍA", al Centro de Conciliación, a la del estado la cantidad requerida, en la cuenta aperturada conforme a lo que establece el numeral Vigésimo segundo, inciso b, y que se identifica con los siguientes datos: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Proyecto del Centro de Conciliación Laboral:</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81"/>
        <w:gridCol w:w="6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9142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 Institución de Banca Múltiple, Grupo Financiero Banorte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1236244042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072690012362440420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CCL210623EPA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 5 de Mayo, número 19, Col. Plutarco Elías Calles, Municipio Othón P. Blanco, Chetumal, Quintana Roo, CP. 77090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7"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el fortalecimiento de Centros de Conciliación del Estado de Quintana Roo"</w:t>
            </w:r>
          </w:p>
        </w:tc>
      </w:tr>
    </w:tbl>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un requisito indispensable que "EL GOBIERNO DEL ESTADO" remita, a través de su Secretaría de Finanzas y Planeación, a "LA SECRETARÍA" la solicitud de transferencia de recursos con los requisitos señalados en el numeral Vigésimo quinto,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y Planeación, cumplir con los requisitos establecidos en el artículo 29-A del Código Fiscal de la Federación y enviarlo a "LA SECRETARÍA" vía correo electrónico a la dirección reforma.laboral@stps.gob.mx, así como adjuntarlo en la Plataforma.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COMPROMISOS DE "LA SECRETARÍA". "LA SECRETARÍA", a través de la UERSJL, se obliga 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COMPROMISOS DE "EL GOBIERNO DEL ESTADO". "EL GOBIERNO DEL ESTADO" se compromete 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por conducto del Centro de Conciliación Laboral del Estado, los recursos asignados vía subsidio exclusivamente para los fines previstos en las CLÁUSULAS PRIMERA y SEGUNDA.</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Ejercer el recurso federal de conformidad con lo establecido en el Proyecto presentado, a más tardar el 30 de noviembre de 2023.</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Planeación y soportado con la documentación inherente al Proyecto que corresponda (creación, fortalecimiento y/o mejora de Centros de Conciliación Locales).</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de cuenta bancarios del periodo reportado.</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76"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reportes también deberán hacer mención del avance del Proyecto con su debido soporte documental</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y observar en todo momento las disposiciones de la LFPRH, el RLFPRH, el Presupuesto de Egresos de la Federación 2023, y demás legislación aplicable a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ENLACES. Las o los servidores públicos que fungirán como enlaces entre "LAS PARTES" serán, por "EL GOBIERNO DEL ESTADO" el designado por la Directora General del Centro de Conciliación Laboral y por "LA SECRETARÍA" la persona designada por la UERSJL.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seguimiento y evaluación, "LAS PARTES" acuerdan que las y/o los responsables 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 anterior deberá atender lo dispuesto en el numeral Trigésimo octavo, inciso f,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en el párrafo anterior, "EL GOBIERNO DEL ESTADO" deberá solicitar por escrito signado por la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 </w:t>
      </w:r>
      <w:r>
        <w:rPr>
          <w:rFonts w:hint="default" w:ascii="Arial" w:hAnsi="Arial" w:eastAsia="SimSun" w:cs="Arial"/>
          <w:i w:val="0"/>
          <w:iCs w:val="0"/>
          <w:caps w:val="0"/>
          <w:color w:val="2F2F2F"/>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La adición o eliminación de algún rubro en los Proyectos; y</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La modificación de los montos destinados a cada rubro de los diferentes Proyectos.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deberán contemplar los objetivos establecidos en la Solicitud de acceso al subsidio.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acabo cualquier tipo de tratamiento sobre los mismo.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nueve días del mes de octubre de dos mil veintitrés.- 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Por el Gobierno del Estado: Directora General del Centro de Conciliación Laboral del Estado de Quintana Roo y Responsable del Proyecto, </w:t>
      </w:r>
      <w:r>
        <w:rPr>
          <w:rFonts w:hint="default" w:ascii="Arial" w:hAnsi="Arial" w:eastAsia="SimSun" w:cs="Arial"/>
          <w:b/>
          <w:bCs/>
          <w:i w:val="0"/>
          <w:iCs w:val="0"/>
          <w:caps w:val="0"/>
          <w:color w:val="2F2F2F"/>
          <w:spacing w:val="0"/>
          <w:kern w:val="0"/>
          <w:sz w:val="18"/>
          <w:szCs w:val="18"/>
          <w:shd w:val="clear" w:fill="FFFFFF"/>
          <w:lang w:val="en-US" w:eastAsia="zh-CN" w:bidi="ar"/>
        </w:rPr>
        <w:t>Guillermina Corona Trujillo</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y Planeación del Estado de Quintana Roo, </w:t>
      </w:r>
      <w:r>
        <w:rPr>
          <w:rFonts w:hint="default" w:ascii="Arial" w:hAnsi="Arial" w:eastAsia="SimSun" w:cs="Arial"/>
          <w:b/>
          <w:bCs/>
          <w:i w:val="0"/>
          <w:iCs w:val="0"/>
          <w:caps w:val="0"/>
          <w:color w:val="2F2F2F"/>
          <w:spacing w:val="0"/>
          <w:kern w:val="0"/>
          <w:sz w:val="18"/>
          <w:szCs w:val="18"/>
          <w:shd w:val="clear" w:fill="FFFFFF"/>
          <w:lang w:val="en-US" w:eastAsia="zh-CN" w:bidi="ar"/>
        </w:rPr>
        <w:t>Eugenio Segura Vázquez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840F7"/>
    <w:rsid w:val="7548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2023-10-25T14:32:00Z</dcterms:created>
  <dc:creator>Idcw1</dc:creator>
  <cp:lastModifiedBy>Idcw1</cp:lastModifiedBy>
  <dcterms:modified xsi:type="dcterms:W3CDTF">2023-10-25T14:35:14Z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A348738739C041A0ADBDB19416E01D92_11</vt:lpwstr>
  </property>
</Properties>
</file>