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el diverso por el que se establecen medidas administrativas en la Secretaría de Economía, con motivo de la emergencia sanitaria generada por el coronavirus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establecido en los artículos 4o. de la Constitución Política de los Estados Unidos Mexicanos; 140 de la Ley General de Salud; 26 y 34 fracción XXXIII de la Ley Orgánica de la Administración Pública Federal; 4 y 31 de la Ley Federal de Procedimiento Administrativo;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derecho a la salud constituye uno de los derechos humanos fundamentales y conforme al artículo 4o. de la Constitución Política de los Estados Unidos Mexicanos, toda persona tiene derecho a la protección de la salud.</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 certeza jurídica sobre la continuidad de los trámites seguidos ante la Secretaría de Economía.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23 de marzo de 2020 se publicó en el Diario Oficial de la Federación (DOF)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26 de marzo de 2020 se publicó en el DOF el Acuerdo por el que se suspenden términos en la Secretaría de Economía y se establecen medidas administrativas para contener la propagación del coronavirus COVID-19, mismo que fue modificado mediante diversos publicados en el mismo órgano de difusión oficial el 1 y 30 de abril, 29 de mayo y 15 de junio, todos del 2020, respectivamente.</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14 de mayo de 2020, la Secretaría de Salud publicó en el DOF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modificado mediante diverso publicado en el mismo órgano informativo el 15 de mayo de 2020, por medio del cual se establecieron tres etapas para la reapertura de actividades de una manera gradual, ordenada y cauta, cuya última etapa inició el 1 de junio de 2020, conforme al sistema de semáforo por regiones para la reapertura de actividades sociales, educativas y económicas.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anterior, y en aras de seguir mitigando la propagación de la enfermedad por el virus SARS-CoV2 (COVID-19) y con ello salvaguardar la integridad, seguridad física, así como proteger al público usuario y dar cumplimiento a las disposiciones antes señaladas, el 29 de junio de 2020 se publicó en el DOF el Acuerdo por el que se establecen medidas administrativas en la Secretaría de Economía, con motivo de la emergencia sanitaria generada por el coronavirus COVID-19, mismo que fue modificado mediante diversos publicados en el mismo órgano de difusión oficial el 20 de julio, el 6 de noviembre y el 24 de diciembre de 2020.</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citado en el Considerando anterior, dispone que corresponde a las unidades administrativas de la Secretaría de Economía establecer mecanismos de trabajo que les permitan continuar cumpliendo con sus funciones, tomando en cuenta las medidas preventivas que haya emitido o emita la Secretaría de Salud y demás autoridades competentes.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tomando en consideración que las causas que dieron origen a la emisión del multicitado Acuerdo aún permanecen vigentes, es necesario que esta Secretaría continúe implementando las medidas que en el mismo se contemplan, por lo que se expide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EL DIVERSO POR EL QUE SE ESTABLECEN MEDIDAS ADMINISTRATIVAS</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EN LA SECRETARÍA DE ECONOMÍA, CON MOTIVO DE LA EMERGENCIA SANITARIA GENERADA</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POR EL CORONAVIRUS COVID-19</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deroga</w:t>
      </w:r>
      <w:r w:rsidDel="00000000" w:rsidR="00000000" w:rsidRPr="00000000">
        <w:rPr>
          <w:color w:val="2f2f2f"/>
          <w:sz w:val="18"/>
          <w:szCs w:val="18"/>
          <w:rtl w:val="0"/>
        </w:rPr>
        <w:t xml:space="preserve"> la fracción XVI del inciso a) y 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los incisos d) y h) del numeral Noveno del Acuerdo por el que se establecen medidas administrativas en la Secretaría de Economía, con motivo de la emergencia sanitaria generada por el coronavirus COVID-19, publicado en el Diario Oficial de la Federación el 29 de junio de 2020 y sus posteriores modificaciones, para quedar como sigue: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Para efectos de los trámites seguidos ante la Dirección General de Minas, se estará a lo siguiente:</w:t>
      </w:r>
    </w:p>
    <w:p w:rsidR="00000000" w:rsidDel="00000000" w:rsidP="00000000" w:rsidRDefault="00000000" w:rsidRPr="00000000" w14:paraId="0000001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6">
      <w:pPr>
        <w:shd w:fill="ffffff" w:val="clear"/>
        <w:spacing w:after="100" w:lineRule="auto"/>
        <w:ind w:left="1800" w:hanging="54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7">
      <w:pPr>
        <w:shd w:fill="ffffff" w:val="clear"/>
        <w:spacing w:after="100" w:lineRule="auto"/>
        <w:ind w:left="1800" w:hanging="54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deroga.</w:t>
      </w:r>
    </w:p>
    <w:p w:rsidR="00000000" w:rsidDel="00000000" w:rsidP="00000000" w:rsidRDefault="00000000" w:rsidRPr="00000000" w14:paraId="00000018">
      <w:pPr>
        <w:shd w:fill="ffffff" w:val="clear"/>
        <w:spacing w:after="100" w:lineRule="auto"/>
        <w:ind w:left="1800" w:hanging="540"/>
        <w:jc w:val="both"/>
        <w:rPr>
          <w:b w:val="1"/>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XXVII. ...</w:t>
      </w:r>
    </w:p>
    <w:p w:rsidR="00000000" w:rsidDel="00000000" w:rsidP="00000000" w:rsidRDefault="00000000" w:rsidRPr="00000000" w14:paraId="0000001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c) ...</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la normatividad aplicable, las notificaciones electrónicas que realice la Dirección General de Minas, se podrán efectuar a través de los correos electrónicos de los servidores públicos adscritos a ésta, o mediante el correo electrónico </w:t>
      </w:r>
      <w:r w:rsidDel="00000000" w:rsidR="00000000" w:rsidRPr="00000000">
        <w:rPr>
          <w:b w:val="1"/>
          <w:color w:val="2f2f2f"/>
          <w:sz w:val="18"/>
          <w:szCs w:val="18"/>
          <w:rtl w:val="0"/>
        </w:rPr>
        <w:t xml:space="preserve">notificaciones.dgm@economia.gob.mx</w:t>
      </w:r>
      <w:r w:rsidDel="00000000" w:rsidR="00000000" w:rsidRPr="00000000">
        <w:rPr>
          <w:color w:val="2f2f2f"/>
          <w:sz w:val="18"/>
          <w:szCs w:val="18"/>
          <w:rtl w:val="0"/>
        </w:rPr>
        <w:t xml:space="preserve">, a los correos electrónicos señalados para tal efecto y deberán ser acusadas de recibido;</w:t>
      </w:r>
    </w:p>
    <w:p w:rsidR="00000000" w:rsidDel="00000000" w:rsidP="00000000" w:rsidRDefault="00000000" w:rsidRPr="00000000" w14:paraId="0000001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Informe para comprobar la ejecución de las obras y trabajos de exploración o de explotación, deberá presentarse a través de la Plataforma Electrónica de Administración Minera, disponible en la página de internet de la Secretaría de Economía, </w:t>
      </w:r>
      <w:r w:rsidDel="00000000" w:rsidR="00000000" w:rsidRPr="00000000">
        <w:rPr>
          <w:b w:val="1"/>
          <w:color w:val="2f2f2f"/>
          <w:sz w:val="18"/>
          <w:szCs w:val="18"/>
          <w:rtl w:val="0"/>
        </w:rPr>
        <w:t xml:space="preserve">https://peam.economia.gob.mx</w:t>
      </w:r>
      <w:r w:rsidDel="00000000" w:rsidR="00000000" w:rsidRPr="00000000">
        <w:rPr>
          <w:color w:val="2f2f2f"/>
          <w:sz w:val="18"/>
          <w:szCs w:val="18"/>
          <w:rtl w:val="0"/>
        </w:rPr>
        <w:t xml:space="preserve">, mediante la cual, previo registro por el titular de la concesión; por quién lleve a cabo obras y trabajos de exploración o de explotación mediante contrato debidamente inscrito en el Registro Público de Minería, o por su representante legal, se capturará la información. De conformidad con lo señalado en el artículo 31 de la Ley Federal de Procedimiento Administrativo, se amplía al 15 de junio de 2021, el plazo para rendir dicho Informe, respecto del año 2020, cuya presentación, según lo estipula el artículo 28 de la Ley Minera, se debe realizar en el mes de mayo de cada año.</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informes a los que se hace referencia en el párrafo anterior, respecto de años anteriores a 2020, se deberán enviar al correo electrónico precisado en el inciso a) del presente numeral. En este supuesto se estará a lo establecido en el artículo 57, fracción XI de la Ley Minera.</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Informe técnico sobre las obras y trabajos de exploración, y el Informe estadístico sobre la producción, beneficio y destino de minerales o sustancias concesibles, relativos al periodo 2020, que se debieron presentar ante la Secretaría durante los primeros 45 días hábiles de 2021, se continuarán recibiendo a través de la Plataforma Electrónica de Administración Minera, señalada en el primer párrafo del presente inciso, y los correspondientes a años anteriores al 2020 se podrán presentar a través del correo electrónico señalado en el inciso a) del presente numeral. En ambos casos, se estará a lo dispuesto por el artículo 57, fracción XII de la Ley Minera.</w:t>
      </w:r>
    </w:p>
    <w:p w:rsidR="00000000" w:rsidDel="00000000" w:rsidP="00000000" w:rsidRDefault="00000000" w:rsidRPr="00000000" w14:paraId="0000001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28 de abril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w:t>
      </w:r>
    </w:p>
    <w:p w:rsidR="00000000" w:rsidDel="00000000" w:rsidP="00000000" w:rsidRDefault="00000000" w:rsidRPr="00000000" w14:paraId="00000022">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