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pacing w:before="120" w:beforeAutospacing="0" w:after="0" w:afterAutospacing="0"/>
        <w:ind w:left="0" w:firstLine="0"/>
        <w:jc w:val="center"/>
        <w:rPr>
          <w:rFonts w:hint="default" w:ascii="Verdana Regular" w:hAnsi="Verdana Regular" w:eastAsia="Times-Roman" w:cs="Verdana Regular"/>
          <w:b/>
          <w:bCs/>
          <w:color w:val="5B9BD5" w:themeColor="accent1"/>
          <w:sz w:val="21"/>
          <w:szCs w:val="21"/>
          <w14:textFill>
            <w14:solidFill>
              <w14:schemeClr w14:val="accent1"/>
            </w14:solidFill>
          </w14:textFill>
        </w:rPr>
      </w:pPr>
      <w:bookmarkStart w:id="1" w:name="_GoBack"/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cuerdo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 por el que se dan a conocer los porcentajes, los montos del estímulo fiscal y las cuotas disminuidas del impuesto especial sobre producción y servicios, así como las cantidades por litro aplicables a los combustibles que se indican, correspondientes al periodo que se especifica</w:t>
      </w:r>
      <w:bookmarkEnd w:id="1"/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(DOF 17 de marzo de 2023)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pacing w:after="101" w:afterAutospacing="0"/>
        <w:ind w:left="0" w:firstLine="0"/>
        <w:jc w:val="both"/>
        <w:rPr>
          <w:rFonts w:hint="default" w:ascii="Verdana Regular" w:hAnsi="Verdana Regular" w:cs="Verdana Regular"/>
          <w:sz w:val="20"/>
          <w:szCs w:val="20"/>
        </w:rPr>
      </w:pP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HACIENDA.- Secretaría de</w:t>
      </w: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 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38/2023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bookmarkStart w:id="0" w:name="_Hlk97209637"/>
      <w:bookmarkEnd w:id="0"/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por el que se dan a conocer los porcentajes, los montos del estímulo fiscal y las cuotas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disminuidas del impuesto especial sobre producción y servicios, así como las cantidades por litro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aplicables a los combustibles que se indican, correspondientes al periodo que se especifica.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18 al 24 de marzo de 2023, mediante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Primero.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porcentajes del estímulo fiscal para el periodo comprendido del 18 al 24 de marzo de 2023, aplicables a los combustibles automotrices son los siguientes: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2"/>
        <w:gridCol w:w="4198"/>
      </w:tblGrid>
      <w:tr>
        <w:trPr>
          <w:trHeight w:val="344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Porcentaje de Estímulo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9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45.85%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7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18.08%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4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41.57%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Segundo.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montos del estímulo fiscal para el periodo comprendido del 18 al 24 de marzo de 2023, aplicables a los combustibles automotrices son los siguientes: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3"/>
        <w:gridCol w:w="4207"/>
      </w:tblGrid>
      <w:tr>
        <w:trPr>
          <w:trHeight w:val="689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 fiscal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(pesos/litro)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7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3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$0.9039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$2.7044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Tercero.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Las cuotas para el periodo comprendido del 18 al 24 de marzo de 2023, aplicables a los combustibles automotrices son las siguientes: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3"/>
        <w:gridCol w:w="4207"/>
      </w:tblGrid>
      <w:tr>
        <w:trPr>
          <w:trHeight w:val="352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Cuota (pesos/litro)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7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3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$4.0948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$3.8011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Cuarto.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 cantidades por litro de estímulos complementarios aplicables a los combustibles automotrices durante el periodo comprendido del 18 al 24 de marzo de 2023, son las siguientes: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>
        <w:tblPrEx>
          <w:shd w:val="clear"/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 Regular" w:hAnsi="Verdana Regular" w:cs="Verdana Regular"/>
                <w:sz w:val="20"/>
                <w:szCs w:val="20"/>
              </w:rPr>
            </w:pPr>
          </w:p>
        </w:tc>
      </w:tr>
    </w:tbl>
    <w:p>
      <w:pPr>
        <w:rPr>
          <w:rFonts w:hint="default" w:ascii="Verdana Regular" w:hAnsi="Verdana Regular" w:cs="Verdana Regular"/>
          <w:vanish/>
          <w:sz w:val="20"/>
          <w:szCs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7"/>
        <w:gridCol w:w="4193"/>
      </w:tblGrid>
      <w:tr>
        <w:trPr>
          <w:trHeight w:val="757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Cantidad por litro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(pesos)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1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1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6" w:hRule="atLeast"/>
        </w:trPr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ÚNICO.-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El presente Acuerdo entrará en vigor al día siguiente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 16 de marzo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Karina Ramírez Arras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Verdana Regular" w:hAnsi="Verdana Regular" w:cs="Verdana Regular"/>
          <w:sz w:val="20"/>
          <w:szCs w:val="20"/>
        </w:rPr>
      </w:pP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-Roman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7E68A"/>
    <w:rsid w:val="E7B7E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Office_4.4.1.7618_F1E327BC-269C-435d-A152-05C5408002CA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2023-03-17T08:17:00Z</dcterms:created>
  <dc:creator>Allan Morgan Hernández</dc:creator>
  <cp:lastModifiedBy>Allan Morgan Hernández</cp:lastModifiedBy>
  <dcterms:modified xsi:type="dcterms:W3CDTF">2023-03-17T08:18:32Z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3082-4.4.1.7618</vt:lpwstr>
  </property>
</Properties>
</file>