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Veracruz de Ignacio de la Llave</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agosto de 2020)</w:t>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LO SUCESIVO EL "INSABI", REPRESENTADO POR SU DIRECTOR GENERAL, MTRO. JUAN ANTONIO FERRER AGUILAR, Y POR OTRA PARTE, EL EJECUTIVO DEL ESTADO DE VERACRUZ DE IGNACIO DE LA LLAVE, AL QUE EN ADELANTE SE LE DENOMINARÁ "LA ENTIDAD", REPRESENTADO POR EL GOBERNADOR CONSTITUCIONAL DEL ESTADO, CUITLÁHUAC GARCÍA JIMÉNEZ, ASISTIDO POR EL SECRETARIO DE GOBIERNO, ING. ERIC PATROCINIO CISNEROS BURGOS; EL SECRETARIO DE SALUD Y DIRECTOR GENERAL DE SERVICIOS DE SALUD DE VERACRUZ, DR. ROBERTO RAMOS ALOR; EL SECRETARIO DE FINANZAS Y PLANEACIÓN, MTRO. JOSÉ LUIS LIMA FRANCO, Y LA CONTRALORA GENERAL DEL ESTADO, ING. MERCEDES SANTOYO DOMÍNGUEZ,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los artículos 9, 10 y 11 del Reglamento Interior de la Secretaría de Salud, en relación con el artículo 8, fracción XVI del referido ordenamiento reglamentario.</w:t>
      </w:r>
    </w:p>
    <w:p w:rsidR="00000000" w:rsidDel="00000000" w:rsidP="00000000" w:rsidRDefault="00000000" w:rsidRPr="00000000" w14:paraId="0000001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Veracruz de Ignacio de la Llave es parte integrante de la Federación Mexicana, libre y autónomo en su administración y gobierno interiores, de conformidad con los artículos 40, 42 fracción I y 43 de la Constitución Política de los Estados Unidos Mexicanos y 1 de la Constitución Política del Estado de Veracruz de Ignacio de la Llave.</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Cuitláhuac García Jiménez, Gobernador Constitucional del Estado de Veracruz de Ignacio de la Llave, se encuentra facultado para celebrar el presente instrumento, en términos de lo establecido por los artículos 42 y 49 fracción XVII de la Constitución Política del Estado de Veracruz de Ignacio de la Llave, 8 fracción XIV de la Ley Orgánica del Poder Ejecutivo del Estado de Veracruz de Ignacio de la Llave y 12 apartado B fracción VI de la Ley de Salud del Estado de Veracruz de Ignacio de la Llave.</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Ing. Eric Patrocinio Cisneros Burgos, acredita su personalidad en calidad de Secretario de Gobierno del Estado de Veracruz, mediante nombramiento de fecha uno de diciembre de dos mil dieciocho, expedido por Cuitláhuac García Jiménez, en su calidad de Gobernador Constitucional del Estado de Veracruz de Ignacio de la Llave, y tiene representación legal de la Secretaría de Gobierno de acuerdo con lo establecido en el artículo 12 fracción II de la Ley Orgánica del Poder Ejecutivo del Estado de Veracruz de Ignacio de la Llave, asimismo está facultado para celebrar el presente Acuerdo, conforme a los artículos 8 y 12 fracciones II y VII de la Ley Orgánica del Poder Ejecutivo del Estado de Veracruz de Ignacio de la Llave, así como lo señalado en el artículo 15 fracción XXXVI del Reglamento Interior de la Secretaría de Gobierno y en el Acuerdo Delegatorio publicado en Gaceta Oficial, Órgano del Gobierno del Estado de Veracruz de Ignacio de la Llave con fecha 12 de diciembre de 2018, bajo el número extraordinario 496, en el que se autoriza al Secretario de Gobierno a celebrar acuerdos y convenios en el ámbito de su competencia.</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Dr. Roberto Ramos Alor, en su carácter de Secretario de Salud y Director General de Servicios de Salud de Veracruz, goza de las facultades para firmar el presente Acuerdo, de conformidad con lo señalado en los artículos 50 párrafo cuarto de la Constitución Política del Estado de Veracruz de Ignacio de la Llave, 12 fracciones VI y VII de la Ley Orgánica del Poder Ejecutivo del Estado de Veracruz de Ignacio de la Llave, 7 fracción VIII del Reglamento Interior de la Secretaría de Salud;</w:t>
      </w:r>
    </w:p>
    <w:p w:rsidR="00000000" w:rsidDel="00000000" w:rsidP="00000000" w:rsidRDefault="00000000" w:rsidRPr="00000000" w14:paraId="0000001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14 fracción VI de la Ley número 54 que crea el Organismo Público Descentralizado Servicios de Salud de Veracruz y 18 fracción XXVI del Reglamento Interior de Servicios de Salud de Veracruz, así como en los nombramientos que le han sido expedidos de fechas 01 de diciembre de 2018 y 31 de diciembre de 2018 por el Gobernador Constitucional del Estado de Veracruz, Cuitláhuac García Jiménez, y por los acuerdos delegatorios publicados en la Gaceta Oficial, Órgano del Gobierno del Estado de Veracruz de Ignacio de la Llave con los números extraordinarios 488 y 496, de fechas 6 y 12 de diciembre de 2018, respectivamente.</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Mtro. José Luis Lima Franco, Secretario de Finanzas y Planeación del Estado de Veracruz de Ignacio de la Llave, personalidad que acredita con el nombramiento expedido por Cuitláhuac García Jiménez, en su calidad de Gobernador Constitucional del Estado de Veracruz de Ignacio de la Llave de fecha 01 de diciembre de 2018, cuenta con facultades suficientes para suscribir el presente Acuerdo, en términos de lo dispuesto por los artículos 50 párrafos primero y último de la Constitución Política del Estado de Veracruz de Ignacio de la Llave; 9 fracción III, 12 fracciones II, V y VII, 19 y 20 de la Ley Orgánica del Poder Ejecutivo del Estado de Veracruz de Ignacio de la Llave; 1 párrafo segundo fracción X, 14 fracciones XXX y XXXI del Reglamento Interior de la Secretaría de Finanzas y Planeación y Primero del Acuerdo por el que se autoriza al Titular de la Secretaría de Finanzas y Planeación, a celebrar Acuerdos y Convenios en el Ámbito de su competencia publicado en la Gaceta Oficial, Órgano del Gobierno del Estado de Veracruz de Ignacio de la Llave, número extraordinario 488 de fecha 06 de diciembre del 2018.</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Ing. Mercedes Santoyo Domínguez, en su carácter de Contralora General del Estado, goza de las facultades para firmar el presente Convenio, de conformidad con lo señalado en los artículos 50 párrafo cuarto de la Constitución Política del Estado de Veracruz de Ignacio de la Llave, 12 fracción VII de la Ley Orgánica del Poder Ejecutivo del Estado de Veracruz de Ignacio de la Llave y 15 fracción XIV del Reglamento Interior de la Contraloría General del Estado de Veracruz de Ignacio de la Llave; así como el nombramiento que le ha sido expedido de fecha 13 de septiembre de 2019 por el Gobernador Constitucional del Estado de Veracruz, Cuitláhuac García Jiménez, el acuerdo por el que se autoriza al titular de la Contraloría General del Estado a celebrar acuerdos y convenios en el ámbito de su competencia, publicado la Gaceta Oficial, Órgano del Gobierno del Estado de Veracruz de Ignacio de la Llave, en el número extraordinario 490 de fecha 07 de diciembre de 2018.</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III.7.</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legal, el ubicado en Av. Enríquez sin número esquina Leandro Valle, Col. Centro, C.P. 91000, en la Ciudad de Xalapa-Enríquez, Veracruz de Ignacio de la Llave.</w:t>
      </w:r>
    </w:p>
    <w:p w:rsidR="00000000" w:rsidDel="00000000" w:rsidP="00000000" w:rsidRDefault="00000000" w:rsidRPr="00000000" w14:paraId="0000002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Ley General de Salud (LGS) y en el Título Primero Capítulo Único, artículo 1 de la Ley de Salud del Estado de Veracruz de Ignacio de la Llave; en el Estado de Veracruz de Ignacio de la Llave.</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conforme a la normatividad jurídica del Estado,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Veracruz de Ignacio de la Llave, correspondientes al primer y segundo nivel de atención, a los que en lo sucesivo se denominarán "LOS SERVICIOS TRANSFERIDOS", mientras que, (ii) "LA ENTIDAD", a través de la Secretaría de Salud y de Servicios de Salud de Veracruz, tendrá dicha responsabilidad respecto de la prestación gratuita de servicios de salud, medicamentos y demás insumos asociados para las personas sin seguridad social, que correspondan a servicios especializados que, en su caso, la misma brinde en unidades médicas que no correspondan al primer y segundo nivel de atención, a los que en lo sucesivo se denominarán "LOS SERVICIOS NO TRANSFERIDOS".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TRANSFERENCIA DE RECURSOS PARA LA PRESTACIÓN DE "LOS SERVICIOS TRANSFERIDOS". Con la finalidad de que el "INSABI" esté en posibilidad de organizar, operar y supervisar la prestación de "LOS SERVICIOS TRANSFERIDOS", "LA ENTIDAD" previo cumplimiento de las disposiciones jurídicas aplicables se obliga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"LA ENTIDAD", por conducto de la Secretaría de Salud y de Servicios de Salud de Veracruz según corresponda, previo cumplimiento de las disposiciones jurídicas aplicables, entregará al "INSABI", la posesión en calidad de comodato de los establecimientos para la atención médica que correspondan al primer y segundo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o mediante el instrumento jurídico que para tal efecto acuerden "LAS PARTES" en el citado Anexo 1,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"LAS PARTES" están conformes en que, previo cumplimiento de las disposiciones jurídicas aplicables, el "INSABI" asuma la dirección, uso y goce de manera gratuita de "LOS INMUEBLES", a partir de la fecha de formalización de "EL ACTA DE ENTREGA RECEPCIÓN" o mediante el instrumento jurídico que para tal efecto acuerden "LAS PARTES" en el citado Anexo 1 y, en su caso, de sus Adendas. Para efectos de lo anterior, "LOS INMUEBLES" deberán cumplir con los criterios siguientes:</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de Veracruz. Para efecto de acreditar lo anterior, "LA ENTIDAD" se obliga a proporcionar al "INSABI", previo a la suscripción de "EL ACTA DE ENTREGA RECEPCIÓN" o mediante el instrumento jurídico que para tal efecto acuerden "LAS PARTES" en el citado Anexo 1,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o del instrumento jurídico que para tal efecto acuerden "LAS PARTES" en el Anexo 1,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compromete a realizar las gestiones necesarias para contar previamente con la autorización del H. Congreso del Estado, a fin de conceder el uso y disfrute de los bienes de propiedad estatal, de conformidad en lo establecido en el artículo 33 fracción XXXII de la Constitución Política del Estado de Veracruz de Ignacio de la Llave.</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w:t>
      </w:r>
    </w:p>
    <w:p w:rsidR="00000000" w:rsidDel="00000000" w:rsidP="00000000" w:rsidRDefault="00000000" w:rsidRPr="00000000" w14:paraId="0000002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prestación de "LOS SERVICIOS TRANSFERIDOS".</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antes señalado, "LAS PARTES" están conformes en que a partir de la fecha de suscripción de "EL ACTA DE ENTREGA RECEPCIÓN" o del instrumento jurídico que para tal efecto acuerden "LAS PARTES" en el Anexo 1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33">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4">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5">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todo lo antes señalado en este apartado A,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momento de formalizarse "EL ACTA DE ENTREGA RECEPCIÓN" y, en su caso, del instrumento jurídico que para tal efecto acuerden "LAS PARTES" en el Anexo 1 considerando las disposiciones jurídicas aplicables para "LA ENTIDAD", "LA ENTIDAD" esta última transferirá la posesión en calidad de comodato al "INSABI", libre de todo gravamen, del mobiliario, equipo de oficina, infraestructura informática, vehículos y demás bienes inventariables que sean de su propiedad y en carácter de donación, los bienes de consumo, que resulten necesarios para la prestación de "LOS SERVICIOS TRANSFERIDOS". El inventario detallado de los referidos recursos, debidamente suscrito por quienes intervengan en su elaboración y validación, formará parte integral de "EL ACTA DE ENTREGA RECEPCIÓN" o del instrumento jurídico que para tal efecto acuerden "LAS PARTES" en el Anexo 1.</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"EL INSABI" se obliga a hacerse responsable de los adeudos relacionados con los referidos recursos, que a la fecha de formalización de "EL ACTA DE ENTREGA RECEPCIÓN" y, en su caso, del instrumento jurídico que deba celebrarse conforme a las disposiciones locales y que se haya acordado en el Anexo 1 por "LAS PARTES", que se encuentren vencidos y pendientes de cumplir, con los recursos transferidos por "LA ENTIDAD".</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presente apartado, "EL INSABI" una vez en posesión en vía de comodato de los bienes que se reciban con tal carácter, asumirá la responsabilidad de los mismos, en cuanto a su conservación y mantenimiento, a fin que de requerirlo "LA ENTIDAD" puedan ser restituidos en las condiciones en que fueron transferidos, considerando el desgaste por el uso normal de los mismos.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a partir de la fecha de formalización de "EL ACTA DE ENTREGA RECEPCIÓN" o del instrumento jurídico que para tal efecto acuerden "LAS PARTES" en el Anexo 1, el "INSABI" se hará cargo de la administración del personal que por escrito determinen de común acuerdo, cuyo detalle constituirá el Anexo 3 del presente instrumento jurídico. Sin perjuicio de lo</w:t>
      </w:r>
    </w:p>
    <w:p w:rsidR="00000000" w:rsidDel="00000000" w:rsidP="00000000" w:rsidRDefault="00000000" w:rsidRPr="00000000" w14:paraId="0000003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establecido en las disposiciones jurídicas aplicables, dicha administración de personal se procurará sujetar a los criterios siguientes:</w:t>
      </w:r>
    </w:p>
    <w:p w:rsidR="00000000" w:rsidDel="00000000" w:rsidP="00000000" w:rsidRDefault="00000000" w:rsidRPr="00000000" w14:paraId="000000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y de Seguridad Social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4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4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4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salarios, aportaciones de seguridad social y las respectivas prestaciones que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previos al inicio de la vigencia del presente Acuerdo de Coordinación, aun en los supuestos de que el emplazamiento respectivo o la resolución definitiva que, en su caso, se emita, se efectúen con posterioridad a la fecha de su celebración, de conformidad con el Anexo que se suscriba para tal fin.</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3.</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o del instrumento jurídico que para tal efecto acuerden "LAS PARTES" en el Anexo 1, se sujetarán a lo siguiente:</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9">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A">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por única vez, el importe correspondiente para el ejercicio fiscal 2020, será equivalente al transferido a "LA ENTIDAD" durante el ejercicio fiscal 2019 y específicamente para dicho ejercicio, para la</w:t>
      </w:r>
    </w:p>
    <w:p w:rsidR="00000000" w:rsidDel="00000000" w:rsidP="00000000" w:rsidRDefault="00000000" w:rsidRPr="00000000" w14:paraId="0000004B">
      <w:pPr>
        <w:shd w:fill="ffffff" w:val="clear"/>
        <w:spacing w:after="100" w:lineRule="auto"/>
        <w:ind w:left="1520" w:firstLine="0"/>
        <w:jc w:val="both"/>
        <w:rPr>
          <w:color w:val="2f2f2f"/>
          <w:sz w:val="18"/>
          <w:szCs w:val="18"/>
        </w:rPr>
      </w:pPr>
      <w:r w:rsidDel="00000000" w:rsidR="00000000" w:rsidRPr="00000000">
        <w:rPr>
          <w:color w:val="2f2f2f"/>
          <w:sz w:val="18"/>
          <w:szCs w:val="18"/>
          <w:rtl w:val="0"/>
        </w:rPr>
        <w:t xml:space="preserve">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C">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D">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del "INSABI" la totalidad de los recursos presupuestarios federales para la prestación de los servicios en su circunscripción territorial.</w:t>
      </w:r>
    </w:p>
    <w:p w:rsidR="00000000" w:rsidDel="00000000" w:rsidP="00000000" w:rsidRDefault="00000000" w:rsidRPr="00000000" w14:paraId="0000004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5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5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3">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4">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están conformes en que cuando menos el 70% de dicha aportación</w:t>
      </w:r>
    </w:p>
    <w:p w:rsidR="00000000" w:rsidDel="00000000" w:rsidP="00000000" w:rsidRDefault="00000000" w:rsidRPr="00000000" w14:paraId="0000005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Secretaría de Finanzas y Planeación,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previa autorización del Congreso del Estado de Veracruz de Ignacio de la Llave, en cumplimiento a lo establecido en el artículo 9 de la Ley de Coordinación Fiscal y en su caso, las disposiciones jurídicas aplicables.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presupuestarios estatales que la "ENTIDAD" transfiera al "INSABI" para la prestación de "LOS SERVICIOS TRANSFERIDOS", así como los rendimientos financieros que éstos generen, no podrán ser destinados a fines distintos a los expresamente previstos en la normativa aplicable y al presente Acuerdo de Coordinación.</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PRESTACIÓN DE "LOS SERVICIOS NO TRANSFERIDOS". "LAS PARTES" acuerdan que la prestación de "LOS SERVICIOS NO TRANSFERIDOS", cuya organización, operación y supervisión queda a cargo de "LA ENTIDAD", previo cumplimiento de las disposiciones jurídicas aplicables, a través de la Secretaría de Salud y de Servicios de Salud de Veracruz, 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de Servicios de Salud de Veracruz, a que la prestación de "LOS SERVICIOS NO TRANSFERIDOS" se sujetará orgánica y funcionalmente a los criterios siguientes:</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w:t>
      </w:r>
    </w:p>
    <w:p w:rsidR="00000000" w:rsidDel="00000000" w:rsidP="00000000" w:rsidRDefault="00000000" w:rsidRPr="00000000" w14:paraId="00000063">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denominará el "Modelo de Atención", mismo que se agrega al presente Acuerdo de Coordinación como Anexo 5.</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Servicios de Salud de Veracruz,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de comunicación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w:t>
      </w:r>
    </w:p>
    <w:p w:rsidR="00000000" w:rsidDel="00000000" w:rsidP="00000000" w:rsidRDefault="00000000" w:rsidRPr="00000000" w14:paraId="0000006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"INSABI", previa opinión de la Secretaría de Hacienda y Crédito Público.</w:t>
      </w:r>
    </w:p>
    <w:p w:rsidR="00000000" w:rsidDel="00000000" w:rsidP="00000000" w:rsidRDefault="00000000" w:rsidRPr="00000000" w14:paraId="0000006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iii del literal a del Apartado D de la Cláusula Segunda del presente Acuerdo de Coordinación.</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y Planeación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presupuestarios federales en la Secretaría de Finanzas y Planeación de "LA ENTIDAD", ésta se obliga a ministrarlos íntegramente junto con los rendimientos financieros que se hubiesen generado, dentro de los cinco días hábiles siguientes a su recepción, a Servicios de Salud de Veracruz, organismo público descentralizado de la Administración Pública Local,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y Planeación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y Planeación, abrir una cuenta bancaria productiva, única y específica para la recepción de los recursos referidos.</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lo que podría tipificar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Finanzas y Planeación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 "LAS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INSABI", los cuales, una vez formulados se notificarán por oficio a "LA ENTIDAD" y sin mayor trámite se agregará al presente Acuerdo de Coordinación como Anexo 6, asimismo, "LA ENTIDAD" podrá implementar sus procesos de supervisión conforme a la normatividad vigente y aplicable.</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la finalidad de propiciar la correcta aplicación de los recursos que se transfieran a "LA ENTIDAD" para la prestación de "LOS SERVICIOS NO TRANSFERIDOS", ésta se obliga a participar, a través del ente que señale la Contraloría General del Estado,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8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8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6">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7">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8">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9">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Finanzas y Planeación,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B">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referidos en el párrafo anterior en la Secretaría de Finanzas y Planeación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C">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y Planeación,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D">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y Planeación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w:t>
      </w:r>
    </w:p>
    <w:p w:rsidR="00000000" w:rsidDel="00000000" w:rsidP="00000000" w:rsidRDefault="00000000" w:rsidRPr="00000000" w14:paraId="0000009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en los términos que se encuentren previstos en las disposiciones jurídicas aplicables y sus resultados entregados en especie a "LA ENTIDAD".</w:t>
      </w:r>
    </w:p>
    <w:p w:rsidR="00000000" w:rsidDel="00000000" w:rsidP="00000000" w:rsidRDefault="00000000" w:rsidRPr="00000000" w14:paraId="0000009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Finanzas y Planeación,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 previa autorización del Congreso del Estado de Veracruz de Ignacio de la Llave, en cumplimiento a lo establecido en el artículo 9 de la Ley de Coordinación Fiscal y en su caso, las disposiciones jurídicas aplicables.</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efectúe la transferencia correspondiente a la Unidad Ejecutora. Previo cumplimiento de lo establecido en el párrafo que antecede.</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VIGENCIA. El presente Acuerdo de Coordinación surtirá sus efectos a partir de la fecha de su firma y hasta el 30 de noviembre de 2024.</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Convenio Específico de Transferencia de Recursos.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w:t>
      </w:r>
      <w:r w:rsidDel="00000000" w:rsidR="00000000" w:rsidRPr="00000000">
        <w:rPr>
          <w:color w:val="2f2f2f"/>
          <w:sz w:val="18"/>
          <w:szCs w:val="18"/>
          <w:rtl w:val="0"/>
        </w:rPr>
        <w:t xml:space="preserve"> Acta de Entrega Recepción o el instrumento jurídico que para tal efecto acuerden "LAS PARTES" en el Anexo 1.</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w:t>
      </w:r>
      <w:r w:rsidDel="00000000" w:rsidR="00000000" w:rsidRPr="00000000">
        <w:rPr>
          <w:color w:val="2f2f2f"/>
          <w:sz w:val="18"/>
          <w:szCs w:val="18"/>
          <w:rtl w:val="0"/>
        </w:rPr>
        <w:t xml:space="preserve"> Recursos Humanos Transferidos.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w:t>
      </w:r>
      <w:r w:rsidDel="00000000" w:rsidR="00000000" w:rsidRPr="00000000">
        <w:rPr>
          <w:color w:val="2f2f2f"/>
          <w:sz w:val="18"/>
          <w:szCs w:val="18"/>
          <w:rtl w:val="0"/>
        </w:rPr>
        <w:t xml:space="preserve"> Monto de Recursos Financieros a Transferir y Conceptos de Gasto.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w:t>
      </w:r>
      <w:r w:rsidDel="00000000" w:rsidR="00000000" w:rsidRPr="00000000">
        <w:rPr>
          <w:color w:val="2f2f2f"/>
          <w:sz w:val="18"/>
          <w:szCs w:val="18"/>
          <w:rtl w:val="0"/>
        </w:rPr>
        <w:t xml:space="preserve"> Modelo de Atención.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w:t>
      </w:r>
      <w:r w:rsidDel="00000000" w:rsidR="00000000" w:rsidRPr="00000000">
        <w:rPr>
          <w:color w:val="2f2f2f"/>
          <w:sz w:val="18"/>
          <w:szCs w:val="18"/>
          <w:rtl w:val="0"/>
        </w:rPr>
        <w:t xml:space="preserve"> Criterios Generales en Materia de Supervisión.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w:t>
      </w:r>
      <w:r w:rsidDel="00000000" w:rsidR="00000000" w:rsidRPr="00000000">
        <w:rPr>
          <w:color w:val="2f2f2f"/>
          <w:sz w:val="18"/>
          <w:szCs w:val="18"/>
          <w:rtl w:val="0"/>
        </w:rPr>
        <w:t xml:space="preserve"> Indicadores de Seguimiento a la Operación y los Términos de la Evaluación Integral.</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 debiendo encontrarse ajustados a la normatividad aplicable a "LA ENTIDAD", y previo acuerdo de "LAS PARTES".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y Planeación de "LA ENTIDAD" y de Servicios de Salud de Veracruz. El "INSABI" y la "LA ENTIDAD" se obligan a publicar dicho Anexo 4, en el Diario Oficial de la Federación y en el Periódico Oficial de "LA ENTIDAD", respectivamente.</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14 días del mes de febrero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Veracruz de Ignacio de la Llave, </w:t>
      </w:r>
      <w:r w:rsidDel="00000000" w:rsidR="00000000" w:rsidRPr="00000000">
        <w:rPr>
          <w:b w:val="1"/>
          <w:color w:val="2f2f2f"/>
          <w:sz w:val="18"/>
          <w:szCs w:val="18"/>
          <w:rtl w:val="0"/>
        </w:rPr>
        <w:t xml:space="preserve">Cuitláhuac García Jiménez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Eric Patrocinio Cisneros Burgos</w:t>
      </w:r>
      <w:r w:rsidDel="00000000" w:rsidR="00000000" w:rsidRPr="00000000">
        <w:rPr>
          <w:color w:val="2f2f2f"/>
          <w:sz w:val="18"/>
          <w:szCs w:val="18"/>
          <w:rtl w:val="0"/>
        </w:rPr>
        <w:t xml:space="preserve">.- Rúbrica.- El Secretario de Salud y Director General de Servicios de Salud de Veracruz, </w:t>
      </w:r>
      <w:r w:rsidDel="00000000" w:rsidR="00000000" w:rsidRPr="00000000">
        <w:rPr>
          <w:b w:val="1"/>
          <w:color w:val="2f2f2f"/>
          <w:sz w:val="18"/>
          <w:szCs w:val="18"/>
          <w:rtl w:val="0"/>
        </w:rPr>
        <w:t xml:space="preserve">Roberto Ramos Alor</w:t>
      </w:r>
      <w:r w:rsidDel="00000000" w:rsidR="00000000" w:rsidRPr="00000000">
        <w:rPr>
          <w:color w:val="2f2f2f"/>
          <w:sz w:val="18"/>
          <w:szCs w:val="18"/>
          <w:rtl w:val="0"/>
        </w:rPr>
        <w:t xml:space="preserve">.- Rúbrica.- El Secretario de Finanzas y Planeación, </w:t>
      </w:r>
      <w:r w:rsidDel="00000000" w:rsidR="00000000" w:rsidRPr="00000000">
        <w:rPr>
          <w:b w:val="1"/>
          <w:color w:val="2f2f2f"/>
          <w:sz w:val="18"/>
          <w:szCs w:val="18"/>
          <w:rtl w:val="0"/>
        </w:rPr>
        <w:t xml:space="preserve">José Luis Lima Franco</w:t>
      </w:r>
      <w:r w:rsidDel="00000000" w:rsidR="00000000" w:rsidRPr="00000000">
        <w:rPr>
          <w:color w:val="2f2f2f"/>
          <w:sz w:val="18"/>
          <w:szCs w:val="18"/>
          <w:rtl w:val="0"/>
        </w:rPr>
        <w:t xml:space="preserve">.- Rúbrica.- La Contralora General del Estado, </w:t>
      </w:r>
      <w:r w:rsidDel="00000000" w:rsidR="00000000" w:rsidRPr="00000000">
        <w:rPr>
          <w:b w:val="1"/>
          <w:color w:val="2f2f2f"/>
          <w:sz w:val="18"/>
          <w:szCs w:val="18"/>
          <w:rtl w:val="0"/>
        </w:rPr>
        <w:t xml:space="preserve">Mercedes Santoyo Domínguez</w:t>
      </w:r>
      <w:r w:rsidDel="00000000" w:rsidR="00000000" w:rsidRPr="00000000">
        <w:rPr>
          <w:color w:val="2f2f2f"/>
          <w:sz w:val="18"/>
          <w:szCs w:val="18"/>
          <w:rtl w:val="0"/>
        </w:rPr>
        <w:t xml:space="preserve">.- Rúbrica.</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Veracruz Ignacio de la Llave.</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w:t>
      </w:r>
    </w:p>
    <w:p w:rsidR="00000000" w:rsidDel="00000000" w:rsidP="00000000" w:rsidRDefault="00000000" w:rsidRPr="00000000" w14:paraId="000000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y conceptos de gasto</w:t>
      </w:r>
    </w:p>
    <w:p w:rsidR="00000000" w:rsidDel="00000000" w:rsidP="00000000" w:rsidRDefault="00000000" w:rsidRPr="00000000" w14:paraId="000000B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$4,274,932,223.82 pesos (Cuatro mil doscientos setenta y cuatro millones novecientos treinta y dos mil doscientos veintitrés pesos 82/100 MN).</w:t>
      </w:r>
    </w:p>
    <w:p w:rsidR="00000000" w:rsidDel="00000000" w:rsidP="00000000" w:rsidRDefault="00000000" w:rsidRPr="00000000" w14:paraId="000000B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C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9">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A">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B">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C">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D">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E">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F">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D0">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0D1">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0D2">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0D3">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0D4">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0D5">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0D7">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D8">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0D9">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DA">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0DB">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0DC">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0DD">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0DE">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0DF">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0E0">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0E1">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0E2">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0E3">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0E4">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0E5">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0E6">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0E7">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0E8">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0E9">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0EA">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B">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Veracruz, 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C">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Veracruz.</w:t>
      </w:r>
    </w:p>
    <w:p w:rsidR="00000000" w:rsidDel="00000000" w:rsidP="00000000" w:rsidRDefault="00000000" w:rsidRPr="00000000" w14:paraId="000000E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E">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F">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F0">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F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F2">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3">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 programación en estas acciones deberá ser validado por "LAS PARTES", mediante el</w:t>
      </w:r>
    </w:p>
    <w:p w:rsidR="00000000" w:rsidDel="00000000" w:rsidP="00000000" w:rsidRDefault="00000000" w:rsidRPr="00000000" w14:paraId="000000F4">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F6">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Veracruz,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D">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los Servicios Estatales de Salud del Estado de Veracruz,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E">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F">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100">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del Titular de los Servicios de Salud del Estado de Veracruz,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Partidas de gasto.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Veracruz.</w:t>
      </w:r>
    </w:p>
    <w:p w:rsidR="00000000" w:rsidDel="00000000" w:rsidP="00000000" w:rsidRDefault="00000000" w:rsidRPr="00000000" w14:paraId="000001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Programación de los recursos.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del Estado de Veracruz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Veracruz y el Director Administrativo de dicho organismo local.</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$2,344,890,812.57 pesos (Dos mil trescientos cuarenta y cuatro millones ochocientos noventa mil ochocientos doce pesos 57/100 MN), en virtud de lo cual el importe líquido que por este concepto deberá aportar "LA ENTIDAD" será la cantidad de $1,641,423,568.80 (Mil seiscientos cuarenta y un millones cuatrocientos veintitrés mil quinientos sesenta y ocho pesos 80/100 MN).</w:t>
      </w:r>
    </w:p>
    <w:p w:rsidR="00000000" w:rsidDel="00000000" w:rsidP="00000000" w:rsidRDefault="00000000" w:rsidRPr="00000000" w14:paraId="0000011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parte proporcional de la aportación solidaria que corresponde realizar a "LA ENTIDAD" que deberá ser entregada al "INSABI" para la prestación de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p w:rsidR="00000000" w:rsidDel="00000000" w:rsidP="00000000" w:rsidRDefault="00000000" w:rsidRPr="00000000" w14:paraId="0000011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800"/>
        <w:gridCol w:w="1485"/>
        <w:gridCol w:w="1665"/>
        <w:gridCol w:w="1695"/>
        <w:gridCol w:w="1590"/>
        <w:tblGridChange w:id="0">
          <w:tblGrid>
            <w:gridCol w:w="570"/>
            <w:gridCol w:w="1800"/>
            <w:gridCol w:w="1485"/>
            <w:gridCol w:w="1665"/>
            <w:gridCol w:w="1695"/>
            <w:gridCol w:w="1590"/>
          </w:tblGrid>
        </w:tblGridChange>
      </w:tblGrid>
      <w:tr>
        <w:trPr>
          <w:trHeight w:val="69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8">
            <w:pPr>
              <w:spacing w:after="4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9">
            <w:pPr>
              <w:spacing w:after="4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A">
            <w:pPr>
              <w:spacing w:after="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B">
            <w:pPr>
              <w:spacing w:after="4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C">
            <w:pPr>
              <w:spacing w:after="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D">
            <w:pPr>
              <w:spacing w:after="4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E">
            <w:pPr>
              <w:spacing w:after="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F">
            <w:pPr>
              <w:spacing w:after="4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0">
            <w:pPr>
              <w:spacing w:after="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21">
            <w:pPr>
              <w:spacing w:after="4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40" w:lineRule="auto"/>
              <w:ind w:left="80" w:firstLine="0"/>
              <w:jc w:val="center"/>
              <w:rPr>
                <w:b w:val="1"/>
                <w:sz w:val="16"/>
                <w:szCs w:val="16"/>
              </w:rPr>
            </w:pPr>
            <w:r w:rsidDel="00000000" w:rsidR="00000000" w:rsidRPr="00000000">
              <w:rPr>
                <w:b w:val="1"/>
                <w:sz w:val="16"/>
                <w:szCs w:val="16"/>
                <w:rtl w:val="0"/>
              </w:rPr>
              <w:t xml:space="preserve">$2,344,890,812.57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40" w:lineRule="auto"/>
              <w:ind w:left="80" w:firstLine="0"/>
              <w:jc w:val="center"/>
              <w:rPr>
                <w:b w:val="1"/>
                <w:sz w:val="16"/>
                <w:szCs w:val="16"/>
              </w:rPr>
            </w:pPr>
            <w:r w:rsidDel="00000000" w:rsidR="00000000" w:rsidRPr="00000000">
              <w:rPr>
                <w:b w:val="1"/>
                <w:sz w:val="16"/>
                <w:szCs w:val="16"/>
                <w:rtl w:val="0"/>
              </w:rPr>
              <w:t xml:space="preserve">$586,222,703.14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40" w:lineRule="auto"/>
              <w:ind w:left="80" w:firstLine="0"/>
              <w:jc w:val="center"/>
              <w:rPr>
                <w:b w:val="1"/>
                <w:sz w:val="16"/>
                <w:szCs w:val="16"/>
              </w:rPr>
            </w:pPr>
            <w:r w:rsidDel="00000000" w:rsidR="00000000" w:rsidRPr="00000000">
              <w:rPr>
                <w:b w:val="1"/>
                <w:sz w:val="16"/>
                <w:szCs w:val="16"/>
                <w:rtl w:val="0"/>
              </w:rPr>
              <w:t xml:space="preserve">$586,222,703.14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40" w:lineRule="auto"/>
              <w:ind w:left="80" w:firstLine="0"/>
              <w:jc w:val="center"/>
              <w:rPr>
                <w:b w:val="1"/>
                <w:sz w:val="16"/>
                <w:szCs w:val="16"/>
              </w:rPr>
            </w:pPr>
            <w:r w:rsidDel="00000000" w:rsidR="00000000" w:rsidRPr="00000000">
              <w:rPr>
                <w:b w:val="1"/>
                <w:sz w:val="16"/>
                <w:szCs w:val="16"/>
                <w:rtl w:val="0"/>
              </w:rPr>
              <w:t xml:space="preserve">$586,222,703.14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40" w:lineRule="auto"/>
              <w:ind w:left="80" w:firstLine="0"/>
              <w:jc w:val="center"/>
              <w:rPr>
                <w:b w:val="1"/>
                <w:sz w:val="16"/>
                <w:szCs w:val="16"/>
              </w:rPr>
            </w:pPr>
            <w:r w:rsidDel="00000000" w:rsidR="00000000" w:rsidRPr="00000000">
              <w:rPr>
                <w:b w:val="1"/>
                <w:sz w:val="16"/>
                <w:szCs w:val="16"/>
                <w:rtl w:val="0"/>
              </w:rPr>
              <w:t xml:space="preserve">$586,222,703.14</w:t>
            </w:r>
          </w:p>
        </w:tc>
      </w:tr>
      <w:tr>
        <w:trPr>
          <w:trHeight w:val="45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40" w:lineRule="auto"/>
              <w:ind w:left="80" w:firstLine="0"/>
              <w:jc w:val="center"/>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40" w:lineRule="auto"/>
              <w:ind w:left="80" w:firstLine="0"/>
              <w:jc w:val="center"/>
              <w:rPr>
                <w:b w:val="1"/>
                <w:sz w:val="16"/>
                <w:szCs w:val="16"/>
              </w:rPr>
            </w:pPr>
            <w:r w:rsidDel="00000000" w:rsidR="00000000" w:rsidRPr="00000000">
              <w:rPr>
                <w:b w:val="1"/>
                <w:sz w:val="16"/>
                <w:szCs w:val="16"/>
                <w:rtl w:val="0"/>
              </w:rPr>
              <w:t xml:space="preserve">$1,641,423,568.80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40" w:lineRule="auto"/>
              <w:ind w:left="80" w:firstLine="0"/>
              <w:jc w:val="center"/>
              <w:rPr>
                <w:sz w:val="16"/>
                <w:szCs w:val="16"/>
              </w:rPr>
            </w:pPr>
            <w:r w:rsidDel="00000000" w:rsidR="00000000" w:rsidRPr="00000000">
              <w:rPr>
                <w:sz w:val="16"/>
                <w:szCs w:val="16"/>
                <w:rtl w:val="0"/>
              </w:rPr>
              <w:t xml:space="preserve">$410,355,892.20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40" w:lineRule="auto"/>
              <w:ind w:left="80" w:firstLine="0"/>
              <w:jc w:val="center"/>
              <w:rPr>
                <w:sz w:val="16"/>
                <w:szCs w:val="16"/>
              </w:rPr>
            </w:pPr>
            <w:r w:rsidDel="00000000" w:rsidR="00000000" w:rsidRPr="00000000">
              <w:rPr>
                <w:sz w:val="16"/>
                <w:szCs w:val="16"/>
                <w:rtl w:val="0"/>
              </w:rPr>
              <w:t xml:space="preserve">$410,355,892.20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40" w:lineRule="auto"/>
              <w:ind w:left="80" w:firstLine="0"/>
              <w:jc w:val="center"/>
              <w:rPr>
                <w:sz w:val="16"/>
                <w:szCs w:val="16"/>
              </w:rPr>
            </w:pPr>
            <w:r w:rsidDel="00000000" w:rsidR="00000000" w:rsidRPr="00000000">
              <w:rPr>
                <w:sz w:val="16"/>
                <w:szCs w:val="16"/>
                <w:rtl w:val="0"/>
              </w:rPr>
              <w:t xml:space="preserve">$410,355,892.20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40" w:lineRule="auto"/>
              <w:ind w:left="80" w:firstLine="0"/>
              <w:jc w:val="center"/>
              <w:rPr>
                <w:sz w:val="16"/>
                <w:szCs w:val="16"/>
              </w:rPr>
            </w:pPr>
            <w:r w:rsidDel="00000000" w:rsidR="00000000" w:rsidRPr="00000000">
              <w:rPr>
                <w:sz w:val="16"/>
                <w:szCs w:val="16"/>
                <w:rtl w:val="0"/>
              </w:rPr>
              <w:t xml:space="preserve">$410,355,892.20</w:t>
            </w:r>
          </w:p>
        </w:tc>
      </w:tr>
      <w:tr>
        <w:trPr>
          <w:trHeight w:val="45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40" w:lineRule="auto"/>
              <w:ind w:left="80" w:firstLine="0"/>
              <w:jc w:val="center"/>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40" w:lineRule="auto"/>
              <w:ind w:left="80" w:firstLine="0"/>
              <w:jc w:val="center"/>
              <w:rPr>
                <w:b w:val="1"/>
                <w:sz w:val="16"/>
                <w:szCs w:val="16"/>
              </w:rPr>
            </w:pPr>
            <w:r w:rsidDel="00000000" w:rsidR="00000000" w:rsidRPr="00000000">
              <w:rPr>
                <w:b w:val="1"/>
                <w:sz w:val="16"/>
                <w:szCs w:val="16"/>
                <w:rtl w:val="0"/>
              </w:rPr>
              <w:t xml:space="preserve">$703,467,243.77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40" w:lineRule="auto"/>
              <w:ind w:left="80" w:firstLine="0"/>
              <w:jc w:val="center"/>
              <w:rPr>
                <w:sz w:val="16"/>
                <w:szCs w:val="16"/>
              </w:rPr>
            </w:pPr>
            <w:r w:rsidDel="00000000" w:rsidR="00000000" w:rsidRPr="00000000">
              <w:rPr>
                <w:sz w:val="16"/>
                <w:szCs w:val="16"/>
                <w:rtl w:val="0"/>
              </w:rPr>
              <w:t xml:space="preserve">$175,866,810.94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40" w:lineRule="auto"/>
              <w:ind w:left="80" w:firstLine="0"/>
              <w:jc w:val="center"/>
              <w:rPr>
                <w:sz w:val="16"/>
                <w:szCs w:val="16"/>
              </w:rPr>
            </w:pPr>
            <w:r w:rsidDel="00000000" w:rsidR="00000000" w:rsidRPr="00000000">
              <w:rPr>
                <w:sz w:val="16"/>
                <w:szCs w:val="16"/>
                <w:rtl w:val="0"/>
              </w:rPr>
              <w:t xml:space="preserve">$175,866,810.94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40" w:lineRule="auto"/>
              <w:ind w:left="80" w:firstLine="0"/>
              <w:jc w:val="center"/>
              <w:rPr>
                <w:sz w:val="16"/>
                <w:szCs w:val="16"/>
              </w:rPr>
            </w:pPr>
            <w:r w:rsidDel="00000000" w:rsidR="00000000" w:rsidRPr="00000000">
              <w:rPr>
                <w:sz w:val="16"/>
                <w:szCs w:val="16"/>
                <w:rtl w:val="0"/>
              </w:rPr>
              <w:t xml:space="preserve">$175,866,810.94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40" w:lineRule="auto"/>
              <w:ind w:left="80" w:firstLine="0"/>
              <w:jc w:val="center"/>
              <w:rPr>
                <w:sz w:val="16"/>
                <w:szCs w:val="16"/>
              </w:rPr>
            </w:pPr>
            <w:r w:rsidDel="00000000" w:rsidR="00000000" w:rsidRPr="00000000">
              <w:rPr>
                <w:sz w:val="16"/>
                <w:szCs w:val="16"/>
                <w:rtl w:val="0"/>
              </w:rPr>
              <w:t xml:space="preserve">$175,866,810.94</w:t>
            </w:r>
          </w:p>
        </w:tc>
      </w:tr>
      <w:tr>
        <w:trPr>
          <w:trHeight w:val="69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5">
            <w:pPr>
              <w:spacing w:after="4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36">
            <w:pPr>
              <w:spacing w:after="4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7">
            <w:pPr>
              <w:spacing w:after="4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8">
            <w:pPr>
              <w:spacing w:after="4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9">
            <w:pPr>
              <w:spacing w:after="4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A">
            <w:pPr>
              <w:spacing w:after="4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3E">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F">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4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4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42">
      <w:pPr>
        <w:shd w:fill="ffffff" w:val="clear"/>
        <w:spacing w:after="40" w:lineRule="auto"/>
        <w:ind w:left="1160" w:hanging="440"/>
        <w:jc w:val="both"/>
        <w:rPr>
          <w:b w:val="1"/>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w:t>
      </w:r>
    </w:p>
    <w:p w:rsidR="00000000" w:rsidDel="00000000" w:rsidP="00000000" w:rsidRDefault="00000000" w:rsidRPr="00000000" w14:paraId="00000143">
      <w:pPr>
        <w:shd w:fill="ffffff" w:val="clear"/>
        <w:spacing w:after="40" w:lineRule="auto"/>
        <w:ind w:left="720" w:firstLine="0"/>
        <w:jc w:val="both"/>
        <w:rPr>
          <w:b w:val="1"/>
          <w:color w:val="2f2f2f"/>
          <w:sz w:val="18"/>
          <w:szCs w:val="18"/>
        </w:rPr>
      </w:pPr>
      <w:r w:rsidDel="00000000" w:rsidR="00000000" w:rsidRPr="00000000">
        <w:rPr>
          <w:b w:val="1"/>
          <w:color w:val="2f2f2f"/>
          <w:sz w:val="18"/>
          <w:szCs w:val="18"/>
          <w:rtl w:val="0"/>
        </w:rPr>
        <w:t xml:space="preserve">resueltas por el "INSABI".</w:t>
      </w:r>
    </w:p>
    <w:p w:rsidR="00000000" w:rsidDel="00000000" w:rsidP="00000000" w:rsidRDefault="00000000" w:rsidRPr="00000000" w14:paraId="0000014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presente Anexo se firma a los 14 días del mes de febrero de 2020.-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Veracruz de Ignacio de la Llave, </w:t>
      </w:r>
      <w:r w:rsidDel="00000000" w:rsidR="00000000" w:rsidRPr="00000000">
        <w:rPr>
          <w:b w:val="1"/>
          <w:color w:val="2f2f2f"/>
          <w:sz w:val="18"/>
          <w:szCs w:val="18"/>
          <w:rtl w:val="0"/>
        </w:rPr>
        <w:t xml:space="preserve">Cuitláhuac García Jiménez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Eric Patrocinio Cisneros Burgos</w:t>
      </w:r>
      <w:r w:rsidDel="00000000" w:rsidR="00000000" w:rsidRPr="00000000">
        <w:rPr>
          <w:color w:val="2f2f2f"/>
          <w:sz w:val="18"/>
          <w:szCs w:val="18"/>
          <w:rtl w:val="0"/>
        </w:rPr>
        <w:t xml:space="preserve">.- Rúbrica.- El Secretario de Salud y Director General de Servicios de Salud de Veracruz, </w:t>
      </w:r>
      <w:r w:rsidDel="00000000" w:rsidR="00000000" w:rsidRPr="00000000">
        <w:rPr>
          <w:b w:val="1"/>
          <w:color w:val="2f2f2f"/>
          <w:sz w:val="18"/>
          <w:szCs w:val="18"/>
          <w:rtl w:val="0"/>
        </w:rPr>
        <w:t xml:space="preserve">Roberto Ramos Alor</w:t>
      </w:r>
      <w:r w:rsidDel="00000000" w:rsidR="00000000" w:rsidRPr="00000000">
        <w:rPr>
          <w:color w:val="2f2f2f"/>
          <w:sz w:val="18"/>
          <w:szCs w:val="18"/>
          <w:rtl w:val="0"/>
        </w:rPr>
        <w:t xml:space="preserve">.- Rúbrica.- El Secretario de Finanzas y Planeación, </w:t>
      </w:r>
      <w:r w:rsidDel="00000000" w:rsidR="00000000" w:rsidRPr="00000000">
        <w:rPr>
          <w:b w:val="1"/>
          <w:color w:val="2f2f2f"/>
          <w:sz w:val="18"/>
          <w:szCs w:val="18"/>
          <w:rtl w:val="0"/>
        </w:rPr>
        <w:t xml:space="preserve">José Luis Lima Franco</w:t>
      </w:r>
      <w:r w:rsidDel="00000000" w:rsidR="00000000" w:rsidRPr="00000000">
        <w:rPr>
          <w:color w:val="2f2f2f"/>
          <w:sz w:val="18"/>
          <w:szCs w:val="18"/>
          <w:rtl w:val="0"/>
        </w:rPr>
        <w:t xml:space="preserve">.- Rúbrica.- La Contralora General del Estado, </w:t>
      </w:r>
      <w:r w:rsidDel="00000000" w:rsidR="00000000" w:rsidRPr="00000000">
        <w:rPr>
          <w:b w:val="1"/>
          <w:color w:val="2f2f2f"/>
          <w:sz w:val="18"/>
          <w:szCs w:val="18"/>
          <w:rtl w:val="0"/>
        </w:rPr>
        <w:t xml:space="preserve">Mercedes Santoyo Domínguez</w:t>
      </w:r>
      <w:r w:rsidDel="00000000" w:rsidR="00000000" w:rsidRPr="00000000">
        <w:rPr>
          <w:color w:val="2f2f2f"/>
          <w:sz w:val="18"/>
          <w:szCs w:val="18"/>
          <w:rtl w:val="0"/>
        </w:rPr>
        <w:t xml:space="preserve">.- Rúbrica.</w:t>
      </w:r>
    </w:p>
    <w:p w:rsidR="00000000" w:rsidDel="00000000" w:rsidP="00000000" w:rsidRDefault="00000000" w:rsidRPr="00000000" w14:paraId="000001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Veracruz de Ignacio de la Llave.</w:t>
      </w:r>
    </w:p>
    <w:p w:rsidR="00000000" w:rsidDel="00000000" w:rsidP="00000000" w:rsidRDefault="00000000" w:rsidRPr="00000000" w14:paraId="00000146">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47">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148">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para las personas sin Seguridad Social, basado en la</w:t>
      </w:r>
    </w:p>
    <w:p w:rsidR="00000000" w:rsidDel="00000000" w:rsidP="00000000" w:rsidRDefault="00000000" w:rsidRPr="00000000" w14:paraId="0000014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1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1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Presentación.</w:t>
      </w:r>
    </w:p>
    <w:p w:rsidR="00000000" w:rsidDel="00000000" w:rsidP="00000000" w:rsidRDefault="00000000" w:rsidRPr="00000000" w14:paraId="0000014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4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4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5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52">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53">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54">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5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Siglas y Acrónimos.</w:t>
      </w:r>
    </w:p>
    <w:p w:rsidR="00000000" w:rsidDel="00000000" w:rsidP="00000000" w:rsidRDefault="00000000" w:rsidRPr="00000000" w14:paraId="0000015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1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w:t>
      </w:r>
    </w:p>
    <w:p w:rsidR="00000000" w:rsidDel="00000000" w:rsidP="00000000" w:rsidRDefault="00000000" w:rsidRPr="00000000" w14:paraId="00000161">
      <w:pPr>
        <w:shd w:fill="ffffff" w:val="clear"/>
        <w:spacing w:after="80" w:lineRule="auto"/>
        <w:jc w:val="both"/>
        <w:rPr>
          <w:color w:val="2f2f2f"/>
          <w:sz w:val="18"/>
          <w:szCs w:val="18"/>
        </w:rPr>
      </w:pPr>
      <w:r w:rsidDel="00000000" w:rsidR="00000000" w:rsidRPr="00000000">
        <w:rPr>
          <w:color w:val="2f2f2f"/>
          <w:sz w:val="18"/>
          <w:szCs w:val="18"/>
          <w:rtl w:val="0"/>
        </w:rPr>
        <w:t xml:space="preserve">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Salud y Bienestar en México. Retos y Oportunidades.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Principios Organizativos del Modelo de Salud para el Bienestar (SABI).</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Acceso universal garantizado.</w:t>
      </w:r>
      <w:r w:rsidDel="00000000" w:rsidR="00000000" w:rsidRPr="00000000">
        <w:rPr>
          <w:color w:val="2f2f2f"/>
          <w:sz w:val="18"/>
          <w:szCs w:val="18"/>
          <w:rtl w:val="0"/>
        </w:rPr>
        <w:t xml:space="preserve"> 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Centrado en las personas.</w:t>
      </w:r>
      <w:r w:rsidDel="00000000" w:rsidR="00000000" w:rsidRPr="00000000">
        <w:rPr>
          <w:color w:val="2f2f2f"/>
          <w:sz w:val="18"/>
          <w:szCs w:val="18"/>
          <w:rtl w:val="0"/>
        </w:rPr>
        <w:t xml:space="preserve"> 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Eficiente y eficaz. </w:t>
      </w:r>
      <w:r w:rsidDel="00000000" w:rsidR="00000000" w:rsidRPr="00000000">
        <w:rPr>
          <w:color w:val="2f2f2f"/>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Calidad. </w:t>
      </w:r>
      <w:r w:rsidDel="00000000" w:rsidR="00000000" w:rsidRPr="00000000">
        <w:rPr>
          <w:color w:val="2f2f2f"/>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Equitativo.</w:t>
      </w:r>
      <w:r w:rsidDel="00000000" w:rsidR="00000000" w:rsidRPr="00000000">
        <w:rPr>
          <w:color w:val="2f2f2f"/>
          <w:sz w:val="18"/>
          <w:szCs w:val="18"/>
          <w:rtl w:val="0"/>
        </w:rPr>
        <w:t xml:space="preserve"> 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Enfoque de género.</w:t>
      </w:r>
      <w:r w:rsidDel="00000000" w:rsidR="00000000" w:rsidRPr="00000000">
        <w:rPr>
          <w:color w:val="2f2f2f"/>
          <w:sz w:val="18"/>
          <w:szCs w:val="18"/>
          <w:rtl w:val="0"/>
        </w:rPr>
        <w:t xml:space="preserve"> 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Interculturalidad.</w:t>
      </w:r>
      <w:r w:rsidDel="00000000" w:rsidR="00000000" w:rsidRPr="00000000">
        <w:rPr>
          <w:color w:val="2f2f2f"/>
          <w:sz w:val="18"/>
          <w:szCs w:val="18"/>
          <w:rtl w:val="0"/>
        </w:rPr>
        <w:t xml:space="preserve"> Mantener una política de respeto a los distintos grupos étnico- 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w:t>
      </w:r>
      <w:r w:rsidDel="00000000" w:rsidR="00000000" w:rsidRPr="00000000">
        <w:rPr>
          <w:color w:val="2f2f2f"/>
          <w:sz w:val="18"/>
          <w:szCs w:val="18"/>
          <w:rtl w:val="0"/>
        </w:rPr>
        <w:t xml:space="preserve"> 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Financiamiento adecuado.</w:t>
      </w:r>
      <w:r w:rsidDel="00000000" w:rsidR="00000000" w:rsidRPr="00000000">
        <w:rPr>
          <w:color w:val="2f2f2f"/>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Coordinación intersectorial.</w:t>
      </w:r>
      <w:r w:rsidDel="00000000" w:rsidR="00000000" w:rsidRPr="00000000">
        <w:rPr>
          <w:color w:val="2f2f2f"/>
          <w:sz w:val="18"/>
          <w:szCs w:val="18"/>
          <w:rtl w:val="0"/>
        </w:rPr>
        <w:t xml:space="preserve"> 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Alcance del Modelo de Salud para el Bienestar (SABI).</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Organización de la Prestación de Servicios a las Personas.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Elementos estructurales del Modelo SABI.</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Contenidos de la atención.</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participación y el apoyo comunitario a la salud.</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Financiamiento del Modelo SABI basado en la APS.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Seguro Popular): 124.2 MMDP para 2019.</w:t>
      </w:r>
    </w:p>
    <w:p w:rsidR="00000000" w:rsidDel="00000000" w:rsidP="00000000" w:rsidRDefault="00000000" w:rsidRPr="00000000" w14:paraId="000001E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E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Seguimiento y Evaluación del Modelo SABI.</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Jerarquización y Supervisión de la Aplicación del Modelo SABI.</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 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20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w:t>
      </w:r>
    </w:p>
    <w:p w:rsidR="00000000" w:rsidDel="00000000" w:rsidP="00000000" w:rsidRDefault="00000000" w:rsidRPr="00000000" w14:paraId="0000020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 Personal Médico para la APS en México.</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El Personal de Enfermería para la APS.</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12. Visión de Mediano Plazo del Sistema de Salud de México.</w:t>
      </w:r>
    </w:p>
    <w:p w:rsidR="00000000" w:rsidDel="00000000" w:rsidP="00000000" w:rsidRDefault="00000000" w:rsidRPr="00000000" w14:paraId="000002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2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 Consideraciones Finales.</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 Bibliografía. (en orden alfabético)</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w:t>
      </w:r>
      <w:r w:rsidDel="00000000" w:rsidR="00000000" w:rsidRPr="00000000">
        <w:rPr>
          <w:color w:val="2f2f2f"/>
          <w:sz w:val="18"/>
          <w:szCs w:val="18"/>
          <w:u w:val="single"/>
          <w:rtl w:val="0"/>
        </w:rPr>
        <w:t xml:space="preserve">https://www.e-quipu.pe</w:t>
      </w:r>
      <w:r w:rsidDel="00000000" w:rsidR="00000000" w:rsidRPr="00000000">
        <w:rPr>
          <w:color w:val="2f2f2f"/>
          <w:sz w:val="18"/>
          <w:szCs w:val="18"/>
          <w:rtl w:val="0"/>
        </w:rPr>
        <w:t xml:space="preserve"> (visitado 17agosto/2019)</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e001435.doi:10.1136/bmjgh-2019-001435.</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261">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APS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262">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CAUSES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263">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CS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264">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CSG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265">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ESB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266">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FPGC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267">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GPS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268">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GTS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269">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IMSS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26A">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INSABI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26B">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INSP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26C">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ISSSTE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26D">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MAI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26E">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MASPA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26F">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MIDAS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270">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MMDP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271">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OCDE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272">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OMS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273">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OPS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274">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PEMEX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275">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PIB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276">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7">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RISS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278">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SABI (Modelo)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279">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SEDENA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27A">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SHCP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27B">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SEMAR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27C">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Tb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27D">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UMR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27E">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UNICEF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27F">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VIH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280">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4 T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Veracruz de Ignacio de la Llave, </w:t>
      </w:r>
      <w:r w:rsidDel="00000000" w:rsidR="00000000" w:rsidRPr="00000000">
        <w:rPr>
          <w:b w:val="1"/>
          <w:color w:val="2f2f2f"/>
          <w:sz w:val="18"/>
          <w:szCs w:val="18"/>
          <w:rtl w:val="0"/>
        </w:rPr>
        <w:t xml:space="preserve">Cuitláhuac García Jiménez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Eric Patrocinio Cisneros Burgos</w:t>
      </w:r>
      <w:r w:rsidDel="00000000" w:rsidR="00000000" w:rsidRPr="00000000">
        <w:rPr>
          <w:color w:val="2f2f2f"/>
          <w:sz w:val="18"/>
          <w:szCs w:val="18"/>
          <w:rtl w:val="0"/>
        </w:rPr>
        <w:t xml:space="preserve">.- Rúbrica.- El Secretario de Salud y Director General de Servicios de Salud de Veracruz, </w:t>
      </w:r>
      <w:r w:rsidDel="00000000" w:rsidR="00000000" w:rsidRPr="00000000">
        <w:rPr>
          <w:b w:val="1"/>
          <w:color w:val="2f2f2f"/>
          <w:sz w:val="18"/>
          <w:szCs w:val="18"/>
          <w:rtl w:val="0"/>
        </w:rPr>
        <w:t xml:space="preserve">Roberto Ramos Alor</w:t>
      </w:r>
      <w:r w:rsidDel="00000000" w:rsidR="00000000" w:rsidRPr="00000000">
        <w:rPr>
          <w:color w:val="2f2f2f"/>
          <w:sz w:val="18"/>
          <w:szCs w:val="18"/>
          <w:rtl w:val="0"/>
        </w:rPr>
        <w:t xml:space="preserve">.- Rúbrica.- El Secretario de Finanzas y Planeación, </w:t>
      </w:r>
      <w:r w:rsidDel="00000000" w:rsidR="00000000" w:rsidRPr="00000000">
        <w:rPr>
          <w:b w:val="1"/>
          <w:color w:val="2f2f2f"/>
          <w:sz w:val="18"/>
          <w:szCs w:val="18"/>
          <w:rtl w:val="0"/>
        </w:rPr>
        <w:t xml:space="preserve">José Luis Lima Franco</w:t>
      </w:r>
      <w:r w:rsidDel="00000000" w:rsidR="00000000" w:rsidRPr="00000000">
        <w:rPr>
          <w:color w:val="2f2f2f"/>
          <w:sz w:val="18"/>
          <w:szCs w:val="18"/>
          <w:rtl w:val="0"/>
        </w:rPr>
        <w:t xml:space="preserve">.- Rúbrica.- La Contralora General del Estado, </w:t>
      </w:r>
      <w:r w:rsidDel="00000000" w:rsidR="00000000" w:rsidRPr="00000000">
        <w:rPr>
          <w:b w:val="1"/>
          <w:color w:val="2f2f2f"/>
          <w:sz w:val="18"/>
          <w:szCs w:val="18"/>
          <w:rtl w:val="0"/>
        </w:rPr>
        <w:t xml:space="preserve">Mercedes Santoyo Domínguez</w:t>
      </w:r>
      <w:r w:rsidDel="00000000" w:rsidR="00000000" w:rsidRPr="00000000">
        <w:rPr>
          <w:color w:val="2f2f2f"/>
          <w:sz w:val="18"/>
          <w:szCs w:val="18"/>
          <w:rtl w:val="0"/>
        </w:rPr>
        <w:t xml:space="preserve">.- Rúbrica.</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