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Nota Aclaratoria al Acuerdo por el que se establecen los Lineamientos para el registro y reconocimiento de organizaciones que pueden emitir sellos o leyendas de recomendación para alimentos y bebidas no alcohólicas preenvasados, publicado el 27 de enero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Procuraduría Federal del Consumidor.- Oficina del C. Procurador.</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NOTA ACLARATORIA AL ACUERDO POR EL QUE SE ESTABLECEN LOS LINEAMIENTOS PARA EL REGISTRO Y RECONOCIMIENTO DE ORGANIZACIONES QUE PUEDEN EMITIR SELLOS O LEYENDAS DE RECOMENDACIÓN PARA ALIMENTOS Y BEBIDAS NO ALCOHÓLICAS PREENVASADOS.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27 de enero de enero de 2021, se publicó en el Diario Oficial de la Federación el Acuerdo por el que se establecen los Lineamientos para el registro y reconocimiento de organizaciones que pueden emitir sellos o leyendas de recomendación para alimentos y bebidas no alcohólicas preenvasados. Con el fin de aclarar que el pago que realizarán los proveedores se denomina tarifa, así como aclarar la numeración del último capítulo, se solicita publicar la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8">
            <w:pPr>
              <w:spacing w:after="40" w:before="20" w:lineRule="auto"/>
              <w:ind w:left="80" w:firstLine="0"/>
              <w:jc w:val="center"/>
              <w:rPr>
                <w:b w:val="1"/>
                <w:sz w:val="16"/>
                <w:szCs w:val="16"/>
              </w:rPr>
            </w:pPr>
            <w:r w:rsidDel="00000000" w:rsidR="00000000" w:rsidRPr="00000000">
              <w:rPr>
                <w:b w:val="1"/>
                <w:sz w:val="16"/>
                <w:szCs w:val="16"/>
                <w:rtl w:val="0"/>
              </w:rPr>
              <w:t xml:space="preserve">DICE: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9">
            <w:pPr>
              <w:spacing w:after="40" w:before="20" w:lineRule="auto"/>
              <w:ind w:left="80" w:firstLine="0"/>
              <w:jc w:val="center"/>
              <w:rPr>
                <w:b w:val="1"/>
                <w:sz w:val="16"/>
                <w:szCs w:val="16"/>
              </w:rPr>
            </w:pPr>
            <w:r w:rsidDel="00000000" w:rsidR="00000000" w:rsidRPr="00000000">
              <w:rPr>
                <w:b w:val="1"/>
                <w:sz w:val="16"/>
                <w:szCs w:val="16"/>
                <w:rtl w:val="0"/>
              </w:rPr>
              <w:t xml:space="preserve">DEBE DECIR:</w:t>
            </w:r>
          </w:p>
        </w:tc>
      </w:tr>
      <w:tr>
        <w:trPr>
          <w:trHeight w:val="14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A">
            <w:pPr>
              <w:spacing w:after="40" w:before="20" w:lineRule="auto"/>
              <w:ind w:left="80" w:firstLine="0"/>
              <w:jc w:val="both"/>
              <w:rPr>
                <w:sz w:val="16"/>
                <w:szCs w:val="16"/>
              </w:rPr>
            </w:pPr>
            <w:r w:rsidDel="00000000" w:rsidR="00000000" w:rsidRPr="00000000">
              <w:rPr>
                <w:b w:val="1"/>
                <w:sz w:val="16"/>
                <w:szCs w:val="16"/>
                <w:rtl w:val="0"/>
              </w:rPr>
              <w:t xml:space="preserve">Artículo 9.</w:t>
            </w:r>
            <w:r w:rsidDel="00000000" w:rsidR="00000000" w:rsidRPr="00000000">
              <w:rPr>
                <w:sz w:val="16"/>
                <w:szCs w:val="16"/>
                <w:rtl w:val="0"/>
              </w:rPr>
              <w:t xml:space="preserve"> Para obtener el Registro, las organizaciones o asociaciones profesionales deberán presentar a la Procuraduría la siguiente documentación:</w:t>
            </w:r>
          </w:p>
          <w:p w:rsidR="00000000" w:rsidDel="00000000" w:rsidP="00000000" w:rsidRDefault="00000000" w:rsidRPr="00000000" w14:paraId="0000000B">
            <w:pPr>
              <w:spacing w:after="40" w:before="20" w:lineRule="auto"/>
              <w:ind w:left="80" w:firstLine="0"/>
              <w:jc w:val="both"/>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00C">
            <w:pPr>
              <w:spacing w:after="40" w:before="20" w:lineRule="auto"/>
              <w:ind w:left="80" w:firstLine="0"/>
              <w:jc w:val="both"/>
              <w:rPr>
                <w:sz w:val="16"/>
                <w:szCs w:val="16"/>
              </w:rPr>
            </w:pPr>
            <w:r w:rsidDel="00000000" w:rsidR="00000000" w:rsidRPr="00000000">
              <w:rPr>
                <w:sz w:val="16"/>
                <w:szCs w:val="16"/>
                <w:rtl w:val="0"/>
              </w:rPr>
              <w:t xml:space="preserve">II.- Original de comprobante de pago de </w:t>
            </w:r>
            <w:r w:rsidDel="00000000" w:rsidR="00000000" w:rsidRPr="00000000">
              <w:rPr>
                <w:b w:val="1"/>
                <w:sz w:val="16"/>
                <w:szCs w:val="16"/>
                <w:rtl w:val="0"/>
              </w:rPr>
              <w:t xml:space="preserve">derechos</w:t>
            </w:r>
            <w:r w:rsidDel="00000000" w:rsidR="00000000" w:rsidRPr="00000000">
              <w:rPr>
                <w:sz w:val="16"/>
                <w:szCs w:val="16"/>
                <w:rtl w:val="0"/>
              </w:rPr>
              <w:t xml:space="preserve"> por el trámite;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D">
            <w:pPr>
              <w:spacing w:after="40" w:before="20" w:lineRule="auto"/>
              <w:ind w:left="80" w:firstLine="0"/>
              <w:jc w:val="both"/>
              <w:rPr>
                <w:sz w:val="16"/>
                <w:szCs w:val="16"/>
              </w:rPr>
            </w:pPr>
            <w:r w:rsidDel="00000000" w:rsidR="00000000" w:rsidRPr="00000000">
              <w:rPr>
                <w:b w:val="1"/>
                <w:sz w:val="16"/>
                <w:szCs w:val="16"/>
                <w:rtl w:val="0"/>
              </w:rPr>
              <w:t xml:space="preserve">Artículo 9.</w:t>
            </w:r>
            <w:r w:rsidDel="00000000" w:rsidR="00000000" w:rsidRPr="00000000">
              <w:rPr>
                <w:sz w:val="16"/>
                <w:szCs w:val="16"/>
                <w:rtl w:val="0"/>
              </w:rPr>
              <w:t xml:space="preserve"> Para obtener el Registro, las organizaciones o asociaciones profesionales deberán presentar a la Procuraduría la siguiente documentación:</w:t>
            </w:r>
          </w:p>
          <w:p w:rsidR="00000000" w:rsidDel="00000000" w:rsidP="00000000" w:rsidRDefault="00000000" w:rsidRPr="00000000" w14:paraId="0000000E">
            <w:pPr>
              <w:spacing w:after="40" w:before="20" w:lineRule="auto"/>
              <w:ind w:left="80" w:firstLine="0"/>
              <w:jc w:val="both"/>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00F">
            <w:pPr>
              <w:spacing w:after="40" w:before="20" w:lineRule="auto"/>
              <w:ind w:left="80" w:firstLine="0"/>
              <w:jc w:val="both"/>
              <w:rPr>
                <w:sz w:val="16"/>
                <w:szCs w:val="16"/>
              </w:rPr>
            </w:pPr>
            <w:r w:rsidDel="00000000" w:rsidR="00000000" w:rsidRPr="00000000">
              <w:rPr>
                <w:sz w:val="16"/>
                <w:szCs w:val="16"/>
                <w:rtl w:val="0"/>
              </w:rPr>
              <w:t xml:space="preserve">II.- Original de comprobante de pago de </w:t>
            </w:r>
            <w:r w:rsidDel="00000000" w:rsidR="00000000" w:rsidRPr="00000000">
              <w:rPr>
                <w:b w:val="1"/>
                <w:sz w:val="16"/>
                <w:szCs w:val="16"/>
                <w:rtl w:val="0"/>
              </w:rPr>
              <w:t xml:space="preserve">la tarifa </w:t>
            </w:r>
            <w:r w:rsidDel="00000000" w:rsidR="00000000" w:rsidRPr="00000000">
              <w:rPr>
                <w:sz w:val="16"/>
                <w:szCs w:val="16"/>
                <w:rtl w:val="0"/>
              </w:rPr>
              <w:t xml:space="preserve">por el trámite;</w:t>
            </w:r>
          </w:p>
        </w:tc>
      </w:tr>
      <w:tr>
        <w:trPr>
          <w:trHeight w:val="8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0">
            <w:pPr>
              <w:spacing w:after="40" w:before="20" w:lineRule="auto"/>
              <w:ind w:left="80" w:firstLine="0"/>
              <w:jc w:val="both"/>
              <w:rPr>
                <w:sz w:val="16"/>
                <w:szCs w:val="16"/>
              </w:rPr>
            </w:pPr>
            <w:r w:rsidDel="00000000" w:rsidR="00000000" w:rsidRPr="00000000">
              <w:rPr>
                <w:b w:val="1"/>
                <w:sz w:val="16"/>
                <w:szCs w:val="16"/>
                <w:rtl w:val="0"/>
              </w:rPr>
              <w:t xml:space="preserve">Artículo 10.</w:t>
            </w:r>
            <w:r w:rsidDel="00000000" w:rsidR="00000000" w:rsidRPr="00000000">
              <w:rPr>
                <w:sz w:val="16"/>
                <w:szCs w:val="16"/>
                <w:rtl w:val="0"/>
              </w:rPr>
              <w:t xml:space="preserve"> Para poder iniciar el trámite de Registro, las organizaciones o asociaciones profesionales deberán cubrir y acreditar previamente el pago de </w:t>
            </w:r>
            <w:r w:rsidDel="00000000" w:rsidR="00000000" w:rsidRPr="00000000">
              <w:rPr>
                <w:b w:val="1"/>
                <w:sz w:val="16"/>
                <w:szCs w:val="16"/>
                <w:rtl w:val="0"/>
              </w:rPr>
              <w:t xml:space="preserve">derechos</w:t>
            </w:r>
            <w:r w:rsidDel="00000000" w:rsidR="00000000" w:rsidRPr="00000000">
              <w:rPr>
                <w:sz w:val="16"/>
                <w:szCs w:val="16"/>
                <w:rtl w:val="0"/>
              </w:rPr>
              <w:t xml:space="preserve"> correspondiente.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1">
            <w:pPr>
              <w:spacing w:after="40" w:before="20" w:lineRule="auto"/>
              <w:ind w:left="80" w:firstLine="0"/>
              <w:jc w:val="both"/>
              <w:rPr>
                <w:sz w:val="16"/>
                <w:szCs w:val="16"/>
              </w:rPr>
            </w:pPr>
            <w:r w:rsidDel="00000000" w:rsidR="00000000" w:rsidRPr="00000000">
              <w:rPr>
                <w:b w:val="1"/>
                <w:sz w:val="16"/>
                <w:szCs w:val="16"/>
                <w:rtl w:val="0"/>
              </w:rPr>
              <w:t xml:space="preserve">Artículo 10.</w:t>
            </w:r>
            <w:r w:rsidDel="00000000" w:rsidR="00000000" w:rsidRPr="00000000">
              <w:rPr>
                <w:sz w:val="16"/>
                <w:szCs w:val="16"/>
                <w:rtl w:val="0"/>
              </w:rPr>
              <w:t xml:space="preserve"> Para poder iniciar el trámite de Registro, las organizaciones o asociaciones profesionales deberán cubrir y acreditar previamente el pago de </w:t>
            </w:r>
            <w:r w:rsidDel="00000000" w:rsidR="00000000" w:rsidRPr="00000000">
              <w:rPr>
                <w:b w:val="1"/>
                <w:sz w:val="16"/>
                <w:szCs w:val="16"/>
                <w:rtl w:val="0"/>
              </w:rPr>
              <w:t xml:space="preserve">la tarifa </w:t>
            </w:r>
            <w:r w:rsidDel="00000000" w:rsidR="00000000" w:rsidRPr="00000000">
              <w:rPr>
                <w:sz w:val="16"/>
                <w:szCs w:val="16"/>
                <w:rtl w:val="0"/>
              </w:rPr>
              <w:t xml:space="preserve">correspondiente.</w:t>
            </w:r>
          </w:p>
        </w:tc>
      </w:tr>
      <w:tr>
        <w:trPr>
          <w:trHeight w:val="19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2">
            <w:pPr>
              <w:spacing w:after="40" w:before="20" w:lineRule="auto"/>
              <w:ind w:left="80" w:firstLine="0"/>
              <w:jc w:val="both"/>
              <w:rPr>
                <w:sz w:val="16"/>
                <w:szCs w:val="16"/>
              </w:rPr>
            </w:pPr>
            <w:r w:rsidDel="00000000" w:rsidR="00000000" w:rsidRPr="00000000">
              <w:rPr>
                <w:b w:val="1"/>
                <w:sz w:val="16"/>
                <w:szCs w:val="16"/>
                <w:rtl w:val="0"/>
              </w:rPr>
              <w:t xml:space="preserve">Artículo 15. </w:t>
            </w:r>
            <w:r w:rsidDel="00000000" w:rsidR="00000000" w:rsidRPr="00000000">
              <w:rPr>
                <w:sz w:val="16"/>
                <w:szCs w:val="16"/>
                <w:rtl w:val="0"/>
              </w:rPr>
              <w:t xml:space="preserve">La renovación del registro será anual, para lo cual, las organizaciones o asociaciones profesionales deberán presentar a la Procuraduría la documentación siguiente:</w:t>
            </w:r>
          </w:p>
          <w:p w:rsidR="00000000" w:rsidDel="00000000" w:rsidP="00000000" w:rsidRDefault="00000000" w:rsidRPr="00000000" w14:paraId="00000013">
            <w:pPr>
              <w:spacing w:after="40" w:before="20" w:lineRule="auto"/>
              <w:ind w:left="80" w:firstLine="0"/>
              <w:jc w:val="both"/>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014">
            <w:pPr>
              <w:spacing w:after="40" w:before="20" w:lineRule="auto"/>
              <w:ind w:left="80" w:firstLine="0"/>
              <w:jc w:val="both"/>
              <w:rPr>
                <w:sz w:val="16"/>
                <w:szCs w:val="16"/>
              </w:rPr>
            </w:pPr>
            <w:r w:rsidDel="00000000" w:rsidR="00000000" w:rsidRPr="00000000">
              <w:rPr>
                <w:b w:val="1"/>
                <w:sz w:val="16"/>
                <w:szCs w:val="16"/>
                <w:rtl w:val="0"/>
              </w:rPr>
              <w:t xml:space="preserve">II. </w:t>
            </w:r>
            <w:r w:rsidDel="00000000" w:rsidR="00000000" w:rsidRPr="00000000">
              <w:rPr>
                <w:sz w:val="16"/>
                <w:szCs w:val="16"/>
                <w:rtl w:val="0"/>
              </w:rPr>
              <w:t xml:space="preserve">Original de comprobante de pago de </w:t>
            </w:r>
            <w:r w:rsidDel="00000000" w:rsidR="00000000" w:rsidRPr="00000000">
              <w:rPr>
                <w:b w:val="1"/>
                <w:sz w:val="16"/>
                <w:szCs w:val="16"/>
                <w:rtl w:val="0"/>
              </w:rPr>
              <w:t xml:space="preserve">derechos</w:t>
            </w:r>
            <w:r w:rsidDel="00000000" w:rsidR="00000000" w:rsidRPr="00000000">
              <w:rPr>
                <w:sz w:val="16"/>
                <w:szCs w:val="16"/>
                <w:rtl w:val="0"/>
              </w:rPr>
              <w:t xml:space="preserve"> por el trámite;</w:t>
            </w:r>
          </w:p>
          <w:p w:rsidR="00000000" w:rsidDel="00000000" w:rsidP="00000000" w:rsidRDefault="00000000" w:rsidRPr="00000000" w14:paraId="00000015">
            <w:pPr>
              <w:spacing w:after="40" w:before="2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6">
            <w:pPr>
              <w:spacing w:after="40" w:before="20" w:lineRule="auto"/>
              <w:ind w:left="80" w:firstLine="0"/>
              <w:jc w:val="both"/>
              <w:rPr>
                <w:sz w:val="16"/>
                <w:szCs w:val="16"/>
              </w:rPr>
            </w:pPr>
            <w:r w:rsidDel="00000000" w:rsidR="00000000" w:rsidRPr="00000000">
              <w:rPr>
                <w:b w:val="1"/>
                <w:sz w:val="16"/>
                <w:szCs w:val="16"/>
                <w:rtl w:val="0"/>
              </w:rPr>
              <w:t xml:space="preserve">Artículo 15. </w:t>
            </w:r>
            <w:r w:rsidDel="00000000" w:rsidR="00000000" w:rsidRPr="00000000">
              <w:rPr>
                <w:sz w:val="16"/>
                <w:szCs w:val="16"/>
                <w:rtl w:val="0"/>
              </w:rPr>
              <w:t xml:space="preserve">La renovación del registro será anual, para lo cual, las organizaciones o asociaciones profesionales deberán presentar a la Procuraduría la documentación siguiente:</w:t>
            </w:r>
          </w:p>
          <w:p w:rsidR="00000000" w:rsidDel="00000000" w:rsidP="00000000" w:rsidRDefault="00000000" w:rsidRPr="00000000" w14:paraId="00000017">
            <w:pPr>
              <w:spacing w:after="40" w:before="20" w:lineRule="auto"/>
              <w:ind w:left="80" w:firstLine="0"/>
              <w:jc w:val="both"/>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018">
            <w:pPr>
              <w:spacing w:after="40" w:before="20" w:lineRule="auto"/>
              <w:ind w:left="80" w:firstLine="0"/>
              <w:jc w:val="both"/>
              <w:rPr>
                <w:sz w:val="16"/>
                <w:szCs w:val="16"/>
              </w:rPr>
            </w:pPr>
            <w:r w:rsidDel="00000000" w:rsidR="00000000" w:rsidRPr="00000000">
              <w:rPr>
                <w:b w:val="1"/>
                <w:sz w:val="16"/>
                <w:szCs w:val="16"/>
                <w:rtl w:val="0"/>
              </w:rPr>
              <w:t xml:space="preserve">II. </w:t>
            </w:r>
            <w:r w:rsidDel="00000000" w:rsidR="00000000" w:rsidRPr="00000000">
              <w:rPr>
                <w:sz w:val="16"/>
                <w:szCs w:val="16"/>
                <w:rtl w:val="0"/>
              </w:rPr>
              <w:t xml:space="preserve">Original de comprobante de pago de </w:t>
            </w:r>
            <w:r w:rsidDel="00000000" w:rsidR="00000000" w:rsidRPr="00000000">
              <w:rPr>
                <w:b w:val="1"/>
                <w:sz w:val="16"/>
                <w:szCs w:val="16"/>
                <w:rtl w:val="0"/>
              </w:rPr>
              <w:t xml:space="preserve">la tarifa </w:t>
            </w:r>
            <w:r w:rsidDel="00000000" w:rsidR="00000000" w:rsidRPr="00000000">
              <w:rPr>
                <w:sz w:val="16"/>
                <w:szCs w:val="16"/>
                <w:rtl w:val="0"/>
              </w:rPr>
              <w:t xml:space="preserve">por el trámite;</w:t>
            </w:r>
          </w:p>
          <w:p w:rsidR="00000000" w:rsidDel="00000000" w:rsidP="00000000" w:rsidRDefault="00000000" w:rsidRPr="00000000" w14:paraId="00000019">
            <w:pPr>
              <w:spacing w:after="40" w:before="20" w:lineRule="auto"/>
              <w:ind w:left="80" w:firstLine="0"/>
              <w:jc w:val="both"/>
              <w:rPr>
                <w:b w:val="1"/>
                <w:sz w:val="16"/>
                <w:szCs w:val="16"/>
              </w:rPr>
            </w:pPr>
            <w:r w:rsidDel="00000000" w:rsidR="00000000" w:rsidRPr="00000000">
              <w:rPr>
                <w:b w:val="1"/>
                <w:sz w:val="16"/>
                <w:szCs w:val="16"/>
                <w:rtl w:val="0"/>
              </w:rPr>
              <w:t xml:space="preserve">...</w:t>
            </w:r>
          </w:p>
        </w:tc>
      </w:tr>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A">
            <w:pPr>
              <w:spacing w:after="40" w:before="20" w:lineRule="auto"/>
              <w:ind w:left="80" w:firstLine="0"/>
              <w:jc w:val="center"/>
              <w:rPr>
                <w:b w:val="1"/>
                <w:sz w:val="16"/>
                <w:szCs w:val="16"/>
              </w:rPr>
            </w:pPr>
            <w:r w:rsidDel="00000000" w:rsidR="00000000" w:rsidRPr="00000000">
              <w:rPr>
                <w:sz w:val="16"/>
                <w:szCs w:val="16"/>
                <w:rtl w:val="0"/>
              </w:rPr>
              <w:t xml:space="preserve">CAPITULO</w:t>
            </w:r>
            <w:r w:rsidDel="00000000" w:rsidR="00000000" w:rsidRPr="00000000">
              <w:rPr>
                <w:b w:val="1"/>
                <w:sz w:val="16"/>
                <w:szCs w:val="16"/>
                <w:rtl w:val="0"/>
              </w:rPr>
              <w:t xml:space="preserve"> VI</w:t>
            </w:r>
          </w:p>
          <w:p w:rsidR="00000000" w:rsidDel="00000000" w:rsidP="00000000" w:rsidRDefault="00000000" w:rsidRPr="00000000" w14:paraId="0000001B">
            <w:pPr>
              <w:spacing w:after="40" w:before="20" w:lineRule="auto"/>
              <w:ind w:left="80" w:firstLine="0"/>
              <w:jc w:val="center"/>
              <w:rPr>
                <w:sz w:val="16"/>
                <w:szCs w:val="16"/>
              </w:rPr>
            </w:pPr>
            <w:r w:rsidDel="00000000" w:rsidR="00000000" w:rsidRPr="00000000">
              <w:rPr>
                <w:sz w:val="16"/>
                <w:szCs w:val="16"/>
                <w:rtl w:val="0"/>
              </w:rPr>
              <w:t xml:space="preserve">Recurso de revisión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C">
            <w:pPr>
              <w:spacing w:after="40" w:before="20" w:lineRule="auto"/>
              <w:ind w:left="80" w:firstLine="0"/>
              <w:jc w:val="center"/>
              <w:rPr>
                <w:b w:val="1"/>
                <w:sz w:val="16"/>
                <w:szCs w:val="16"/>
              </w:rPr>
            </w:pPr>
            <w:r w:rsidDel="00000000" w:rsidR="00000000" w:rsidRPr="00000000">
              <w:rPr>
                <w:sz w:val="16"/>
                <w:szCs w:val="16"/>
                <w:rtl w:val="0"/>
              </w:rPr>
              <w:t xml:space="preserve">CAPITULO</w:t>
            </w:r>
            <w:r w:rsidDel="00000000" w:rsidR="00000000" w:rsidRPr="00000000">
              <w:rPr>
                <w:b w:val="1"/>
                <w:sz w:val="16"/>
                <w:szCs w:val="16"/>
                <w:rtl w:val="0"/>
              </w:rPr>
              <w:t xml:space="preserve"> VII</w:t>
            </w:r>
          </w:p>
          <w:p w:rsidR="00000000" w:rsidDel="00000000" w:rsidP="00000000" w:rsidRDefault="00000000" w:rsidRPr="00000000" w14:paraId="0000001D">
            <w:pPr>
              <w:spacing w:after="40" w:before="20" w:lineRule="auto"/>
              <w:ind w:left="80" w:firstLine="0"/>
              <w:jc w:val="center"/>
              <w:rPr>
                <w:sz w:val="16"/>
                <w:szCs w:val="16"/>
              </w:rPr>
            </w:pPr>
            <w:r w:rsidDel="00000000" w:rsidR="00000000" w:rsidRPr="00000000">
              <w:rPr>
                <w:sz w:val="16"/>
                <w:szCs w:val="16"/>
                <w:rtl w:val="0"/>
              </w:rPr>
              <w:t xml:space="preserve">Recurso de revisión</w:t>
            </w:r>
          </w:p>
        </w:tc>
      </w:tr>
    </w:tbl>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marzo de 2021.- El Procurador Federal del Consumidor, Doctor </w:t>
      </w:r>
      <w:r w:rsidDel="00000000" w:rsidR="00000000" w:rsidRPr="00000000">
        <w:rPr>
          <w:b w:val="1"/>
          <w:color w:val="2f2f2f"/>
          <w:sz w:val="18"/>
          <w:szCs w:val="18"/>
          <w:rtl w:val="0"/>
        </w:rPr>
        <w:t xml:space="preserve">Francisco Ricardo Sheffield Padilla</w:t>
      </w:r>
      <w:r w:rsidDel="00000000" w:rsidR="00000000" w:rsidRPr="00000000">
        <w:rPr>
          <w:color w:val="2f2f2f"/>
          <w:sz w:val="18"/>
          <w:szCs w:val="18"/>
          <w:rtl w:val="0"/>
        </w:rPr>
        <w:t xml:space="preserve">.- Rúbrica.</w:t>
      </w:r>
    </w:p>
    <w:p w:rsidR="00000000" w:rsidDel="00000000" w:rsidP="00000000" w:rsidRDefault="00000000" w:rsidRPr="00000000" w14:paraId="00000020">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(R.- 504672)</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